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29F" w:rsidRDefault="0060629F" w:rsidP="0060629F">
      <w:r>
        <w:t>1. FEBS J. 2006 Apr;273(8):1637-48.</w:t>
      </w:r>
    </w:p>
    <w:p w:rsidR="0060629F" w:rsidRDefault="0060629F" w:rsidP="0060629F"/>
    <w:p w:rsidR="0060629F" w:rsidRPr="0060629F" w:rsidRDefault="0060629F" w:rsidP="0060629F">
      <w:pPr>
        <w:rPr>
          <w:b/>
          <w:sz w:val="28"/>
          <w:szCs w:val="28"/>
        </w:rPr>
      </w:pPr>
      <w:proofErr w:type="spellStart"/>
      <w:r w:rsidRPr="0060629F">
        <w:rPr>
          <w:b/>
          <w:sz w:val="28"/>
          <w:szCs w:val="28"/>
        </w:rPr>
        <w:t>Isochore</w:t>
      </w:r>
      <w:proofErr w:type="spellEnd"/>
      <w:r w:rsidRPr="0060629F">
        <w:rPr>
          <w:b/>
          <w:sz w:val="28"/>
          <w:szCs w:val="28"/>
        </w:rPr>
        <w:t xml:space="preserve"> structures in the chicken genome.</w:t>
      </w:r>
    </w:p>
    <w:p w:rsidR="0060629F" w:rsidRDefault="0060629F" w:rsidP="0060629F"/>
    <w:p w:rsidR="0060629F" w:rsidRDefault="0060629F" w:rsidP="0060629F">
      <w:r>
        <w:t>Gao F(1), Zhang CT.</w:t>
      </w:r>
    </w:p>
    <w:p w:rsidR="0060629F" w:rsidRDefault="0060629F" w:rsidP="0060629F">
      <w:r>
        <w:t xml:space="preserve">Author information: </w:t>
      </w:r>
    </w:p>
    <w:p w:rsidR="0060629F" w:rsidRDefault="0060629F" w:rsidP="0060629F">
      <w:r>
        <w:t>(1)Department of Physics, Tianjin University, China.</w:t>
      </w:r>
    </w:p>
    <w:p w:rsidR="0060629F" w:rsidRDefault="0060629F" w:rsidP="0060629F">
      <w:r>
        <w:rPr>
          <w:noProof/>
        </w:rPr>
        <mc:AlternateContent>
          <mc:Choice Requires="wps">
            <w:drawing>
              <wp:anchor distT="0" distB="0" distL="114300" distR="114300" simplePos="0" relativeHeight="251659264" behindDoc="0" locked="0" layoutInCell="1" allowOverlap="1" wp14:anchorId="5DE5B4CB" wp14:editId="5055C455">
                <wp:simplePos x="0" y="0"/>
                <wp:positionH relativeFrom="margin">
                  <wp:align>right</wp:align>
                </wp:positionH>
                <wp:positionV relativeFrom="paragraph">
                  <wp:posOffset>206532</wp:posOffset>
                </wp:positionV>
                <wp:extent cx="5985164" cy="3028207"/>
                <wp:effectExtent l="0" t="0" r="15875" b="20320"/>
                <wp:wrapNone/>
                <wp:docPr id="1" name="Rechthoek 1"/>
                <wp:cNvGraphicFramePr/>
                <a:graphic xmlns:a="http://schemas.openxmlformats.org/drawingml/2006/main">
                  <a:graphicData uri="http://schemas.microsoft.com/office/word/2010/wordprocessingShape">
                    <wps:wsp>
                      <wps:cNvSpPr/>
                      <wps:spPr>
                        <a:xfrm>
                          <a:off x="0" y="0"/>
                          <a:ext cx="5985164" cy="302820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ABADC" id="Rechthoek 1" o:spid="_x0000_s1026" style="position:absolute;margin-left:420.05pt;margin-top:16.25pt;width:471.25pt;height:238.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" filled="f" strokecolor="black [3213]" strokeweight="1pt">
                <w10:wrap anchorx="margin"/>
              </v:rect>
            </w:pict>
          </mc:Fallback>
        </mc:AlternateContent>
      </w:r>
    </w:p>
    <w:p w:rsidR="0060629F" w:rsidRDefault="0060629F" w:rsidP="0060629F">
      <w:r>
        <w:t xml:space="preserve">The availability of the complete chicken genome sequence provides an unprecedented opportunity to study the global genome organization at the sequence level. </w:t>
      </w:r>
      <w:bookmarkStart w:id="0" w:name="_Hlk495318392"/>
      <w:bookmarkStart w:id="1" w:name="_GoBack"/>
      <w:r>
        <w:t>Delineating compositionally homogeneous G + C domains in DNA sequences can provide much insight into the understanding of the organization and biological functions of the chicken genome</w:t>
      </w:r>
      <w:bookmarkEnd w:id="0"/>
      <w:bookmarkEnd w:id="1"/>
      <w:r>
        <w:t xml:space="preserve">. A new segmentation algorithm, which is simple and fast, has been proposed to partition a given genome or DNA sequence into compositionally distinct domains. By applying the new segmentation algorithm to the draft chicken genome sequence, the mosaic organization of the chicken genome  can be confirmed at the sequence level. </w:t>
      </w:r>
      <w:r w:rsidRPr="00D36C76">
        <w:rPr>
          <w:color w:val="FF0000"/>
        </w:rPr>
        <w:t xml:space="preserve">It is shown herein that the chicken genome is also characterized by a mosaic structure of </w:t>
      </w:r>
      <w:proofErr w:type="spellStart"/>
      <w:r w:rsidRPr="00D36C76">
        <w:rPr>
          <w:color w:val="FF0000"/>
        </w:rPr>
        <w:t>isochores</w:t>
      </w:r>
      <w:proofErr w:type="spellEnd"/>
      <w:r w:rsidRPr="00D36C76">
        <w:rPr>
          <w:color w:val="FF0000"/>
        </w:rPr>
        <w:t xml:space="preserve">, long DNA segments that are fairly homogeneous in the G + C content. Consequently, 25 </w:t>
      </w:r>
      <w:proofErr w:type="spellStart"/>
      <w:r w:rsidRPr="00D36C76">
        <w:rPr>
          <w:color w:val="FF0000"/>
        </w:rPr>
        <w:t>isochores</w:t>
      </w:r>
      <w:proofErr w:type="spellEnd"/>
      <w:r w:rsidRPr="00D36C76">
        <w:rPr>
          <w:color w:val="FF0000"/>
        </w:rPr>
        <w:t xml:space="preserve"> longer than 2 Mb (</w:t>
      </w:r>
      <w:proofErr w:type="spellStart"/>
      <w:r w:rsidRPr="00D36C76">
        <w:rPr>
          <w:color w:val="FF0000"/>
        </w:rPr>
        <w:t>megabases</w:t>
      </w:r>
      <w:proofErr w:type="spellEnd"/>
      <w:r w:rsidRPr="00D36C76">
        <w:rPr>
          <w:color w:val="FF0000"/>
        </w:rPr>
        <w:t xml:space="preserve">) have been identified in the chicken genome. </w:t>
      </w:r>
      <w:r>
        <w:t xml:space="preserve">These </w:t>
      </w:r>
      <w:proofErr w:type="spellStart"/>
      <w:r>
        <w:t>isochores</w:t>
      </w:r>
      <w:proofErr w:type="spellEnd"/>
      <w:r>
        <w:t xml:space="preserve"> have a fairly homogeneous G + C content and often correspond to meaningful biological units. With the aid of the technique of cumulative GC profile, we proposed an intuitive picture to display the distribution of segmentation points. The relationships between G + C content and the distributions of genes (</w:t>
      </w:r>
      <w:proofErr w:type="spellStart"/>
      <w:r>
        <w:t>CpG</w:t>
      </w:r>
      <w:proofErr w:type="spellEnd"/>
      <w:r>
        <w:t xml:space="preserve"> islands, and other genomic elements) were analyzed in a perceivable manner. The cumulative GC profile, equipped with the new segmentation algorithm, would be an appropriate starting point for analyzing  the </w:t>
      </w:r>
      <w:proofErr w:type="spellStart"/>
      <w:r>
        <w:t>isochore</w:t>
      </w:r>
      <w:proofErr w:type="spellEnd"/>
      <w:r>
        <w:t xml:space="preserve"> structures of higher eukaryotic genomes.</w:t>
      </w:r>
    </w:p>
    <w:p w:rsidR="0060629F" w:rsidRDefault="0060629F" w:rsidP="0060629F"/>
    <w:p w:rsidR="0060629F" w:rsidRDefault="0060629F" w:rsidP="0060629F">
      <w:r>
        <w:t xml:space="preserve">DOI: 10.1111/j.1742-4658.2006.05178.x </w:t>
      </w:r>
    </w:p>
    <w:p w:rsidR="0060629F" w:rsidRDefault="0060629F" w:rsidP="0060629F">
      <w:r>
        <w:t>PMID: 16623701  [Indexed for MEDLINE]</w:t>
      </w:r>
    </w:p>
    <w:p w:rsidR="00822736" w:rsidRDefault="00822736"/>
    <w:sectPr w:rsidR="008227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29F"/>
    <w:rsid w:val="0060629F"/>
    <w:rsid w:val="00822736"/>
    <w:rsid w:val="00D3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2ABC5-3F6D-4C63-94BE-A370506C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1505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Kessel Rick van</dc:creator>
  <cp:keywords/>
  <dc:description/>
  <cp:lastModifiedBy>Valerie Verhalle</cp:lastModifiedBy>
  <cp:revision>3</cp:revision>
  <dcterms:created xsi:type="dcterms:W3CDTF">2017-10-09T11:27:00Z</dcterms:created>
  <dcterms:modified xsi:type="dcterms:W3CDTF">2017-10-09T11:28:00Z</dcterms:modified>
</cp:coreProperties>
</file>