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729" w:rsidRDefault="00027729" w:rsidP="00A43CE5">
      <w:pPr>
        <w:spacing w:after="0"/>
        <w:rPr>
          <w:sz w:val="24"/>
          <w:szCs w:val="24"/>
        </w:rPr>
      </w:pPr>
      <w:r w:rsidRPr="00D22E0E">
        <w:rPr>
          <w:b/>
          <w:sz w:val="24"/>
          <w:szCs w:val="24"/>
          <w:u w:val="single"/>
        </w:rPr>
        <w:t>Samenvatting</w:t>
      </w:r>
      <w:r>
        <w:rPr>
          <w:sz w:val="24"/>
          <w:szCs w:val="24"/>
        </w:rPr>
        <w:t>:</w:t>
      </w:r>
    </w:p>
    <w:p w:rsidR="00ED2612" w:rsidRDefault="00ED2612" w:rsidP="00A43CE5">
      <w:pPr>
        <w:spacing w:after="0"/>
        <w:rPr>
          <w:sz w:val="24"/>
          <w:szCs w:val="24"/>
        </w:rPr>
      </w:pPr>
      <w:r w:rsidRPr="00D22E0E">
        <w:rPr>
          <w:b/>
          <w:sz w:val="24"/>
          <w:szCs w:val="24"/>
        </w:rPr>
        <w:t>V</w:t>
      </w:r>
      <w:r w:rsidR="00027729" w:rsidRPr="00D22E0E">
        <w:rPr>
          <w:b/>
          <w:sz w:val="24"/>
          <w:szCs w:val="24"/>
        </w:rPr>
        <w:t>raagstelling</w:t>
      </w:r>
      <w:r w:rsidR="00027729">
        <w:rPr>
          <w:sz w:val="24"/>
          <w:szCs w:val="24"/>
        </w:rPr>
        <w:t xml:space="preserve">: </w:t>
      </w:r>
      <w:r w:rsidR="003172BB">
        <w:rPr>
          <w:sz w:val="24"/>
          <w:szCs w:val="24"/>
        </w:rPr>
        <w:t>Z</w:t>
      </w:r>
      <w:r>
        <w:rPr>
          <w:sz w:val="24"/>
          <w:szCs w:val="24"/>
        </w:rPr>
        <w:t>ijn er overeenkomsten in het DNA van de verschillende plantensoorten: spin</w:t>
      </w:r>
      <w:r w:rsidR="00D22E0E">
        <w:rPr>
          <w:sz w:val="24"/>
          <w:szCs w:val="24"/>
        </w:rPr>
        <w:t>azie, paksoi, spruitjes, bloemkool en spitskool</w:t>
      </w:r>
      <w:r w:rsidR="008D60DC">
        <w:rPr>
          <w:sz w:val="24"/>
          <w:szCs w:val="24"/>
        </w:rPr>
        <w:t xml:space="preserve">? </w:t>
      </w:r>
    </w:p>
    <w:p w:rsidR="00ED2612" w:rsidRDefault="00ED2612" w:rsidP="00A43CE5">
      <w:pPr>
        <w:spacing w:after="0"/>
        <w:rPr>
          <w:sz w:val="24"/>
          <w:szCs w:val="24"/>
        </w:rPr>
      </w:pPr>
      <w:r w:rsidRPr="00D22E0E">
        <w:rPr>
          <w:b/>
          <w:sz w:val="24"/>
          <w:szCs w:val="24"/>
        </w:rPr>
        <w:t>Hypothese</w:t>
      </w:r>
      <w:r>
        <w:rPr>
          <w:sz w:val="24"/>
          <w:szCs w:val="24"/>
        </w:rPr>
        <w:t xml:space="preserve">: </w:t>
      </w:r>
      <w:r w:rsidR="00EC5E5C">
        <w:rPr>
          <w:sz w:val="24"/>
          <w:szCs w:val="24"/>
        </w:rPr>
        <w:t xml:space="preserve">We verwachten dat er wel overeenkomsten zijn tussen de plantensoorten. </w:t>
      </w:r>
    </w:p>
    <w:p w:rsidR="001F2EB4" w:rsidRDefault="001F2EB4" w:rsidP="00A43CE5">
      <w:pPr>
        <w:spacing w:after="0"/>
        <w:rPr>
          <w:sz w:val="24"/>
          <w:szCs w:val="24"/>
        </w:rPr>
      </w:pPr>
      <w:r>
        <w:rPr>
          <w:b/>
          <w:sz w:val="24"/>
          <w:szCs w:val="24"/>
        </w:rPr>
        <w:t xml:space="preserve">Methodes:  </w:t>
      </w:r>
      <w:r>
        <w:rPr>
          <w:sz w:val="24"/>
          <w:szCs w:val="24"/>
        </w:rPr>
        <w:t xml:space="preserve">Om </w:t>
      </w:r>
      <w:r w:rsidR="00FB03FD">
        <w:rPr>
          <w:sz w:val="24"/>
          <w:szCs w:val="24"/>
        </w:rPr>
        <w:t>de</w:t>
      </w:r>
      <w:r>
        <w:rPr>
          <w:sz w:val="24"/>
          <w:szCs w:val="24"/>
        </w:rPr>
        <w:t xml:space="preserve"> relaties </w:t>
      </w:r>
      <w:r w:rsidR="00FB03FD">
        <w:rPr>
          <w:sz w:val="24"/>
          <w:szCs w:val="24"/>
        </w:rPr>
        <w:t xml:space="preserve">tussen de groentes </w:t>
      </w:r>
      <w:r>
        <w:rPr>
          <w:sz w:val="24"/>
          <w:szCs w:val="24"/>
        </w:rPr>
        <w:t xml:space="preserve">te kunnen analyseren hebben we gebruikt gemaakt van DNA isolatie, PCR en gel elektroforese. </w:t>
      </w:r>
    </w:p>
    <w:p w:rsidR="001F2EB4" w:rsidRDefault="001F2EB4" w:rsidP="00A43CE5">
      <w:pPr>
        <w:spacing w:after="0"/>
        <w:rPr>
          <w:sz w:val="24"/>
          <w:szCs w:val="24"/>
        </w:rPr>
      </w:pPr>
      <w:r>
        <w:rPr>
          <w:b/>
          <w:sz w:val="24"/>
          <w:szCs w:val="24"/>
        </w:rPr>
        <w:t xml:space="preserve">Resultaten: </w:t>
      </w:r>
      <w:r w:rsidR="008A64B5">
        <w:rPr>
          <w:sz w:val="24"/>
          <w:szCs w:val="24"/>
        </w:rPr>
        <w:t>M</w:t>
      </w:r>
      <w:r>
        <w:rPr>
          <w:sz w:val="24"/>
          <w:szCs w:val="24"/>
        </w:rPr>
        <w:t xml:space="preserve">et gel elektroforese kunnen we de DNA fragmentjes die we met PCR verdubbeld hebben zichtbaar maken en met je juiste DNA ladder kunnen we ook aflezen hoe groot de DNA fragmentjes zijn. </w:t>
      </w:r>
    </w:p>
    <w:p w:rsidR="008A64B5" w:rsidRPr="008A64B5" w:rsidRDefault="008A64B5" w:rsidP="00A43CE5">
      <w:pPr>
        <w:spacing w:after="0"/>
        <w:rPr>
          <w:b/>
          <w:sz w:val="24"/>
          <w:szCs w:val="24"/>
        </w:rPr>
      </w:pPr>
      <w:r>
        <w:rPr>
          <w:b/>
          <w:sz w:val="24"/>
          <w:szCs w:val="24"/>
        </w:rPr>
        <w:t xml:space="preserve">Conclusie: </w:t>
      </w:r>
      <w:r>
        <w:rPr>
          <w:sz w:val="24"/>
          <w:szCs w:val="24"/>
        </w:rPr>
        <w:t>Aan de hand van hoe ver het DNA van de verschillende groentes in de gel is doorgelopen kunnen we zeggen of ze verwant zijn of niet.</w:t>
      </w:r>
    </w:p>
    <w:p w:rsidR="008A64B5" w:rsidRPr="001F2EB4" w:rsidRDefault="008A64B5" w:rsidP="00A43CE5">
      <w:pPr>
        <w:spacing w:after="0"/>
        <w:rPr>
          <w:sz w:val="24"/>
          <w:szCs w:val="24"/>
        </w:rPr>
      </w:pPr>
    </w:p>
    <w:p w:rsidR="00027729" w:rsidRDefault="00027729" w:rsidP="00A43CE5">
      <w:pPr>
        <w:spacing w:after="0"/>
        <w:rPr>
          <w:sz w:val="24"/>
          <w:szCs w:val="24"/>
        </w:rPr>
      </w:pPr>
    </w:p>
    <w:p w:rsidR="00027729" w:rsidRDefault="00027729" w:rsidP="00A43CE5">
      <w:pPr>
        <w:spacing w:after="0"/>
        <w:rPr>
          <w:sz w:val="24"/>
          <w:szCs w:val="24"/>
        </w:rPr>
      </w:pPr>
      <w:r w:rsidRPr="00D22E0E">
        <w:rPr>
          <w:b/>
          <w:sz w:val="24"/>
          <w:szCs w:val="24"/>
          <w:u w:val="single"/>
        </w:rPr>
        <w:t>Inleiding</w:t>
      </w:r>
      <w:r>
        <w:rPr>
          <w:sz w:val="24"/>
          <w:szCs w:val="24"/>
        </w:rPr>
        <w:t>:</w:t>
      </w:r>
    </w:p>
    <w:p w:rsidR="00D22E0E" w:rsidRDefault="00FD6DE1" w:rsidP="00A43CE5">
      <w:pPr>
        <w:spacing w:after="0"/>
        <w:rPr>
          <w:sz w:val="24"/>
          <w:szCs w:val="24"/>
        </w:rPr>
      </w:pPr>
      <w:r w:rsidRPr="00D22E0E">
        <w:rPr>
          <w:b/>
          <w:sz w:val="24"/>
          <w:szCs w:val="24"/>
        </w:rPr>
        <w:t>Achtergrondinfo</w:t>
      </w:r>
      <w:r>
        <w:rPr>
          <w:sz w:val="24"/>
          <w:szCs w:val="24"/>
        </w:rPr>
        <w:t xml:space="preserve">: </w:t>
      </w:r>
      <w:r w:rsidRPr="00FD6DE1">
        <w:rPr>
          <w:sz w:val="24"/>
          <w:szCs w:val="24"/>
        </w:rPr>
        <w:t>plantenfylogenie</w:t>
      </w:r>
      <w:r>
        <w:rPr>
          <w:sz w:val="24"/>
          <w:szCs w:val="24"/>
        </w:rPr>
        <w:t xml:space="preserve"> heeft als doel</w:t>
      </w:r>
      <w:r w:rsidR="00D22E0E">
        <w:rPr>
          <w:sz w:val="24"/>
          <w:szCs w:val="24"/>
        </w:rPr>
        <w:t>: het ordenen van relaties tussen organismen.</w:t>
      </w:r>
    </w:p>
    <w:p w:rsidR="00FD6DE1" w:rsidRDefault="00D22E0E" w:rsidP="00A43CE5">
      <w:pPr>
        <w:spacing w:after="0"/>
        <w:rPr>
          <w:sz w:val="24"/>
          <w:szCs w:val="24"/>
        </w:rPr>
      </w:pPr>
      <w:r w:rsidRPr="00D22E0E">
        <w:rPr>
          <w:b/>
          <w:sz w:val="24"/>
          <w:szCs w:val="24"/>
        </w:rPr>
        <w:t>Vraagstelling</w:t>
      </w:r>
      <w:r>
        <w:rPr>
          <w:sz w:val="24"/>
          <w:szCs w:val="24"/>
        </w:rPr>
        <w:t>: Wij willen onderzoeken of er relaties zijn tussen de plantensoorten: spinazie, paksoi, spruitjes, bloemkool en spitskool.</w:t>
      </w:r>
    </w:p>
    <w:p w:rsidR="00D22E0E" w:rsidRDefault="00D22E0E" w:rsidP="00ED2612">
      <w:pPr>
        <w:spacing w:after="0"/>
        <w:rPr>
          <w:sz w:val="24"/>
          <w:szCs w:val="24"/>
        </w:rPr>
      </w:pPr>
      <w:r w:rsidRPr="00D22E0E">
        <w:rPr>
          <w:b/>
          <w:sz w:val="24"/>
          <w:szCs w:val="24"/>
        </w:rPr>
        <w:t>Plan van aanpak</w:t>
      </w:r>
      <w:r w:rsidR="00ED2612" w:rsidRPr="00D22E0E">
        <w:rPr>
          <w:b/>
          <w:sz w:val="24"/>
          <w:szCs w:val="24"/>
        </w:rPr>
        <w:t>:</w:t>
      </w:r>
      <w:r w:rsidR="00ED2612">
        <w:rPr>
          <w:sz w:val="24"/>
          <w:szCs w:val="24"/>
        </w:rPr>
        <w:t xml:space="preserve"> Eerst zullen we DNA uit de verschil</w:t>
      </w:r>
      <w:bookmarkStart w:id="0" w:name="_GoBack"/>
      <w:bookmarkEnd w:id="0"/>
      <w:r w:rsidR="00ED2612">
        <w:rPr>
          <w:sz w:val="24"/>
          <w:szCs w:val="24"/>
        </w:rPr>
        <w:t>lende plantensoorten moeten verkrijgen om dit daarna met een PCR reeks te kunnen verdubbelen. De verdubbelde DNA fragmentjes kunnen dan met gel</w:t>
      </w:r>
      <w:r w:rsidR="00F8292B">
        <w:rPr>
          <w:sz w:val="24"/>
          <w:szCs w:val="24"/>
        </w:rPr>
        <w:t xml:space="preserve"> </w:t>
      </w:r>
      <w:r w:rsidR="00ED2612">
        <w:rPr>
          <w:sz w:val="24"/>
          <w:szCs w:val="24"/>
        </w:rPr>
        <w:t>elektroforese vergeleken worden met een 1KB ladder.</w:t>
      </w:r>
    </w:p>
    <w:p w:rsidR="008C5E95" w:rsidRPr="008D60DC" w:rsidRDefault="00D22E0E" w:rsidP="00ED2612">
      <w:pPr>
        <w:spacing w:after="0"/>
        <w:rPr>
          <w:sz w:val="24"/>
          <w:szCs w:val="24"/>
        </w:rPr>
      </w:pPr>
      <w:r w:rsidRPr="00D22E0E">
        <w:rPr>
          <w:b/>
          <w:sz w:val="24"/>
          <w:szCs w:val="24"/>
        </w:rPr>
        <w:t>Achtergrondinfo plan van aanpak:</w:t>
      </w:r>
      <w:r>
        <w:rPr>
          <w:b/>
          <w:sz w:val="24"/>
          <w:szCs w:val="24"/>
        </w:rPr>
        <w:t xml:space="preserve"> </w:t>
      </w:r>
      <w:r w:rsidR="008D60DC">
        <w:rPr>
          <w:sz w:val="24"/>
          <w:szCs w:val="24"/>
        </w:rPr>
        <w:t>De polymeren in de celwanden van planten delen eigenschappen met het DNA van de planten.</w:t>
      </w:r>
      <w:r w:rsidR="00F8292B">
        <w:rPr>
          <w:sz w:val="24"/>
          <w:szCs w:val="24"/>
        </w:rPr>
        <w:t xml:space="preserve"> De polymeren</w:t>
      </w:r>
      <w:r w:rsidR="008D60DC">
        <w:rPr>
          <w:sz w:val="24"/>
          <w:szCs w:val="24"/>
        </w:rPr>
        <w:t xml:space="preserve"> verstoren </w:t>
      </w:r>
      <w:r w:rsidR="00F8292B">
        <w:rPr>
          <w:sz w:val="24"/>
          <w:szCs w:val="24"/>
        </w:rPr>
        <w:t xml:space="preserve">daarom de </w:t>
      </w:r>
      <w:r w:rsidR="008D60DC">
        <w:rPr>
          <w:sz w:val="24"/>
          <w:szCs w:val="24"/>
        </w:rPr>
        <w:t>enzymatische reacties tijdens het PCR experiment. Daarom moet het chromosomaal DNA uit pla</w:t>
      </w:r>
      <w:r w:rsidR="008C5E95">
        <w:rPr>
          <w:sz w:val="24"/>
          <w:szCs w:val="24"/>
        </w:rPr>
        <w:t>n</w:t>
      </w:r>
      <w:r w:rsidR="008D60DC">
        <w:rPr>
          <w:sz w:val="24"/>
          <w:szCs w:val="24"/>
        </w:rPr>
        <w:t xml:space="preserve">ten geïsoleerd worden. </w:t>
      </w:r>
      <w:r w:rsidR="00814462" w:rsidRPr="00814462">
        <w:rPr>
          <w:sz w:val="24"/>
          <w:szCs w:val="24"/>
        </w:rPr>
        <w:t xml:space="preserve">Primers </w:t>
      </w:r>
      <w:r w:rsidR="00814462">
        <w:rPr>
          <w:sz w:val="24"/>
          <w:szCs w:val="24"/>
        </w:rPr>
        <w:t>zijn</w:t>
      </w:r>
      <w:r w:rsidR="00814462" w:rsidRPr="00814462">
        <w:rPr>
          <w:sz w:val="24"/>
          <w:szCs w:val="24"/>
        </w:rPr>
        <w:t xml:space="preserve"> ontwikkeld tegen de 18S en 25S </w:t>
      </w:r>
      <w:proofErr w:type="spellStart"/>
      <w:r w:rsidR="00814462" w:rsidRPr="00814462">
        <w:rPr>
          <w:sz w:val="24"/>
          <w:szCs w:val="24"/>
        </w:rPr>
        <w:t>subunits</w:t>
      </w:r>
      <w:proofErr w:type="spellEnd"/>
      <w:r w:rsidR="00814462" w:rsidRPr="00814462">
        <w:rPr>
          <w:sz w:val="24"/>
          <w:szCs w:val="24"/>
        </w:rPr>
        <w:t>, waarmee de ITS1 en ITS2 regionen</w:t>
      </w:r>
      <w:r w:rsidR="00814462">
        <w:rPr>
          <w:sz w:val="24"/>
          <w:szCs w:val="24"/>
        </w:rPr>
        <w:t xml:space="preserve"> van de groentes</w:t>
      </w:r>
      <w:r w:rsidR="00814462" w:rsidRPr="00814462">
        <w:rPr>
          <w:sz w:val="24"/>
          <w:szCs w:val="24"/>
        </w:rPr>
        <w:t xml:space="preserve"> worden geamplificeerd door het gebruik van PCR</w:t>
      </w:r>
      <w:r w:rsidR="00814462">
        <w:rPr>
          <w:sz w:val="24"/>
          <w:szCs w:val="24"/>
        </w:rPr>
        <w:t xml:space="preserve">. </w:t>
      </w:r>
      <w:r w:rsidR="008C5E95">
        <w:rPr>
          <w:sz w:val="24"/>
          <w:szCs w:val="24"/>
        </w:rPr>
        <w:t xml:space="preserve">De DNA fragmentjes die uit de PCR komen worden met gel elektroforese zichtbaar gemaakt </w:t>
      </w:r>
      <w:r w:rsidR="00F8292B">
        <w:rPr>
          <w:sz w:val="24"/>
          <w:szCs w:val="24"/>
        </w:rPr>
        <w:t xml:space="preserve">en daarna </w:t>
      </w:r>
      <w:r w:rsidR="008C5E95">
        <w:rPr>
          <w:sz w:val="24"/>
          <w:szCs w:val="24"/>
        </w:rPr>
        <w:t xml:space="preserve">vergeleken met de overige groentes. </w:t>
      </w:r>
    </w:p>
    <w:p w:rsidR="001F2EB4" w:rsidRDefault="001F2EB4">
      <w:pPr>
        <w:rPr>
          <w:sz w:val="24"/>
          <w:szCs w:val="24"/>
        </w:rPr>
      </w:pPr>
    </w:p>
    <w:p w:rsidR="003A56B4" w:rsidRDefault="003A56B4">
      <w:pPr>
        <w:rPr>
          <w:b/>
          <w:sz w:val="24"/>
          <w:szCs w:val="24"/>
          <w:u w:val="single"/>
        </w:rPr>
      </w:pPr>
      <w:proofErr w:type="spellStart"/>
      <w:r w:rsidRPr="001F2EB4">
        <w:rPr>
          <w:b/>
          <w:sz w:val="24"/>
          <w:szCs w:val="24"/>
          <w:u w:val="single"/>
        </w:rPr>
        <w:t>Materiaal</w:t>
      </w:r>
      <w:r w:rsidR="001F2EB4" w:rsidRPr="001F2EB4">
        <w:rPr>
          <w:b/>
          <w:sz w:val="24"/>
          <w:szCs w:val="24"/>
          <w:u w:val="single"/>
        </w:rPr>
        <w:t>&amp;</w:t>
      </w:r>
      <w:r w:rsidRPr="001F2EB4">
        <w:rPr>
          <w:b/>
          <w:sz w:val="24"/>
          <w:szCs w:val="24"/>
          <w:u w:val="single"/>
        </w:rPr>
        <w:t>Methode</w:t>
      </w:r>
      <w:proofErr w:type="spellEnd"/>
    </w:p>
    <w:p w:rsidR="001F2EB4" w:rsidRDefault="008A64B5">
      <w:pPr>
        <w:rPr>
          <w:sz w:val="24"/>
          <w:szCs w:val="24"/>
        </w:rPr>
      </w:pPr>
      <w:r>
        <w:rPr>
          <w:sz w:val="24"/>
          <w:szCs w:val="24"/>
        </w:rPr>
        <w:t>Alle benodigdheden en de methode voor de verschillende technieken die gebruikt zijn, zijn terug te vinden in de handleiding mevrouw Olde-</w:t>
      </w:r>
      <w:proofErr w:type="spellStart"/>
      <w:r>
        <w:rPr>
          <w:sz w:val="24"/>
          <w:szCs w:val="24"/>
        </w:rPr>
        <w:t>loohuis</w:t>
      </w:r>
      <w:proofErr w:type="spellEnd"/>
      <w:r>
        <w:rPr>
          <w:sz w:val="24"/>
          <w:szCs w:val="24"/>
        </w:rPr>
        <w:t xml:space="preserve"> </w:t>
      </w:r>
      <w:sdt>
        <w:sdtPr>
          <w:rPr>
            <w:sz w:val="24"/>
            <w:szCs w:val="24"/>
          </w:rPr>
          <w:id w:val="1930773066"/>
          <w:citation/>
        </w:sdtPr>
        <w:sdtContent>
          <w:r>
            <w:rPr>
              <w:sz w:val="24"/>
              <w:szCs w:val="24"/>
            </w:rPr>
            <w:fldChar w:fldCharType="begin"/>
          </w:r>
          <w:r>
            <w:rPr>
              <w:sz w:val="24"/>
              <w:szCs w:val="24"/>
            </w:rPr>
            <w:instrText xml:space="preserve"> CITATION Nik171 \l 1043 </w:instrText>
          </w:r>
          <w:r>
            <w:rPr>
              <w:sz w:val="24"/>
              <w:szCs w:val="24"/>
            </w:rPr>
            <w:fldChar w:fldCharType="separate"/>
          </w:r>
          <w:r w:rsidRPr="008A64B5">
            <w:rPr>
              <w:noProof/>
              <w:sz w:val="24"/>
              <w:szCs w:val="24"/>
            </w:rPr>
            <w:t>(Olde-loohuis, 2017)</w:t>
          </w:r>
          <w:r>
            <w:rPr>
              <w:sz w:val="24"/>
              <w:szCs w:val="24"/>
            </w:rPr>
            <w:fldChar w:fldCharType="end"/>
          </w:r>
        </w:sdtContent>
      </w:sdt>
      <w:r>
        <w:rPr>
          <w:sz w:val="24"/>
          <w:szCs w:val="24"/>
        </w:rPr>
        <w:t xml:space="preserve">. </w:t>
      </w:r>
    </w:p>
    <w:p w:rsidR="008A64B5" w:rsidRDefault="008A64B5">
      <w:pPr>
        <w:rPr>
          <w:sz w:val="24"/>
          <w:szCs w:val="24"/>
        </w:rPr>
      </w:pPr>
      <w:r>
        <w:rPr>
          <w:sz w:val="24"/>
          <w:szCs w:val="24"/>
        </w:rPr>
        <w:t>Wijzigingen</w:t>
      </w:r>
      <w:r w:rsidR="00450E73">
        <w:rPr>
          <w:sz w:val="24"/>
          <w:szCs w:val="24"/>
        </w:rPr>
        <w:t xml:space="preserve"> in het protocol</w:t>
      </w:r>
      <w:r>
        <w:rPr>
          <w:sz w:val="24"/>
          <w:szCs w:val="24"/>
        </w:rPr>
        <w:t>:</w:t>
      </w:r>
    </w:p>
    <w:p w:rsidR="003A56B4" w:rsidRDefault="00F8292B" w:rsidP="00450E73">
      <w:pPr>
        <w:pStyle w:val="Lijstalinea"/>
        <w:numPr>
          <w:ilvl w:val="0"/>
          <w:numId w:val="1"/>
        </w:numPr>
        <w:rPr>
          <w:sz w:val="24"/>
          <w:szCs w:val="24"/>
        </w:rPr>
      </w:pPr>
      <w:r>
        <w:rPr>
          <w:sz w:val="24"/>
          <w:szCs w:val="24"/>
        </w:rPr>
        <w:t xml:space="preserve"> </w:t>
      </w:r>
      <w:r w:rsidR="00450E73">
        <w:rPr>
          <w:sz w:val="24"/>
          <w:szCs w:val="24"/>
        </w:rPr>
        <w:t xml:space="preserve">DNA isolatie: het protocol zegt: 100 gram plantenmateriaal. Dit wordt gewijzigd naar 300 gram plantenmateriaal. </w:t>
      </w:r>
    </w:p>
    <w:p w:rsidR="006851DE" w:rsidRDefault="006851DE">
      <w:pPr>
        <w:rPr>
          <w:sz w:val="24"/>
          <w:szCs w:val="24"/>
        </w:rPr>
      </w:pPr>
      <w:r>
        <w:rPr>
          <w:sz w:val="24"/>
          <w:szCs w:val="24"/>
        </w:rPr>
        <w:br w:type="page"/>
      </w:r>
    </w:p>
    <w:sdt>
      <w:sdtPr>
        <w:id w:val="-1583292486"/>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6851DE" w:rsidRPr="006851DE" w:rsidRDefault="006851DE">
          <w:pPr>
            <w:pStyle w:val="Kop1"/>
            <w:rPr>
              <w:rFonts w:asciiTheme="minorHAnsi" w:hAnsiTheme="minorHAnsi" w:cstheme="minorHAnsi"/>
              <w:b/>
              <w:color w:val="auto"/>
              <w:sz w:val="24"/>
              <w:szCs w:val="24"/>
              <w:u w:val="single"/>
            </w:rPr>
          </w:pPr>
          <w:r w:rsidRPr="006851DE">
            <w:rPr>
              <w:rFonts w:asciiTheme="minorHAnsi" w:hAnsiTheme="minorHAnsi" w:cstheme="minorHAnsi"/>
              <w:b/>
              <w:color w:val="auto"/>
              <w:sz w:val="24"/>
              <w:szCs w:val="24"/>
              <w:u w:val="single"/>
            </w:rPr>
            <w:t>Literatuurlijst</w:t>
          </w:r>
        </w:p>
        <w:sdt>
          <w:sdtPr>
            <w:id w:val="-573587230"/>
            <w:bibliography/>
          </w:sdtPr>
          <w:sdtContent>
            <w:p w:rsidR="006851DE" w:rsidRDefault="006851DE" w:rsidP="006851DE">
              <w:pPr>
                <w:pStyle w:val="Bibliografie"/>
                <w:ind w:left="720" w:hanging="720"/>
                <w:rPr>
                  <w:noProof/>
                  <w:sz w:val="24"/>
                  <w:szCs w:val="24"/>
                </w:rPr>
              </w:pPr>
              <w:r>
                <w:fldChar w:fldCharType="begin"/>
              </w:r>
              <w:r>
                <w:instrText>BIBLIOGRAPHY</w:instrText>
              </w:r>
              <w:r>
                <w:fldChar w:fldCharType="separate"/>
              </w:r>
              <w:r>
                <w:rPr>
                  <w:noProof/>
                </w:rPr>
                <w:t xml:space="preserve">Olde-loohuis, N. (2017). </w:t>
              </w:r>
              <w:r>
                <w:rPr>
                  <w:i/>
                  <w:iCs/>
                  <w:noProof/>
                </w:rPr>
                <w:t>Labpraktijk, Genetische Mutaties.Course2.</w:t>
              </w:r>
              <w:r>
                <w:rPr>
                  <w:noProof/>
                </w:rPr>
                <w:t xml:space="preserve"> Opgehaald van OnderwijsOnlineHAN: https://onderwijsonline.han.nl/elearning/lesson/pqg1wKXy</w:t>
              </w:r>
            </w:p>
            <w:p w:rsidR="006851DE" w:rsidRDefault="006851DE" w:rsidP="006851DE">
              <w:r>
                <w:rPr>
                  <w:b/>
                  <w:bCs/>
                </w:rPr>
                <w:fldChar w:fldCharType="end"/>
              </w:r>
            </w:p>
          </w:sdtContent>
        </w:sdt>
      </w:sdtContent>
    </w:sdt>
    <w:p w:rsidR="006851DE" w:rsidRPr="006851DE" w:rsidRDefault="006851DE" w:rsidP="006851DE">
      <w:pPr>
        <w:rPr>
          <w:sz w:val="24"/>
          <w:szCs w:val="24"/>
        </w:rPr>
      </w:pPr>
    </w:p>
    <w:sectPr w:rsidR="006851DE" w:rsidRPr="006851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56F46"/>
    <w:multiLevelType w:val="hybridMultilevel"/>
    <w:tmpl w:val="7BAE62F8"/>
    <w:lvl w:ilvl="0" w:tplc="E1762D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B4"/>
    <w:rsid w:val="00027729"/>
    <w:rsid w:val="001F2EB4"/>
    <w:rsid w:val="003172BB"/>
    <w:rsid w:val="003A56B4"/>
    <w:rsid w:val="00450E73"/>
    <w:rsid w:val="0045174D"/>
    <w:rsid w:val="00464418"/>
    <w:rsid w:val="006411C7"/>
    <w:rsid w:val="00676C4B"/>
    <w:rsid w:val="006851DE"/>
    <w:rsid w:val="00775BBB"/>
    <w:rsid w:val="00814462"/>
    <w:rsid w:val="00817FC2"/>
    <w:rsid w:val="008A64B5"/>
    <w:rsid w:val="008C5E95"/>
    <w:rsid w:val="008D60DC"/>
    <w:rsid w:val="0097455A"/>
    <w:rsid w:val="00A241B3"/>
    <w:rsid w:val="00A30DF6"/>
    <w:rsid w:val="00A43CE5"/>
    <w:rsid w:val="00BA668F"/>
    <w:rsid w:val="00D22E0E"/>
    <w:rsid w:val="00E57BB7"/>
    <w:rsid w:val="00EB260F"/>
    <w:rsid w:val="00EC5E5C"/>
    <w:rsid w:val="00ED2612"/>
    <w:rsid w:val="00F611BA"/>
    <w:rsid w:val="00F8292B"/>
    <w:rsid w:val="00FB03FD"/>
    <w:rsid w:val="00FD6DE1"/>
    <w:rsid w:val="00FE3E39"/>
    <w:rsid w:val="00FE706C"/>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1F6F"/>
  <w15:chartTrackingRefBased/>
  <w15:docId w15:val="{23544393-182E-4D70-8861-AAAAE904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851DE"/>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A64B5"/>
    <w:pPr>
      <w:ind w:left="720"/>
      <w:contextualSpacing/>
    </w:pPr>
  </w:style>
  <w:style w:type="character" w:customStyle="1" w:styleId="Kop1Char">
    <w:name w:val="Kop 1 Char"/>
    <w:basedOn w:val="Standaardalinea-lettertype"/>
    <w:link w:val="Kop1"/>
    <w:uiPriority w:val="9"/>
    <w:rsid w:val="006851DE"/>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685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787032">
      <w:bodyDiv w:val="1"/>
      <w:marLeft w:val="0"/>
      <w:marRight w:val="0"/>
      <w:marTop w:val="0"/>
      <w:marBottom w:val="0"/>
      <w:divBdr>
        <w:top w:val="none" w:sz="0" w:space="0" w:color="auto"/>
        <w:left w:val="none" w:sz="0" w:space="0" w:color="auto"/>
        <w:bottom w:val="none" w:sz="0" w:space="0" w:color="auto"/>
        <w:right w:val="none" w:sz="0" w:space="0" w:color="auto"/>
      </w:divBdr>
    </w:div>
    <w:div w:id="1841964700">
      <w:bodyDiv w:val="1"/>
      <w:marLeft w:val="0"/>
      <w:marRight w:val="0"/>
      <w:marTop w:val="0"/>
      <w:marBottom w:val="0"/>
      <w:divBdr>
        <w:top w:val="none" w:sz="0" w:space="0" w:color="auto"/>
        <w:left w:val="none" w:sz="0" w:space="0" w:color="auto"/>
        <w:bottom w:val="none" w:sz="0" w:space="0" w:color="auto"/>
        <w:right w:val="none" w:sz="0" w:space="0" w:color="auto"/>
      </w:divBdr>
    </w:div>
    <w:div w:id="189091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Nik171</b:Tag>
    <b:SourceType>DocumentFromInternetSite</b:SourceType>
    <b:Guid>{8C08A93D-E129-4927-BEB9-D27D1147DF0C}</b:Guid>
    <b:Title>Labpraktijk, Genetische Mutaties.Course2</b:Title>
    <b:InternetSiteTitle>OnderwijsOnlineHAN</b:InternetSiteTitle>
    <b:Year>2017</b:Year>
    <b:URL>https://onderwijsonline.han.nl/elearning/lesson/pqg1wKXy</b:URL>
    <b:Author>
      <b:Author>
        <b:NameList>
          <b:Person>
            <b:Last>Olde-loohuis</b:Last>
            <b:First>Nikki</b:First>
          </b:Person>
        </b:NameList>
      </b:Author>
    </b:Author>
    <b:RefOrder>1</b:RefOrder>
  </b:Source>
</b:Sources>
</file>

<file path=customXml/itemProps1.xml><?xml version="1.0" encoding="utf-8"?>
<ds:datastoreItem xmlns:ds="http://schemas.openxmlformats.org/officeDocument/2006/customXml" ds:itemID="{5CC9FC1A-A649-4A09-B2F8-AA425140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Pages>
  <Words>356</Words>
  <Characters>1963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5</cp:revision>
  <dcterms:created xsi:type="dcterms:W3CDTF">2018-01-15T07:26:00Z</dcterms:created>
  <dcterms:modified xsi:type="dcterms:W3CDTF">2018-01-17T16:50:00Z</dcterms:modified>
</cp:coreProperties>
</file>