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DD3" w:rsidRDefault="003D4DD3" w:rsidP="003D4DD3">
      <w:pPr>
        <w:spacing w:after="0"/>
      </w:pPr>
      <w:proofErr w:type="spellStart"/>
      <w:r>
        <w:t>UniProtKB</w:t>
      </w:r>
      <w:proofErr w:type="spellEnd"/>
      <w:r>
        <w:t xml:space="preserve"> - O49686 (PYR1_ARATH)</w:t>
      </w:r>
    </w:p>
    <w:p w:rsidR="003D4DD3" w:rsidRDefault="003D4DD3" w:rsidP="003D4DD3">
      <w:pPr>
        <w:spacing w:after="0"/>
      </w:pPr>
    </w:p>
    <w:p w:rsidR="003D4DD3" w:rsidRDefault="003D4DD3" w:rsidP="003D4DD3">
      <w:pPr>
        <w:spacing w:after="0"/>
      </w:pPr>
      <w:r>
        <w:t>MPSELSPEERSELKNSIAEFHTYQLDPGSCSSLHAQRIHAPPELVWSIVRRFDKPQTYKH</w:t>
      </w:r>
    </w:p>
    <w:p w:rsidR="003D4DD3" w:rsidRDefault="003D4DD3" w:rsidP="003D4DD3">
      <w:pPr>
        <w:spacing w:after="0"/>
      </w:pPr>
      <w:r>
        <w:t>FIKSCSVEQNFEMRVGCTRDVIVISGLPANTSTERIDILDDERRVTGFSIIGGEHRLTNY</w:t>
      </w:r>
    </w:p>
    <w:p w:rsidR="003D4DD3" w:rsidRDefault="003D4DD3" w:rsidP="003D4DD3">
      <w:pPr>
        <w:spacing w:after="0"/>
      </w:pPr>
      <w:r>
        <w:t>KSVTTVHRFEKENRIWTVVLESYVLDMPEGNSEDDTRMFADTVVKLNLQKLATVAEGMAR</w:t>
      </w:r>
    </w:p>
    <w:p w:rsidR="003D4DD3" w:rsidRDefault="003D4DD3" w:rsidP="003D4DD3">
      <w:pPr>
        <w:spacing w:after="0"/>
      </w:pPr>
      <w:r>
        <w:t>NSGDGTGSQVT</w:t>
      </w:r>
    </w:p>
    <w:p w:rsidR="003D4DD3" w:rsidRDefault="003D4DD3" w:rsidP="003D4DD3">
      <w:pPr>
        <w:spacing w:after="0"/>
      </w:pPr>
    </w:p>
    <w:p w:rsidR="003D4DD3" w:rsidRDefault="003D4DD3" w:rsidP="003D4DD3">
      <w:pPr>
        <w:spacing w:after="0"/>
      </w:pPr>
      <w:proofErr w:type="spellStart"/>
      <w:r>
        <w:t>RecName</w:t>
      </w:r>
      <w:proofErr w:type="spellEnd"/>
      <w:r>
        <w:t>: Full=</w:t>
      </w:r>
      <w:proofErr w:type="spellStart"/>
      <w:r>
        <w:t>Abscisic</w:t>
      </w:r>
      <w:proofErr w:type="spellEnd"/>
      <w:r>
        <w:t xml:space="preserve"> acid receptor PYR1; </w:t>
      </w:r>
    </w:p>
    <w:p w:rsidR="003D4DD3" w:rsidRPr="003D4DD3" w:rsidRDefault="003D4DD3" w:rsidP="003D4DD3">
      <w:pPr>
        <w:spacing w:after="0"/>
        <w:rPr>
          <w:lang w:val="en-US"/>
        </w:rPr>
      </w:pPr>
      <w:proofErr w:type="spellStart"/>
      <w:r w:rsidRPr="003D4DD3">
        <w:rPr>
          <w:lang w:val="en-US"/>
        </w:rPr>
        <w:t>AltName</w:t>
      </w:r>
      <w:proofErr w:type="spellEnd"/>
      <w:r w:rsidRPr="003D4DD3">
        <w:rPr>
          <w:lang w:val="en-US"/>
        </w:rPr>
        <w:t xml:space="preserve">: Full=ABI1-binding protein 6; </w:t>
      </w:r>
    </w:p>
    <w:p w:rsidR="003D4DD3" w:rsidRPr="003D4DD3" w:rsidRDefault="003D4DD3" w:rsidP="003D4DD3">
      <w:pPr>
        <w:spacing w:after="0"/>
        <w:rPr>
          <w:lang w:val="en-US"/>
        </w:rPr>
      </w:pPr>
      <w:proofErr w:type="spellStart"/>
      <w:r w:rsidRPr="003D4DD3">
        <w:rPr>
          <w:lang w:val="en-US"/>
        </w:rPr>
        <w:t>AltName</w:t>
      </w:r>
      <w:proofErr w:type="spellEnd"/>
      <w:r w:rsidRPr="003D4DD3">
        <w:rPr>
          <w:lang w:val="en-US"/>
        </w:rPr>
        <w:t xml:space="preserve">: Full=Protein PYRABACTIN RESISTANCE 1; </w:t>
      </w:r>
    </w:p>
    <w:p w:rsidR="003D4DD3" w:rsidRPr="003D4DD3" w:rsidRDefault="003D4DD3" w:rsidP="003D4DD3">
      <w:pPr>
        <w:spacing w:after="0"/>
        <w:rPr>
          <w:lang w:val="en-US"/>
        </w:rPr>
      </w:pPr>
      <w:proofErr w:type="spellStart"/>
      <w:r w:rsidRPr="003D4DD3">
        <w:rPr>
          <w:lang w:val="en-US"/>
        </w:rPr>
        <w:t>AltName</w:t>
      </w:r>
      <w:proofErr w:type="spellEnd"/>
      <w:r w:rsidRPr="003D4DD3">
        <w:rPr>
          <w:lang w:val="en-US"/>
        </w:rPr>
        <w:t xml:space="preserve">: Full=Regulatory components of ABA receptor 11 </w:t>
      </w:r>
    </w:p>
    <w:p w:rsidR="003D4DD3" w:rsidRPr="003D4DD3" w:rsidRDefault="003D4DD3" w:rsidP="003D4DD3">
      <w:pPr>
        <w:spacing w:after="0"/>
        <w:rPr>
          <w:lang w:val="en-US"/>
        </w:rPr>
      </w:pP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Molecule type amino acid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Query Length 191</w:t>
      </w:r>
    </w:p>
    <w:p w:rsidR="003D4DD3" w:rsidRPr="003D4DD3" w:rsidRDefault="003D4DD3" w:rsidP="003D4DD3">
      <w:pPr>
        <w:spacing w:after="0"/>
        <w:rPr>
          <w:lang w:val="en-US"/>
        </w:rPr>
      </w:pP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 xml:space="preserve">Receptor for abscisic acid (ABA) required for ABA-mediated responses such 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 xml:space="preserve">as stomatal closure and germination inhibition. 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 xml:space="preserve">Inhibits the activity of group-A protein phosphatases type 2C (PP2Cs) 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 xml:space="preserve">when activated by ABA (PubMed:19407142, PubMed:19624469, PubMed:19769575, 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 xml:space="preserve">PubMed:23844015, PubMed:21658606). Can be activated by 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both (-)-ABA and (+)-ABA (PubMed:23844015).</w:t>
      </w:r>
    </w:p>
    <w:p w:rsidR="003D4DD3" w:rsidRPr="003D4DD3" w:rsidRDefault="003D4DD3" w:rsidP="003D4DD3">
      <w:pPr>
        <w:spacing w:after="0"/>
        <w:rPr>
          <w:lang w:val="en-US"/>
        </w:rPr>
      </w:pP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Molecular function: Protein phosphatase inhibitor, Receptor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Biological process: Abscisic acid signaling pathway</w:t>
      </w:r>
    </w:p>
    <w:p w:rsidR="003D4DD3" w:rsidRPr="003D4DD3" w:rsidRDefault="003D4DD3" w:rsidP="003D4DD3">
      <w:pPr>
        <w:spacing w:after="0"/>
        <w:rPr>
          <w:lang w:val="en-US"/>
        </w:rPr>
      </w:pP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Taxonomic identifier: 3702 [NCBI]</w:t>
      </w:r>
    </w:p>
    <w:p w:rsidR="003D4DD3" w:rsidRPr="003D4DD3" w:rsidRDefault="003D4DD3" w:rsidP="003D4DD3">
      <w:pPr>
        <w:spacing w:after="0"/>
        <w:rPr>
          <w:lang w:val="en-US"/>
        </w:rPr>
      </w:pP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EXPREXION</w:t>
      </w:r>
    </w:p>
    <w:p w:rsidR="003D4DD3" w:rsidRPr="003D4DD3" w:rsidRDefault="003D4DD3" w:rsidP="003D4DD3">
      <w:pPr>
        <w:spacing w:after="0"/>
        <w:rPr>
          <w:lang w:val="en-US"/>
        </w:rPr>
      </w:pPr>
      <w:proofErr w:type="spellStart"/>
      <w:r w:rsidRPr="003D4DD3">
        <w:rPr>
          <w:lang w:val="en-US"/>
        </w:rPr>
        <w:t>ExpressionAtlas</w:t>
      </w:r>
      <w:proofErr w:type="spellEnd"/>
      <w:r w:rsidRPr="003D4DD3">
        <w:rPr>
          <w:lang w:val="en-US"/>
        </w:rPr>
        <w:t>: O49686 baseline and differential</w:t>
      </w:r>
    </w:p>
    <w:p w:rsidR="003D4DD3" w:rsidRPr="003D4DD3" w:rsidRDefault="003D4DD3" w:rsidP="003D4DD3">
      <w:pPr>
        <w:spacing w:after="0"/>
        <w:rPr>
          <w:lang w:val="en-US"/>
        </w:rPr>
      </w:pPr>
      <w:proofErr w:type="spellStart"/>
      <w:r w:rsidRPr="003D4DD3">
        <w:rPr>
          <w:lang w:val="en-US"/>
        </w:rPr>
        <w:t>Genevisible</w:t>
      </w:r>
      <w:proofErr w:type="spellEnd"/>
      <w:r w:rsidRPr="003D4DD3">
        <w:rPr>
          <w:lang w:val="en-US"/>
        </w:rPr>
        <w:t>: O49686 AT</w:t>
      </w:r>
    </w:p>
    <w:p w:rsidR="003D4DD3" w:rsidRPr="003D4DD3" w:rsidRDefault="003D4DD3" w:rsidP="003D4DD3">
      <w:pPr>
        <w:spacing w:after="0"/>
        <w:rPr>
          <w:lang w:val="en-US"/>
        </w:rPr>
      </w:pP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DOMAIN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 xml:space="preserve">Upon interaction with ABA, the 'latch' and 'gate' loops change in conformation 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 xml:space="preserve">leading to a tight dimerization and the creation a surface that enables 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the receptor to dock into and inhibit the PP2C active site.</w:t>
      </w:r>
    </w:p>
    <w:p w:rsidR="003D4DD3" w:rsidRPr="003D4DD3" w:rsidRDefault="003D4DD3" w:rsidP="003D4DD3">
      <w:pPr>
        <w:spacing w:after="0"/>
        <w:rPr>
          <w:lang w:val="en-US"/>
        </w:rPr>
      </w:pP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https://www.uniprot.org/uniprot/O49686</w:t>
      </w:r>
      <w:r w:rsidRPr="003D4DD3">
        <w:rPr>
          <w:lang w:val="en-US"/>
        </w:rPr>
        <w:cr/>
      </w:r>
    </w:p>
    <w:p w:rsidR="003D4DD3" w:rsidRPr="003D4DD3" w:rsidRDefault="00B91FD8" w:rsidP="003D4DD3">
      <w:pPr>
        <w:spacing w:after="0"/>
        <w:rPr>
          <w:lang w:val="en-US"/>
        </w:rPr>
      </w:pPr>
      <w:hyperlink r:id="rId6" w:history="1">
        <w:r w:rsidR="003D4DD3" w:rsidRPr="003D4DD3">
          <w:rPr>
            <w:rStyle w:val="Hyperlink"/>
            <w:lang w:val="en-US"/>
          </w:rPr>
          <w:t>https://www.ncbi.nlm.nih.gov/protein/O49686.1?report=genbank&amp;log$=protalign&amp;blast_rank=1&amp;RID=T1WX84DT015</w:t>
        </w:r>
      </w:hyperlink>
    </w:p>
    <w:p w:rsidR="003D4DD3" w:rsidRPr="003D4DD3" w:rsidRDefault="003D4DD3">
      <w:pPr>
        <w:rPr>
          <w:lang w:val="en-US"/>
        </w:rPr>
      </w:pPr>
      <w:r w:rsidRPr="003D4DD3">
        <w:rPr>
          <w:lang w:val="en-US"/>
        </w:rPr>
        <w:br w:type="page"/>
      </w:r>
    </w:p>
    <w:p w:rsidR="00817FC2" w:rsidRDefault="003D4DD3" w:rsidP="003D4DD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Functie</w:t>
      </w:r>
      <w:proofErr w:type="spellEnd"/>
    </w:p>
    <w:p w:rsidR="003D4DD3" w:rsidRDefault="003D4DD3" w:rsidP="003D4DD3">
      <w:pPr>
        <w:pStyle w:val="Lijstalinea"/>
        <w:numPr>
          <w:ilvl w:val="1"/>
          <w:numId w:val="1"/>
        </w:numPr>
        <w:spacing w:after="0"/>
      </w:pPr>
      <w:r w:rsidRPr="003D4DD3">
        <w:t xml:space="preserve">Moleculaire functie : </w:t>
      </w:r>
      <w:proofErr w:type="spellStart"/>
      <w:r w:rsidRPr="003D4DD3">
        <w:t>Protein</w:t>
      </w:r>
      <w:proofErr w:type="spellEnd"/>
      <w:r w:rsidRPr="003D4DD3">
        <w:t xml:space="preserve"> </w:t>
      </w:r>
      <w:proofErr w:type="spellStart"/>
      <w:r w:rsidRPr="003D4DD3">
        <w:t>phosphatase</w:t>
      </w:r>
      <w:proofErr w:type="spellEnd"/>
      <w:r w:rsidRPr="003D4DD3">
        <w:t xml:space="preserve"> i</w:t>
      </w:r>
      <w:r>
        <w:t xml:space="preserve">nhibitor, receptor. </w:t>
      </w:r>
    </w:p>
    <w:p w:rsidR="003D4DD3" w:rsidRPr="003D4DD3" w:rsidRDefault="00FC1F4E" w:rsidP="003D4DD3">
      <w:pPr>
        <w:pStyle w:val="Lijstalinea"/>
        <w:spacing w:after="0"/>
        <w:ind w:left="1440"/>
      </w:pPr>
      <w:proofErr w:type="spellStart"/>
      <w:r w:rsidRPr="003D4DD3">
        <w:t>phosphatase</w:t>
      </w:r>
      <w:proofErr w:type="spellEnd"/>
      <w:r w:rsidRPr="003D4DD3">
        <w:t xml:space="preserve"> </w:t>
      </w:r>
      <w:r>
        <w:t xml:space="preserve">remmende receptor. </w:t>
      </w:r>
    </w:p>
    <w:p w:rsidR="003D4DD3" w:rsidRDefault="003D4DD3" w:rsidP="003D4DD3">
      <w:pPr>
        <w:pStyle w:val="Lijstalinea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Cellulaire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locatie</w:t>
      </w:r>
      <w:proofErr w:type="spellEnd"/>
      <w:r>
        <w:rPr>
          <w:lang w:val="en-US"/>
        </w:rPr>
        <w:t xml:space="preserve"> : </w:t>
      </w:r>
      <w:r w:rsidR="00A318BB">
        <w:rPr>
          <w:noProof/>
          <w:lang w:val="en-US"/>
        </w:rPr>
        <w:drawing>
          <wp:inline distT="0" distB="0" distL="0" distR="0">
            <wp:extent cx="4549864" cy="1776413"/>
            <wp:effectExtent l="0" t="0" r="317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66" cy="17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D3" w:rsidRPr="003D4DD3" w:rsidRDefault="003D4DD3" w:rsidP="003D4DD3">
      <w:pPr>
        <w:pStyle w:val="Lijstalinea"/>
        <w:numPr>
          <w:ilvl w:val="1"/>
          <w:numId w:val="1"/>
        </w:numPr>
        <w:spacing w:after="0"/>
        <w:rPr>
          <w:rFonts w:cstheme="minorHAnsi"/>
          <w:lang w:val="en-US"/>
        </w:rPr>
      </w:pPr>
      <w:proofErr w:type="spellStart"/>
      <w:r>
        <w:rPr>
          <w:lang w:val="en-US"/>
        </w:rPr>
        <w:t>Biologisch</w:t>
      </w:r>
      <w:proofErr w:type="spellEnd"/>
      <w:r>
        <w:rPr>
          <w:lang w:val="en-US"/>
        </w:rPr>
        <w:t xml:space="preserve"> process : Abscisic acid signaling pathway.</w:t>
      </w:r>
      <w:r w:rsidRPr="003D4DD3">
        <w:rPr>
          <w:rFonts w:cstheme="minorHAnsi"/>
          <w:lang w:val="en-US"/>
        </w:rPr>
        <w:t xml:space="preserve"> </w:t>
      </w:r>
    </w:p>
    <w:p w:rsidR="003D4DD3" w:rsidRDefault="003D4DD3" w:rsidP="003D4DD3">
      <w:pPr>
        <w:spacing w:after="0"/>
        <w:ind w:left="1428" w:firstLine="12"/>
        <w:rPr>
          <w:rFonts w:cstheme="minorHAnsi"/>
          <w:color w:val="212121"/>
        </w:rPr>
      </w:pPr>
      <w:proofErr w:type="spellStart"/>
      <w:r w:rsidRPr="003D4DD3">
        <w:rPr>
          <w:rFonts w:cstheme="minorHAnsi"/>
          <w:color w:val="212121"/>
        </w:rPr>
        <w:t>Abscisinezuur</w:t>
      </w:r>
      <w:proofErr w:type="spellEnd"/>
      <w:r>
        <w:rPr>
          <w:rFonts w:cstheme="minorHAnsi"/>
          <w:color w:val="212121"/>
        </w:rPr>
        <w:t xml:space="preserve"> signalerend </w:t>
      </w:r>
      <w:proofErr w:type="spellStart"/>
      <w:r>
        <w:rPr>
          <w:rFonts w:cstheme="minorHAnsi"/>
          <w:color w:val="212121"/>
        </w:rPr>
        <w:t>pathway</w:t>
      </w:r>
      <w:proofErr w:type="spellEnd"/>
      <w:r>
        <w:rPr>
          <w:rFonts w:cstheme="minorHAnsi"/>
          <w:color w:val="212121"/>
        </w:rPr>
        <w:t xml:space="preserve">. </w:t>
      </w:r>
    </w:p>
    <w:p w:rsidR="00A318BB" w:rsidRPr="003D4DD3" w:rsidRDefault="00A318BB" w:rsidP="003D4DD3">
      <w:pPr>
        <w:spacing w:after="0"/>
        <w:ind w:left="1428" w:firstLine="12"/>
        <w:rPr>
          <w:rFonts w:cstheme="minorHAnsi"/>
          <w:lang w:val="en-US"/>
        </w:rPr>
      </w:pPr>
    </w:p>
    <w:p w:rsidR="003D4DD3" w:rsidRDefault="003D4DD3" w:rsidP="003D4DD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Transmembraan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segmenten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topologie</w:t>
      </w:r>
      <w:proofErr w:type="spellEnd"/>
      <w:r>
        <w:rPr>
          <w:lang w:val="en-US"/>
        </w:rPr>
        <w:t xml:space="preserve"> </w:t>
      </w:r>
    </w:p>
    <w:p w:rsidR="00A318BB" w:rsidRDefault="00A318BB" w:rsidP="00A318BB">
      <w:pPr>
        <w:pStyle w:val="Lijstalinea"/>
        <w:spacing w:after="0"/>
        <w:rPr>
          <w:lang w:val="en-US"/>
        </w:rPr>
      </w:pPr>
    </w:p>
    <w:p w:rsidR="00BF1FFD" w:rsidRPr="00BF1FFD" w:rsidRDefault="003D4DD3" w:rsidP="00112808">
      <w:pPr>
        <w:pStyle w:val="Lijstalinea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lang w:val="en-US"/>
        </w:rPr>
        <w:t xml:space="preserve">Matches met </w:t>
      </w:r>
      <w:proofErr w:type="spellStart"/>
      <w:r>
        <w:rPr>
          <w:lang w:val="en-US"/>
        </w:rPr>
        <w:t>proteïnefamilies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Interpro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Pfam</w:t>
      </w:r>
      <w:proofErr w:type="spellEnd"/>
      <w:r w:rsidR="00112808">
        <w:rPr>
          <w:b/>
          <w:lang w:val="en-US"/>
        </w:rPr>
        <w:t xml:space="preserve"> : </w:t>
      </w:r>
    </w:p>
    <w:p w:rsidR="00BF1FFD" w:rsidRPr="00BF1FFD" w:rsidRDefault="00BF1FFD" w:rsidP="00BF1FFD">
      <w:pPr>
        <w:pStyle w:val="Lijstalinea"/>
        <w:rPr>
          <w:rFonts w:cstheme="minorHAnsi"/>
          <w:bCs/>
          <w:color w:val="222222"/>
          <w:lang w:val="en-US"/>
        </w:rPr>
      </w:pPr>
    </w:p>
    <w:p w:rsidR="00112808" w:rsidRPr="00112808" w:rsidRDefault="00112808" w:rsidP="00BF1FFD">
      <w:pPr>
        <w:pStyle w:val="Lijstalinea"/>
        <w:spacing w:after="0"/>
        <w:rPr>
          <w:rFonts w:cstheme="minorHAnsi"/>
          <w:lang w:val="en-US"/>
        </w:rPr>
      </w:pPr>
      <w:r w:rsidRPr="00112808">
        <w:rPr>
          <w:rFonts w:cstheme="minorHAnsi"/>
          <w:bCs/>
          <w:color w:val="222222"/>
          <w:lang w:val="en-US"/>
        </w:rPr>
        <w:t>Polyketide cyclase/dehydrase (IPR019587)</w:t>
      </w:r>
    </w:p>
    <w:p w:rsidR="00112808" w:rsidRPr="00BF1FFD" w:rsidRDefault="00112808" w:rsidP="00112808">
      <w:pPr>
        <w:pStyle w:val="Lijstalinea"/>
        <w:spacing w:after="0"/>
        <w:rPr>
          <w:rFonts w:cstheme="minorHAnsi"/>
          <w:lang w:val="en-US"/>
        </w:rPr>
      </w:pPr>
      <w:r w:rsidRPr="00112808">
        <w:rPr>
          <w:rFonts w:cstheme="minorHAnsi"/>
          <w:lang w:val="en-US"/>
        </w:rPr>
        <w:t xml:space="preserve">This family contains polyketide </w:t>
      </w:r>
      <w:proofErr w:type="spellStart"/>
      <w:r w:rsidRPr="00112808">
        <w:rPr>
          <w:rFonts w:cstheme="minorHAnsi"/>
          <w:lang w:val="en-US"/>
        </w:rPr>
        <w:t>cylcases</w:t>
      </w:r>
      <w:proofErr w:type="spellEnd"/>
      <w:r w:rsidRPr="00112808">
        <w:rPr>
          <w:rFonts w:cstheme="minorHAnsi"/>
          <w:lang w:val="en-US"/>
        </w:rPr>
        <w:t xml:space="preserve">/dehydrases which are enzymes involved in polyketide synthesis. </w:t>
      </w:r>
      <w:r w:rsidRPr="00BF1FFD">
        <w:rPr>
          <w:rFonts w:cstheme="minorHAnsi"/>
          <w:lang w:val="en-US"/>
        </w:rPr>
        <w:t>It also includes other proteins of the START superfamily</w:t>
      </w:r>
    </w:p>
    <w:p w:rsidR="00112808" w:rsidRPr="00BF1FFD" w:rsidRDefault="00B91FD8" w:rsidP="00112808">
      <w:pPr>
        <w:pStyle w:val="Lijstalinea"/>
        <w:spacing w:after="0"/>
        <w:rPr>
          <w:rFonts w:cstheme="minorHAnsi"/>
          <w:lang w:val="en-US"/>
        </w:rPr>
      </w:pPr>
      <w:hyperlink r:id="rId8" w:history="1">
        <w:r w:rsidR="00112808" w:rsidRPr="00BF1FFD">
          <w:rPr>
            <w:rStyle w:val="Hyperlink"/>
            <w:rFonts w:cstheme="minorHAnsi"/>
            <w:lang w:val="en-US"/>
          </w:rPr>
          <w:t>http://www.ebi.ac.uk/interpro/entry/IPR019587</w:t>
        </w:r>
      </w:hyperlink>
    </w:p>
    <w:p w:rsidR="00A318BB" w:rsidRPr="00BF1FFD" w:rsidRDefault="00A318BB" w:rsidP="00112808">
      <w:pPr>
        <w:pStyle w:val="Lijstalinea"/>
        <w:spacing w:after="0"/>
        <w:rPr>
          <w:rFonts w:cstheme="minorHAnsi"/>
          <w:lang w:val="en-US"/>
        </w:rPr>
      </w:pPr>
    </w:p>
    <w:p w:rsidR="00A318BB" w:rsidRPr="00A318BB" w:rsidRDefault="00A318BB" w:rsidP="00112808">
      <w:pPr>
        <w:pStyle w:val="Lijstalinea"/>
        <w:spacing w:after="0"/>
        <w:rPr>
          <w:rFonts w:cstheme="minorHAnsi"/>
          <w:lang w:val="en-US"/>
        </w:rPr>
      </w:pPr>
      <w:r w:rsidRPr="00A318BB">
        <w:rPr>
          <w:rFonts w:cstheme="minorHAnsi"/>
          <w:lang w:val="en-US"/>
        </w:rPr>
        <w:t xml:space="preserve">This family contains polyketide </w:t>
      </w:r>
      <w:proofErr w:type="spellStart"/>
      <w:r w:rsidRPr="00A318BB">
        <w:rPr>
          <w:rFonts w:cstheme="minorHAnsi"/>
          <w:lang w:val="en-US"/>
        </w:rPr>
        <w:t>cylcases</w:t>
      </w:r>
      <w:proofErr w:type="spellEnd"/>
      <w:r w:rsidRPr="00A318BB">
        <w:rPr>
          <w:rFonts w:cstheme="minorHAnsi"/>
          <w:lang w:val="en-US"/>
        </w:rPr>
        <w:t>/dehydrases which are enzymes involved in polyketide synthesis. The family also includes proteins which are involved in the binding/transport of lipids.</w:t>
      </w:r>
    </w:p>
    <w:p w:rsidR="00A318BB" w:rsidRDefault="00B91FD8" w:rsidP="00112808">
      <w:pPr>
        <w:pStyle w:val="Lijstalinea"/>
        <w:spacing w:after="0"/>
        <w:rPr>
          <w:rFonts w:cstheme="minorHAnsi"/>
          <w:lang w:val="en-US"/>
        </w:rPr>
      </w:pPr>
      <w:hyperlink r:id="rId9" w:history="1">
        <w:r w:rsidR="00A318BB" w:rsidRPr="00EA7A47">
          <w:rPr>
            <w:rStyle w:val="Hyperlink"/>
            <w:rFonts w:cstheme="minorHAnsi"/>
            <w:lang w:val="en-US"/>
          </w:rPr>
          <w:t>https://pfam.xfam.org/family/PF03364</w:t>
        </w:r>
      </w:hyperlink>
    </w:p>
    <w:p w:rsidR="00A318BB" w:rsidRPr="00A318BB" w:rsidRDefault="00A318BB" w:rsidP="00112808">
      <w:pPr>
        <w:pStyle w:val="Lijstalinea"/>
        <w:spacing w:after="0"/>
        <w:rPr>
          <w:rFonts w:cstheme="minorHAnsi"/>
          <w:lang w:val="en-US"/>
        </w:rPr>
      </w:pPr>
    </w:p>
    <w:p w:rsidR="00112808" w:rsidRDefault="00112808" w:rsidP="00112808">
      <w:pPr>
        <w:pStyle w:val="Lijstalinea"/>
        <w:spacing w:after="0"/>
        <w:rPr>
          <w:rFonts w:cstheme="minorHAnsi"/>
          <w:lang w:val="en-US"/>
        </w:rPr>
      </w:pPr>
    </w:p>
    <w:p w:rsidR="00A35999" w:rsidRDefault="00A3599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3D4DD3" w:rsidRPr="00253710" w:rsidRDefault="003D4DD3" w:rsidP="003D4DD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Geconserveerde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domeinen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CDD, </w:t>
      </w:r>
      <w:proofErr w:type="spellStart"/>
      <w:r>
        <w:rPr>
          <w:b/>
          <w:lang w:val="en-US"/>
        </w:rPr>
        <w:t>Prosite</w:t>
      </w:r>
      <w:proofErr w:type="spellEnd"/>
      <w:r>
        <w:rPr>
          <w:b/>
          <w:lang w:val="en-US"/>
        </w:rPr>
        <w:t xml:space="preserve"> </w:t>
      </w:r>
    </w:p>
    <w:p w:rsidR="00253710" w:rsidRPr="00253710" w:rsidRDefault="00253710" w:rsidP="00253710">
      <w:pPr>
        <w:spacing w:after="0" w:line="240" w:lineRule="auto"/>
        <w:rPr>
          <w:rFonts w:eastAsia="Times New Roman" w:cstheme="minorHAnsi"/>
          <w:bCs/>
          <w:lang w:val="en-US" w:eastAsia="nl-NL"/>
        </w:rPr>
      </w:pPr>
      <w:proofErr w:type="spellStart"/>
      <w:r w:rsidRPr="00253710">
        <w:rPr>
          <w:rFonts w:eastAsia="Times New Roman" w:cstheme="minorHAnsi"/>
          <w:bCs/>
          <w:lang w:val="en-US" w:eastAsia="nl-NL"/>
        </w:rPr>
        <w:t>Pyrabactin</w:t>
      </w:r>
      <w:proofErr w:type="spellEnd"/>
      <w:r w:rsidRPr="00253710">
        <w:rPr>
          <w:rFonts w:eastAsia="Times New Roman" w:cstheme="minorHAnsi"/>
          <w:bCs/>
          <w:lang w:val="en-US" w:eastAsia="nl-NL"/>
        </w:rPr>
        <w:t xml:space="preserve"> resistance 1 (PYR1), PYR1-like (PYL), regulatory component of abscisic acid receptors (RCARs), and related proteins</w:t>
      </w:r>
    </w:p>
    <w:p w:rsidR="00253710" w:rsidRDefault="00253710" w:rsidP="00253710">
      <w:pPr>
        <w:pStyle w:val="Lijstalinea"/>
        <w:spacing w:after="0"/>
        <w:ind w:left="0"/>
        <w:rPr>
          <w:rFonts w:eastAsia="Times New Roman" w:cstheme="minorHAnsi"/>
          <w:lang w:val="en-US" w:eastAsia="nl-NL"/>
        </w:rPr>
      </w:pPr>
      <w:r w:rsidRPr="00253710">
        <w:rPr>
          <w:rFonts w:eastAsia="Times New Roman" w:cstheme="minorHAnsi"/>
          <w:lang w:val="en-US" w:eastAsia="nl-NL"/>
        </w:rPr>
        <w:t>The PYR/PYL/RCAR-like family belongs to the SRPBCC (START/</w:t>
      </w:r>
      <w:proofErr w:type="spellStart"/>
      <w:r w:rsidRPr="00253710">
        <w:rPr>
          <w:rFonts w:eastAsia="Times New Roman" w:cstheme="minorHAnsi"/>
          <w:lang w:val="en-US" w:eastAsia="nl-NL"/>
        </w:rPr>
        <w:t>RHO_alpha_C</w:t>
      </w:r>
      <w:proofErr w:type="spellEnd"/>
      <w:r w:rsidRPr="00253710">
        <w:rPr>
          <w:rFonts w:eastAsia="Times New Roman" w:cstheme="minorHAnsi"/>
          <w:lang w:val="en-US" w:eastAsia="nl-NL"/>
        </w:rPr>
        <w:t>/PITP/Bet_v1/</w:t>
      </w:r>
      <w:proofErr w:type="spellStart"/>
      <w:r w:rsidRPr="00253710">
        <w:rPr>
          <w:rFonts w:eastAsia="Times New Roman" w:cstheme="minorHAnsi"/>
          <w:lang w:val="en-US" w:eastAsia="nl-NL"/>
        </w:rPr>
        <w:t>CoxG</w:t>
      </w:r>
      <w:proofErr w:type="spellEnd"/>
      <w:r w:rsidRPr="00253710">
        <w:rPr>
          <w:rFonts w:eastAsia="Times New Roman" w:cstheme="minorHAnsi"/>
          <w:lang w:val="en-US" w:eastAsia="nl-NL"/>
        </w:rPr>
        <w:t>/</w:t>
      </w:r>
      <w:proofErr w:type="spellStart"/>
      <w:r w:rsidRPr="00253710">
        <w:rPr>
          <w:rFonts w:eastAsia="Times New Roman" w:cstheme="minorHAnsi"/>
          <w:lang w:val="en-US" w:eastAsia="nl-NL"/>
        </w:rPr>
        <w:t>CalC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) domain superfamily of proteins that bind hydrophobic ligands. SRPBCC domains have a deep hydrophobic ligand-binding pocket. PYR/PYL/RCAR plant proteins are receptors involved in signal transduction. They bind abscisic acid (ABA) and mediate its signaling. ABA is a vital plant hormone, which regulates plant growth, development, and response to environmental stresses. Upon binding ABA, these plant proteins interact with a type 2C protein phosphatase (PP2C), such as ABI1 and ABI2, and inhibit their activity. When ABA is bound, a loop (designated the gate/CL2 loop) closes over the ligand binding pocket, resulting in the weakening of the inactive PYL dimer and facilitating type 2C protein phosphatase binding. In the ABA:PYL1:ABI1 complex, the gate blocks substrate access to the phosphatase active site. A conserved </w:t>
      </w:r>
      <w:proofErr w:type="spellStart"/>
      <w:r w:rsidRPr="00253710">
        <w:rPr>
          <w:rFonts w:eastAsia="Times New Roman" w:cstheme="minorHAnsi"/>
          <w:lang w:val="en-US" w:eastAsia="nl-NL"/>
        </w:rPr>
        <w:t>Trp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 from PP2C inserts into PYL to lock the receptor in a closed formation. This group also contains </w:t>
      </w:r>
      <w:proofErr w:type="spellStart"/>
      <w:r w:rsidRPr="00253710">
        <w:rPr>
          <w:rFonts w:eastAsia="Times New Roman" w:cstheme="minorHAnsi"/>
          <w:lang w:val="en-US" w:eastAsia="nl-NL"/>
        </w:rPr>
        <w:t>Methylobacterium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 </w:t>
      </w:r>
      <w:proofErr w:type="spellStart"/>
      <w:r w:rsidRPr="00253710">
        <w:rPr>
          <w:rFonts w:eastAsia="Times New Roman" w:cstheme="minorHAnsi"/>
          <w:lang w:val="en-US" w:eastAsia="nl-NL"/>
        </w:rPr>
        <w:t>extorquens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 AM1 </w:t>
      </w:r>
      <w:proofErr w:type="spellStart"/>
      <w:r w:rsidRPr="00253710">
        <w:rPr>
          <w:rFonts w:eastAsia="Times New Roman" w:cstheme="minorHAnsi"/>
          <w:lang w:val="en-US" w:eastAsia="nl-NL"/>
        </w:rPr>
        <w:t>MxaD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. The </w:t>
      </w:r>
      <w:proofErr w:type="spellStart"/>
      <w:r w:rsidRPr="00253710">
        <w:rPr>
          <w:rFonts w:eastAsia="Times New Roman" w:cstheme="minorHAnsi"/>
          <w:lang w:val="en-US" w:eastAsia="nl-NL"/>
        </w:rPr>
        <w:t>mxaD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 gene is located within the </w:t>
      </w:r>
      <w:proofErr w:type="spellStart"/>
      <w:r w:rsidRPr="00253710">
        <w:rPr>
          <w:rFonts w:eastAsia="Times New Roman" w:cstheme="minorHAnsi"/>
          <w:lang w:val="en-US" w:eastAsia="nl-NL"/>
        </w:rPr>
        <w:t>mxaFJGIR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(S)ACKLDEHB cluster which encodes proteins involved in methanol oxidation. </w:t>
      </w:r>
      <w:proofErr w:type="spellStart"/>
      <w:r w:rsidRPr="00253710">
        <w:rPr>
          <w:rFonts w:eastAsia="Times New Roman" w:cstheme="minorHAnsi"/>
          <w:lang w:val="en-US" w:eastAsia="nl-NL"/>
        </w:rPr>
        <w:t>MxaD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 may participate in the periplasmic electron transport chain for oxidation of methanol. Mutants lacking </w:t>
      </w:r>
      <w:proofErr w:type="spellStart"/>
      <w:r w:rsidRPr="00253710">
        <w:rPr>
          <w:rFonts w:eastAsia="Times New Roman" w:cstheme="minorHAnsi"/>
          <w:lang w:val="en-US" w:eastAsia="nl-NL"/>
        </w:rPr>
        <w:t>MxaD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 exhibit a reduced growth on methanol, and a lower rate of respiration with methanol.</w:t>
      </w:r>
    </w:p>
    <w:p w:rsidR="00C525D0" w:rsidRDefault="00C525D0" w:rsidP="00253710">
      <w:pPr>
        <w:pStyle w:val="Lijstalinea"/>
        <w:spacing w:after="0"/>
        <w:ind w:left="0"/>
        <w:rPr>
          <w:rFonts w:cstheme="minorHAnsi"/>
          <w:lang w:val="en-US"/>
        </w:rPr>
      </w:pPr>
    </w:p>
    <w:p w:rsidR="00C525D0" w:rsidRPr="00253710" w:rsidRDefault="00C525D0" w:rsidP="00253710">
      <w:pPr>
        <w:pStyle w:val="Lijstalinea"/>
        <w:spacing w:after="0"/>
        <w:ind w:left="0"/>
        <w:rPr>
          <w:rFonts w:cstheme="minorHAnsi"/>
          <w:lang w:val="en-US"/>
        </w:rPr>
      </w:pPr>
      <w:bookmarkStart w:id="0" w:name="_GoBack"/>
      <w:bookmarkEnd w:id="0"/>
    </w:p>
    <w:p w:rsidR="00A318BB" w:rsidRDefault="00A318BB" w:rsidP="00A318BB">
      <w:pPr>
        <w:pStyle w:val="Lijstalinea"/>
        <w:keepNext/>
        <w:spacing w:after="0"/>
      </w:pPr>
      <w:r>
        <w:rPr>
          <w:noProof/>
          <w:lang w:val="en-US"/>
        </w:rPr>
        <w:drawing>
          <wp:inline distT="0" distB="0" distL="0" distR="0">
            <wp:extent cx="4600575" cy="248538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erved domains datab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247" cy="25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D0" w:rsidRDefault="00C525D0" w:rsidP="00C525D0">
      <w:pPr>
        <w:pStyle w:val="Bijschrift"/>
        <w:ind w:left="12" w:firstLine="708"/>
        <w:rPr>
          <w:noProof/>
        </w:rPr>
      </w:pPr>
      <w:hyperlink r:id="rId11" w:history="1">
        <w:r w:rsidRPr="00B26791">
          <w:rPr>
            <w:rStyle w:val="Hyperlink"/>
          </w:rPr>
          <w:t>https://www.ncbi.nlm.nih.gov/Structure/cdd/cddsrv.cgi?uid=176863</w:t>
        </w:r>
      </w:hyperlink>
      <w:r w:rsidRPr="00C525D0">
        <w:rPr>
          <w:noProof/>
        </w:rPr>
        <w:t xml:space="preserve"> </w:t>
      </w:r>
    </w:p>
    <w:p w:rsidR="00C525D0" w:rsidRDefault="00C525D0" w:rsidP="00C525D0">
      <w:pPr>
        <w:pStyle w:val="Bijschrift"/>
        <w:keepNext/>
        <w:ind w:left="12" w:firstLine="708"/>
      </w:pPr>
      <w:r>
        <w:rPr>
          <w:noProof/>
        </w:rPr>
        <w:lastRenderedPageBreak/>
        <w:drawing>
          <wp:inline distT="0" distB="0" distL="0" distR="0" wp14:anchorId="5EEAA08C" wp14:editId="0653A4DA">
            <wp:extent cx="5544541" cy="4306308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67" cy="43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D0" w:rsidRDefault="00C525D0" w:rsidP="00C525D0">
      <w:pPr>
        <w:pStyle w:val="Bijschrift"/>
      </w:pPr>
      <w:hyperlink r:id="rId13" w:history="1">
        <w:r w:rsidRPr="00A97703">
          <w:rPr>
            <w:rStyle w:val="Hyperlink"/>
          </w:rPr>
          <w:t>http://www.rcsb.org/pdb/explore/remediatedSequence.do?structureId=3K90</w:t>
        </w:r>
      </w:hyperlink>
    </w:p>
    <w:p w:rsidR="00C525D0" w:rsidRDefault="00C525D0" w:rsidP="00C525D0">
      <w:pPr>
        <w:pStyle w:val="Lijstalinea"/>
        <w:spacing w:after="0"/>
        <w:rPr>
          <w:lang w:val="en-US"/>
        </w:rPr>
      </w:pPr>
    </w:p>
    <w:p w:rsidR="003D4DD3" w:rsidRPr="003D4DD3" w:rsidRDefault="003D4DD3" w:rsidP="003D4DD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Profiles </w:t>
      </w:r>
      <w:r>
        <w:rPr>
          <w:b/>
          <w:lang w:val="en-US"/>
        </w:rPr>
        <w:t xml:space="preserve">MOTIF search </w:t>
      </w:r>
    </w:p>
    <w:sectPr w:rsidR="003D4DD3" w:rsidRPr="003D4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F0F9A"/>
    <w:multiLevelType w:val="hybridMultilevel"/>
    <w:tmpl w:val="B2A03D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D3"/>
    <w:rsid w:val="00112808"/>
    <w:rsid w:val="00253710"/>
    <w:rsid w:val="003D4DD3"/>
    <w:rsid w:val="0045174D"/>
    <w:rsid w:val="00464418"/>
    <w:rsid w:val="00513658"/>
    <w:rsid w:val="006411C7"/>
    <w:rsid w:val="00676C4B"/>
    <w:rsid w:val="007F4296"/>
    <w:rsid w:val="00817FC2"/>
    <w:rsid w:val="00895F76"/>
    <w:rsid w:val="0097455A"/>
    <w:rsid w:val="00A30DF6"/>
    <w:rsid w:val="00A318BB"/>
    <w:rsid w:val="00A35999"/>
    <w:rsid w:val="00B91FD8"/>
    <w:rsid w:val="00BA668F"/>
    <w:rsid w:val="00BF1FFD"/>
    <w:rsid w:val="00C525D0"/>
    <w:rsid w:val="00E57BB7"/>
    <w:rsid w:val="00EB260F"/>
    <w:rsid w:val="00F611BA"/>
    <w:rsid w:val="00FC1F4E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3282"/>
  <w15:chartTrackingRefBased/>
  <w15:docId w15:val="{DEEC0FD4-9FB8-4298-81ED-C16ED213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D4DD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4DD3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3D4DD3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A318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interpro/entry/IPR019587" TargetMode="External"/><Relationship Id="rId13" Type="http://schemas.openxmlformats.org/officeDocument/2006/relationships/hyperlink" Target="http://www.rcsb.org/pdb/explore/remediatedSequence.do?structureId=3K9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protein/O49686.1?report=genbank&amp;log$=protalign&amp;blast_rank=1&amp;RID=T1WX84DT015" TargetMode="External"/><Relationship Id="rId11" Type="http://schemas.openxmlformats.org/officeDocument/2006/relationships/hyperlink" Target="https://www.ncbi.nlm.nih.gov/Structure/cdd/cddsrv.cgi?uid=17686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fam.xfam.org/family/PF0336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E46D4-07CD-4AC3-A56D-EBF5A353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4</cp:revision>
  <dcterms:created xsi:type="dcterms:W3CDTF">2018-09-07T05:10:00Z</dcterms:created>
  <dcterms:modified xsi:type="dcterms:W3CDTF">2018-09-08T10:29:00Z</dcterms:modified>
</cp:coreProperties>
</file>