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  <w:color w:val="24408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4408f"/>
          <w:sz w:val="26"/>
          <w:szCs w:val="26"/>
          <w:rtl w:val="0"/>
        </w:rPr>
        <w:t xml:space="preserve">Mooc  2.3.3 - What types of AI applications in Education?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4408f"/>
          <w:sz w:val="24"/>
          <w:szCs w:val="24"/>
          <w:rtl w:val="0"/>
        </w:rPr>
        <w:t xml:space="preserve">Objectives :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List the existing AI systems, what are their potential or existing uses in Education </w:t>
      </w:r>
    </w:p>
    <w:p w:rsidR="00000000" w:rsidDel="00000000" w:rsidP="00000000" w:rsidRDefault="00000000" w:rsidRPr="00000000" w14:paraId="00000003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24408f"/>
          <w:sz w:val="24"/>
          <w:szCs w:val="24"/>
          <w:rtl w:val="0"/>
        </w:rPr>
        <w:t xml:space="preserve">Contributors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: Inria Learning Lab</w:t>
      </w:r>
    </w:p>
    <w:p w:rsidR="00000000" w:rsidDel="00000000" w:rsidP="00000000" w:rsidRDefault="00000000" w:rsidRPr="00000000" w14:paraId="00000004">
      <w:pPr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As a scientific discipline, AI covers several sub-areas of expertise and their associated techniques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vertAlign w:val="superscript"/>
        </w:rPr>
        <w:footnoteReference w:customMarkFollows="0" w:id="0"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 as depicted on the following figure, created by the European High-Level Expert Group on Artificial Intelligence. Some of them are often quoted, others less known. </w:t>
      </w:r>
    </w:p>
    <w:p w:rsidR="00000000" w:rsidDel="00000000" w:rsidP="00000000" w:rsidRDefault="00000000" w:rsidRPr="00000000" w14:paraId="00000006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731200" cy="3670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A simplified overview of AI’s sub-disciplines and their relationship. </w:t>
        <w:br w:type="textWrapping"/>
        <w:t xml:space="preserve">Both machine learning and reasoning include many other techniques, and robotics includes techniques that are outside AI. The whole of AI falls within the computer science discipline.</w:t>
      </w:r>
    </w:p>
    <w:p w:rsidR="00000000" w:rsidDel="00000000" w:rsidP="00000000" w:rsidRDefault="00000000" w:rsidRPr="00000000" w14:paraId="00000008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Among the possible classifications of AI scientific domains, the following table presents an AI taxonomy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vertAlign w:val="superscript"/>
        </w:rPr>
        <w:footnoteReference w:customMarkFollows="0" w:id="1"/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according to the family functions possibly performed by AI.</w:t>
      </w:r>
    </w:p>
    <w:p w:rsidR="00000000" w:rsidDel="00000000" w:rsidP="00000000" w:rsidRDefault="00000000" w:rsidRPr="00000000" w14:paraId="0000000A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</w:rPr>
        <w:drawing>
          <wp:inline distB="114300" distT="114300" distL="114300" distR="114300">
            <wp:extent cx="5453063" cy="380446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3804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AI taxonomy of AI scientific domains and subdomains</w:t>
      </w:r>
    </w:p>
    <w:p w:rsidR="00000000" w:rsidDel="00000000" w:rsidP="00000000" w:rsidRDefault="00000000" w:rsidRPr="00000000" w14:paraId="0000000C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Let’s see which AI techniques are used in the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AI-based education-oriented applications proposed by Holmes &amp; al. in 2019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vertAlign w:val="superscript"/>
        </w:rPr>
        <w:footnoteReference w:customMarkFollows="0" w:id="2"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after="240" w:before="240" w:line="259" w:lineRule="auto"/>
        <w:jc w:val="center"/>
        <w:rPr>
          <w:rFonts w:ascii="Roboto" w:cs="Roboto" w:eastAsia="Roboto" w:hAnsi="Roboto"/>
          <w:color w:val="3c4858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c4858"/>
          <w:sz w:val="21"/>
          <w:szCs w:val="21"/>
          <w:highlight w:val="white"/>
        </w:rPr>
        <w:drawing>
          <wp:inline distB="114300" distT="114300" distL="114300" distR="114300">
            <wp:extent cx="5357813" cy="301710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3017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3c4858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3c4858"/>
          <w:sz w:val="18"/>
          <w:szCs w:val="18"/>
          <w:highlight w:val="white"/>
          <w:rtl w:val="0"/>
        </w:rPr>
        <w:t xml:space="preserve">Different types of current AI-based systems for Education (from Holmes &amp; al. 2019)</w:t>
      </w:r>
    </w:p>
    <w:p w:rsidR="00000000" w:rsidDel="00000000" w:rsidP="00000000" w:rsidRDefault="00000000" w:rsidRPr="00000000" w14:paraId="0000000F">
      <w:pPr>
        <w:spacing w:after="240" w:before="24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Each specific AI-based educational tool or resource has its own specific techniques. However, it is sometimes possible to guess which ones are likely to be used for a given resource. </w:t>
      </w:r>
    </w:p>
    <w:p w:rsidR="00000000" w:rsidDel="00000000" w:rsidP="00000000" w:rsidRDefault="00000000" w:rsidRPr="00000000" w14:paraId="00000010">
      <w:pPr>
        <w:spacing w:after="240" w:before="24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Let’s take some examples: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Dialogue-based tutoring system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as a student teaching service</w:t>
        <w:br w:type="textWrapping"/>
        <w:t xml:space="preserve">Such systems are likely to use: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communication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techniques such as natural language processing for speech and language understanding and generation 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reasoning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techniques for tutoring purposes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Course recommendation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as a student supporting service</w:t>
        <w:br w:type="textWrapping"/>
        <w:t xml:space="preserve">As for personalised marketing offers and recommendations functions that can be found on the Internet, course recommendation systems are probably based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machine learning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techniques by analysing relevant current data related to the student learning path and identifying similarities to previous generalised student learning paths.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Student attention and emotion detection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as a teacher supporting service</w:t>
        <w:br w:type="textWrapping"/>
        <w:t xml:space="preserve">Such a system is likely to use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perception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techniques (computer vision for facial recognition for example) 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machine learning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techniques to analyse the student’s facial expressions or behaviour if such information are collected and analysed.</w:t>
      </w:r>
    </w:p>
    <w:p w:rsidR="00000000" w:rsidDel="00000000" w:rsidP="00000000" w:rsidRDefault="00000000" w:rsidRPr="00000000" w14:paraId="00000014">
      <w:pPr>
        <w:spacing w:after="240" w:before="24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1">
    <w:p w:rsidR="00000000" w:rsidDel="00000000" w:rsidP="00000000" w:rsidRDefault="00000000" w:rsidRPr="00000000" w14:paraId="00000017">
      <w:pPr>
        <w:spacing w:line="240" w:lineRule="auto"/>
        <w:rPr>
          <w:rFonts w:ascii="Open Sans" w:cs="Open Sans" w:eastAsia="Open Sans" w:hAnsi="Open Sans"/>
          <w:sz w:val="16"/>
          <w:szCs w:val="16"/>
          <w:highlight w:val="whit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AI Watch - Defining Artificial Intelligence - 2.0. Towards an operational definition and taxonomy for the AI landscape-</w:t>
        <w:br w:type="textWrapping"/>
        <w:t xml:space="preserve">Samoili, S., López Cobo, M., Delipetrev, B., Martínez-Plumed, F., Gómez, E., and De Prato, G. - EUR 30873 EN, Publications Office of the European Union, Luxembourg, 2021, ISBN 978-92-76-42648-6, doi:10.2760/019901, JRC126426.</w:t>
      </w:r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018">
      <w:pPr>
        <w:spacing w:line="240" w:lineRule="auto"/>
        <w:rPr>
          <w:rFonts w:ascii="Open Sans" w:cs="Open Sans" w:eastAsia="Open Sans" w:hAnsi="Open Sans"/>
          <w:sz w:val="16"/>
          <w:szCs w:val="16"/>
          <w:highlight w:val="whit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16"/>
          <w:szCs w:val="16"/>
          <w:rtl w:val="0"/>
        </w:rPr>
        <w:t xml:space="preserve">Artificial Intelligence In Education: Promises and Implications for Teaching and Learning - Wayne Holmes, Maya Bialik, Charles Fadel - Boston, MA, Center for Curriculum Redesign, 2019.</w:t>
        <w:br w:type="textWrapping"/>
      </w:r>
      <w:r w:rsidDel="00000000" w:rsidR="00000000" w:rsidRPr="00000000">
        <w:rPr>
          <w:rtl w:val="0"/>
        </w:rPr>
      </w:r>
    </w:p>
  </w:footnote>
  <w:footnote w:id="0">
    <w:p w:rsidR="00000000" w:rsidDel="00000000" w:rsidP="00000000" w:rsidRDefault="00000000" w:rsidRPr="00000000" w14:paraId="0000001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16"/>
          <w:szCs w:val="16"/>
          <w:highlight w:val="white"/>
          <w:rtl w:val="0"/>
        </w:rPr>
        <w:t xml:space="preserve">A definition of AI: main capabilities and disciplines - High-Level Expert Group on Artificial Intelligence, European Commission - 2019.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