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color w:val="24408f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408f"/>
          <w:sz w:val="26"/>
          <w:szCs w:val="26"/>
          <w:rtl w:val="0"/>
        </w:rPr>
        <w:t xml:space="preserve">Mooc  3.1.3a- How does AI Works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Presentation of AI4T template for AI characterization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Contributors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: Inria,  Jiajun PAN, Azim ROUSSANALY, Anne BOYER  - Based on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Report on template for analysing AI-related features in learning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rtl w:val="0"/>
        </w:rPr>
        <w:t xml:space="preserve">lthough </w:t>
      </w: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Artificial Intelligence Educational Resources -AIERs- </w:t>
      </w: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rtl w:val="0"/>
        </w:rPr>
        <w:t xml:space="preserve">are becoming increasingly common, there is currently no tool to comprehensively map the characteristics of AIERs and help users make informed use of these resources.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rtl w:val="0"/>
        </w:rPr>
        <w:t xml:space="preserve">The LORIA</w:t>
      </w: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rtl w:val="0"/>
        </w:rPr>
        <w:t xml:space="preserve"> Research Laboratory has designed a template for AI characterisation</w:t>
      </w: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Open Sans" w:cs="Open Sans" w:eastAsia="Open Sans" w:hAnsi="Open Sans"/>
          <w:color w:val="002060"/>
          <w:sz w:val="24"/>
          <w:szCs w:val="24"/>
          <w:rtl w:val="0"/>
        </w:rPr>
        <w:t xml:space="preserve"> in</w:t>
      </w: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 order to help users, and here specifically teachers, to better understand the resources they or their students use. </w:t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Organised in different layers that cover all the features of the AIER, from usage scenarios to the transparency mechanism to explain the decision proposed by the AI, this template is a tool to help better understand what makes up an AIER.  </w:t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2060"/>
          <w:sz w:val="23.999998092651367"/>
          <w:szCs w:val="23.999998092651367"/>
          <w:rtl w:val="0"/>
        </w:rPr>
        <w:t xml:space="preserve">Click on the image below and have a look at the ready-to-use format of The Template for Analysing AI Educational resources.</w:t>
      </w: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</w:rPr>
        <w:drawing>
          <wp:inline distB="114300" distT="114300" distL="114300" distR="114300">
            <wp:extent cx="3048000" cy="609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The Template in a ready-to-use format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 can also been uploaded and filled in for your own AI Educational tools and resources.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color w:val="002060"/>
          <w:sz w:val="23.999998092651367"/>
          <w:szCs w:val="23.999998092651367"/>
        </w:rPr>
      </w:pPr>
      <w:r w:rsidDel="00000000" w:rsidR="00000000" w:rsidRPr="00000000">
        <w:rPr>
          <w:rFonts w:ascii="Open Sans" w:cs="Open Sans" w:eastAsia="Open Sans" w:hAnsi="Open Sans"/>
          <w:color w:val="002060"/>
          <w:sz w:val="23.999998092651367"/>
          <w:szCs w:val="23.999998092651367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2060"/>
          <w:sz w:val="20"/>
          <w:szCs w:val="20"/>
          <w:rtl w:val="0"/>
        </w:rPr>
        <w:t xml:space="preserve">Loria (Lorraine Research Laboratory in Computer Science and its Applications) is part of a research unit (UMR 7503), common to </w:t>
      </w:r>
      <w:hyperlink r:id="rId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CNRS</w:t>
        </w:r>
      </w:hyperlink>
      <w:r w:rsidDel="00000000" w:rsidR="00000000" w:rsidRPr="00000000">
        <w:rPr>
          <w:rFonts w:ascii="Open Sans" w:cs="Open Sans" w:eastAsia="Open Sans" w:hAnsi="Open Sans"/>
          <w:color w:val="002060"/>
          <w:sz w:val="20"/>
          <w:szCs w:val="20"/>
          <w:rtl w:val="0"/>
        </w:rPr>
        <w:t xml:space="preserve">, the </w:t>
      </w:r>
      <w:hyperlink r:id="rId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University of Lorraine</w:t>
        </w:r>
      </w:hyperlink>
      <w:r w:rsidDel="00000000" w:rsidR="00000000" w:rsidRPr="00000000">
        <w:rPr>
          <w:rFonts w:ascii="Open Sans" w:cs="Open Sans" w:eastAsia="Open Sans" w:hAnsi="Open Sans"/>
          <w:color w:val="002060"/>
          <w:sz w:val="20"/>
          <w:szCs w:val="20"/>
          <w:rtl w:val="0"/>
        </w:rPr>
        <w:t xml:space="preserve"> and </w:t>
      </w:r>
      <w:hyperlink r:id="rId3">
        <w:r w:rsidDel="00000000" w:rsidR="00000000" w:rsidRPr="00000000">
          <w:rPr>
            <w:rFonts w:ascii="Open Sans" w:cs="Open Sans" w:eastAsia="Open Sans" w:hAnsi="Open Sans"/>
            <w:color w:val="002060"/>
            <w:sz w:val="20"/>
            <w:szCs w:val="20"/>
            <w:rtl w:val="0"/>
          </w:rPr>
          <w:t xml:space="preserve">INRIA</w:t>
        </w:r>
      </w:hyperlink>
      <w:r w:rsidDel="00000000" w:rsidR="00000000" w:rsidRPr="00000000">
        <w:rPr>
          <w:rFonts w:ascii="Open Sans" w:cs="Open Sans" w:eastAsia="Open Sans" w:hAnsi="Open Sans"/>
          <w:color w:val="002060"/>
          <w:sz w:val="20"/>
          <w:szCs w:val="20"/>
          <w:rtl w:val="0"/>
        </w:rPr>
        <w:t xml:space="preserve">. It is a member of the AI4T consortium and brings its expertise in AI in education (and on learning analysis) to AI4T Erasmus+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00206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Report on template for analyzing AI-related features in learning resources</w:t>
        </w:r>
      </w:hyperlink>
      <w:r w:rsidDel="00000000" w:rsidR="00000000" w:rsidRPr="00000000">
        <w:rPr>
          <w:rFonts w:ascii="Open Sans" w:cs="Open Sans" w:eastAsia="Open Sans" w:hAnsi="Open Sans"/>
          <w:color w:val="002060"/>
          <w:sz w:val="20"/>
          <w:szCs w:val="20"/>
          <w:rtl w:val="0"/>
        </w:rPr>
        <w:t xml:space="preserve"> - Jiajun PAN, Azim ROUSSANALY, Anne BOYER - AI4T Erasmus+ project, 2022.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sz w:val="16"/>
            <w:szCs w:val="16"/>
            <w:u w:val="single"/>
            <w:rtl w:val="0"/>
          </w:rPr>
          <w:t xml:space="preserve">Ready to Use template for AI resources Characterisation</w:t>
        </w:r>
      </w:hyperlink>
      <w:r w:rsidDel="00000000" w:rsidR="00000000" w:rsidRPr="00000000">
        <w:rPr>
          <w:rFonts w:ascii="Open Sans" w:cs="Open Sans" w:eastAsia="Open Sans" w:hAnsi="Open Sans"/>
          <w:sz w:val="16"/>
          <w:szCs w:val="16"/>
          <w:rtl w:val="0"/>
        </w:rPr>
        <w:t xml:space="preserve"> - Inria Learning Lab,  Jiajun PAN, Azim ROUSSANALY, Anne BOYER  - AI4T Erasmus+ Project - 2022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to-tUFkhSOaSGQr4JGCETscxbvbLxyzI/view?usp=sharing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cnrs.fr/index.php" TargetMode="External"/><Relationship Id="rId2" Type="http://schemas.openxmlformats.org/officeDocument/2006/relationships/hyperlink" Target="http://vers.univ-lorraine.fr/" TargetMode="External"/><Relationship Id="rId3" Type="http://schemas.openxmlformats.org/officeDocument/2006/relationships/hyperlink" Target="http://www.inria.fr/en/" TargetMode="External"/><Relationship Id="rId4" Type="http://schemas.openxmlformats.org/officeDocument/2006/relationships/hyperlink" Target="https://github.com/inrialearninglab/ai4t/blob/mooc-v2/docs/O1-Mooc/module-3-how-does-AI-work/3-1-ai-in-all-its-forms/REPORT_ON_THE_TEMPLATE_1.0.pdf" TargetMode="External"/><Relationship Id="rId5" Type="http://schemas.openxmlformats.org/officeDocument/2006/relationships/hyperlink" Target="https://github.com/inrialearninglab/ai4t/blob/mooc-v2/docs/O1-Mooc/module-3-how-does-AI-work/3-1-ai-in-all-its-forms/AI4T-Template_Ready_to_u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