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85" w:rsidRDefault="0025039D">
      <w:pPr>
        <w:rPr>
          <w:rFonts w:ascii="Open Sans" w:eastAsia="Open Sans" w:hAnsi="Open Sans" w:cs="Open Sans"/>
          <w:b/>
          <w:color w:val="24408F"/>
          <w:sz w:val="26"/>
          <w:szCs w:val="26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24408F"/>
          <w:sz w:val="26"/>
          <w:szCs w:val="26"/>
        </w:rPr>
        <w:t>Mooc</w:t>
      </w:r>
      <w:proofErr w:type="spellEnd"/>
      <w:r>
        <w:rPr>
          <w:rFonts w:ascii="Open Sans" w:eastAsia="Open Sans" w:hAnsi="Open Sans" w:cs="Open Sans"/>
          <w:b/>
          <w:color w:val="24408F"/>
          <w:sz w:val="26"/>
          <w:szCs w:val="26"/>
        </w:rPr>
        <w:t xml:space="preserve">  4.1.3</w:t>
      </w:r>
      <w:proofErr w:type="gramEnd"/>
      <w:r>
        <w:rPr>
          <w:rFonts w:ascii="Open Sans" w:eastAsia="Open Sans" w:hAnsi="Open Sans" w:cs="Open Sans"/>
          <w:b/>
          <w:color w:val="24408F"/>
          <w:sz w:val="26"/>
          <w:szCs w:val="26"/>
        </w:rPr>
        <w:t xml:space="preserve"> - Risks associated to the use of AI systems in decision making</w:t>
      </w:r>
    </w:p>
    <w:p w:rsidR="00F15985" w:rsidRDefault="00F15985">
      <w:pPr>
        <w:jc w:val="center"/>
        <w:rPr>
          <w:rFonts w:ascii="Open Sans" w:eastAsia="Open Sans" w:hAnsi="Open Sans" w:cs="Open Sans"/>
          <w:b/>
          <w:color w:val="24408F"/>
          <w:sz w:val="26"/>
          <w:szCs w:val="26"/>
        </w:rPr>
      </w:pPr>
    </w:p>
    <w:p w:rsidR="00F15985" w:rsidRDefault="0025039D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24408F"/>
          <w:sz w:val="24"/>
          <w:szCs w:val="24"/>
        </w:rPr>
        <w:t xml:space="preserve">Objectives: </w:t>
      </w:r>
      <w:r>
        <w:rPr>
          <w:rFonts w:ascii="Open Sans" w:eastAsia="Open Sans" w:hAnsi="Open Sans" w:cs="Open Sans"/>
          <w:sz w:val="24"/>
          <w:szCs w:val="24"/>
        </w:rPr>
        <w:t xml:space="preserve">Understand the classification of risked linked to the use of AI systems in decision </w:t>
      </w:r>
    </w:p>
    <w:p w:rsidR="00F15985" w:rsidRDefault="0025039D">
      <w:pPr>
        <w:rPr>
          <w:rFonts w:ascii="Open Sans" w:eastAsia="Open Sans" w:hAnsi="Open Sans" w:cs="Open Sans"/>
          <w:b/>
          <w:color w:val="24408F"/>
          <w:sz w:val="26"/>
          <w:szCs w:val="26"/>
        </w:rPr>
      </w:pPr>
      <w:r>
        <w:rPr>
          <w:rFonts w:ascii="Open Sans" w:eastAsia="Open Sans" w:hAnsi="Open Sans" w:cs="Open Sans"/>
          <w:color w:val="24408F"/>
          <w:sz w:val="24"/>
          <w:szCs w:val="24"/>
        </w:rPr>
        <w:t>Contributors</w:t>
      </w:r>
      <w:r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Inria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 EU Framework proposal on AI - Risk assessment </w:t>
      </w:r>
    </w:p>
    <w:p w:rsidR="00F15985" w:rsidRDefault="00F15985">
      <w:pPr>
        <w:pStyle w:val="Titre2"/>
        <w:widowControl w:val="0"/>
        <w:spacing w:before="20" w:line="240" w:lineRule="auto"/>
      </w:pPr>
      <w:bookmarkStart w:id="0" w:name="_3xwyzxkzstak" w:colFirst="0" w:colLast="0"/>
      <w:bookmarkEnd w:id="0"/>
    </w:p>
    <w:p w:rsidR="00F15985" w:rsidRDefault="0025039D">
      <w:pPr>
        <w:pStyle w:val="Titre2"/>
        <w:widowControl w:val="0"/>
        <w:spacing w:before="20" w:line="240" w:lineRule="auto"/>
      </w:pPr>
      <w:bookmarkStart w:id="1" w:name="_pudqc21m63xl" w:colFirst="0" w:colLast="0"/>
      <w:bookmarkEnd w:id="1"/>
      <w:r>
        <w:t>The 4 levels of risk in AI</w:t>
      </w:r>
    </w:p>
    <w:p w:rsidR="00F15985" w:rsidRDefault="0025039D">
      <w:pPr>
        <w:widowControl w:val="0"/>
        <w:spacing w:before="20"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 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>Regulatory Framework Proposal on Artificial Intelligence</w:t>
      </w:r>
      <w:r>
        <w:rPr>
          <w:rFonts w:ascii="Open Sans" w:eastAsia="Open Sans" w:hAnsi="Open Sans" w:cs="Open Sans"/>
          <w:sz w:val="24"/>
          <w:szCs w:val="24"/>
          <w:highlight w:val="white"/>
          <w:vertAlign w:val="superscript"/>
        </w:rPr>
        <w:footnoteReference w:id="1"/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set up by the European Commission (EC) in 2021 identifies four levels of risk linked to the use of AI systems. It is reminded that “</w:t>
      </w:r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While most AI systems pose limited </w:t>
      </w:r>
      <w:r>
        <w:rPr>
          <w:rFonts w:ascii="Open Sans" w:eastAsia="Open Sans" w:hAnsi="Open Sans" w:cs="Open Sans"/>
          <w:i/>
          <w:sz w:val="24"/>
          <w:szCs w:val="24"/>
          <w:highlight w:val="white"/>
        </w:rPr>
        <w:t>to no risk and can contribute to solving many societal challenges, certain AI systems create risks that we must address to avoid undesirable outcomes</w:t>
      </w:r>
      <w:r>
        <w:rPr>
          <w:rFonts w:ascii="Open Sans" w:eastAsia="Open Sans" w:hAnsi="Open Sans" w:cs="Open Sans"/>
          <w:sz w:val="24"/>
          <w:szCs w:val="24"/>
          <w:highlight w:val="white"/>
        </w:rPr>
        <w:t>”.</w:t>
      </w:r>
    </w:p>
    <w:p w:rsidR="00F15985" w:rsidRDefault="0025039D">
      <w:pPr>
        <w:widowControl w:val="0"/>
        <w:spacing w:before="20"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With a focus on the fact that </w:t>
      </w:r>
      <w:r w:rsidR="00BF1929">
        <w:rPr>
          <w:rFonts w:ascii="Open Sans" w:eastAsia="Open Sans" w:hAnsi="Open Sans" w:cs="Open Sans"/>
          <w:sz w:val="24"/>
          <w:szCs w:val="24"/>
          <w:highlight w:val="white"/>
        </w:rPr>
        <w:t>“</w:t>
      </w:r>
      <w:r>
        <w:rPr>
          <w:rFonts w:ascii="Open Sans" w:eastAsia="Open Sans" w:hAnsi="Open Sans" w:cs="Open Sans"/>
          <w:i/>
          <w:sz w:val="24"/>
          <w:szCs w:val="24"/>
          <w:highlight w:val="white"/>
        </w:rPr>
        <w:t>it is often not possible to find out why an AI system has made a decision</w:t>
      </w:r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or prediction and taken a particular action. So, it may become difficult to assess whether someone has been unfairly disadvantaged, such as in a hiring decision or in an application for a public benefit schem</w:t>
      </w:r>
      <w:r>
        <w:rPr>
          <w:rFonts w:ascii="Open Sans" w:eastAsia="Open Sans" w:hAnsi="Open Sans" w:cs="Open Sans"/>
          <w:i/>
          <w:sz w:val="24"/>
          <w:szCs w:val="24"/>
          <w:highlight w:val="white"/>
        </w:rPr>
        <w:t>e</w:t>
      </w:r>
      <w:r w:rsidR="00BF1929">
        <w:rPr>
          <w:rFonts w:ascii="Open Sans" w:eastAsia="Open Sans" w:hAnsi="Open Sans" w:cs="Open Sans"/>
          <w:i/>
          <w:sz w:val="24"/>
          <w:szCs w:val="24"/>
          <w:highlight w:val="white"/>
        </w:rPr>
        <w:t>”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</w:t>
      </w:r>
    </w:p>
    <w:p w:rsidR="00F15985" w:rsidRDefault="00F15985">
      <w:pPr>
        <w:widowControl w:val="0"/>
        <w:spacing w:before="20"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F15985" w:rsidRDefault="0025039D">
      <w:pPr>
        <w:widowControl w:val="0"/>
        <w:spacing w:before="20"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Four levels of risk were identified, from 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minimal to unacceptable: </w:t>
      </w:r>
    </w:p>
    <w:p w:rsidR="00F15985" w:rsidRDefault="0025039D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Unacceptable risk</w:t>
      </w:r>
      <w:r>
        <w:rPr>
          <w:rFonts w:ascii="Open Sans" w:eastAsia="Open Sans" w:hAnsi="Open Sans" w:cs="Open Sans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All AI systems considered a clear threat to the safety, livelihoods and rights of people will be banned, from social scoring by governments to toys using voice assistance that encourages dangerous behaviour.</w:t>
      </w:r>
    </w:p>
    <w:p w:rsidR="00F15985" w:rsidRDefault="0025039D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High risk</w:t>
      </w:r>
      <w:r>
        <w:rPr>
          <w:rFonts w:ascii="Open Sans" w:eastAsia="Open Sans" w:hAnsi="Open Sans" w:cs="Open Sans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AI systems identified as high-risk include AI technology used in:</w:t>
      </w:r>
    </w:p>
    <w:p w:rsidR="00F15985" w:rsidRDefault="0025039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critical infrastructures (e.g. transport), that could put the life and health of citizens at risk;</w:t>
      </w:r>
    </w:p>
    <w:p w:rsidR="00F15985" w:rsidRDefault="0025039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color w:val="000000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>educational or vocational training, that may determine the access to education a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>nd professional course of someone’s life (e.g. scoring of exams)</w:t>
      </w:r>
      <w:r>
        <w:rPr>
          <w:rFonts w:ascii="Open Sans" w:eastAsia="Open Sans" w:hAnsi="Open Sans" w:cs="Open Sans"/>
          <w:sz w:val="24"/>
          <w:szCs w:val="24"/>
          <w:highlight w:val="white"/>
        </w:rPr>
        <w:t>;</w:t>
      </w:r>
    </w:p>
    <w:p w:rsidR="00F15985" w:rsidRDefault="0025039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safety components of products (e.g. AI application in robot-assisted surgery);</w:t>
      </w:r>
    </w:p>
    <w:p w:rsidR="00F15985" w:rsidRDefault="0025039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employment, management of workers and access to self-employment (e.g. CV-sorting software for recruitment proce</w:t>
      </w:r>
      <w:r>
        <w:rPr>
          <w:rFonts w:ascii="Open Sans" w:eastAsia="Open Sans" w:hAnsi="Open Sans" w:cs="Open Sans"/>
          <w:sz w:val="24"/>
          <w:szCs w:val="24"/>
          <w:highlight w:val="white"/>
        </w:rPr>
        <w:t>dures);</w:t>
      </w:r>
    </w:p>
    <w:p w:rsidR="00F15985" w:rsidRDefault="0025039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essential private and public services (e.g. credit scoring denying citizens opportunity to obtain a loan);</w:t>
      </w:r>
    </w:p>
    <w:p w:rsidR="00F15985" w:rsidRDefault="0025039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law enforcement that may interfere with people’s fundamental rights (e.g. evaluation of the reliability of evidence);</w:t>
      </w:r>
    </w:p>
    <w:p w:rsidR="00F15985" w:rsidRDefault="0025039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migration, asylum and b</w:t>
      </w:r>
      <w:r>
        <w:rPr>
          <w:rFonts w:ascii="Open Sans" w:eastAsia="Open Sans" w:hAnsi="Open Sans" w:cs="Open Sans"/>
          <w:sz w:val="24"/>
          <w:szCs w:val="24"/>
          <w:highlight w:val="white"/>
        </w:rPr>
        <w:t>order control management (e.g. verification of authenticity of travel documents);</w:t>
      </w:r>
    </w:p>
    <w:p w:rsidR="00F15985" w:rsidRDefault="0025039D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administration of justice and democratic processes (e.g. applying the law to a concrete set of facts).</w:t>
      </w:r>
    </w:p>
    <w:p w:rsidR="00F15985" w:rsidRDefault="0025039D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Limited risk</w:t>
      </w:r>
      <w:r>
        <w:rPr>
          <w:rFonts w:ascii="Open Sans" w:eastAsia="Open Sans" w:hAnsi="Open Sans" w:cs="Open Sans"/>
          <w:sz w:val="24"/>
          <w:szCs w:val="24"/>
        </w:rPr>
        <w:t>: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Limited risk refers to AI systems with specific transparency obligations. When using AI systems such as chatbots, users should be aware that they are interacting with a machine so they can take an informed decision to continue or step back.</w:t>
      </w:r>
    </w:p>
    <w:p w:rsidR="00F15985" w:rsidRDefault="0025039D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Minimal or no r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isk</w:t>
      </w:r>
      <w:r>
        <w:rPr>
          <w:rFonts w:ascii="Open Sans" w:eastAsia="Open Sans" w:hAnsi="Open Sans" w:cs="Open Sans"/>
          <w:sz w:val="24"/>
          <w:szCs w:val="24"/>
        </w:rPr>
        <w:t xml:space="preserve">: The proposal allows the free use of minimal-risk AI. This includes </w:t>
      </w:r>
      <w:r>
        <w:rPr>
          <w:rFonts w:ascii="Open Sans" w:eastAsia="Open Sans" w:hAnsi="Open Sans" w:cs="Open Sans"/>
          <w:sz w:val="24"/>
          <w:szCs w:val="24"/>
        </w:rPr>
        <w:lastRenderedPageBreak/>
        <w:t>applications such as AI-enabled video games or spa</w:t>
      </w:r>
      <w:r>
        <w:rPr>
          <w:color w:val="404040"/>
          <w:sz w:val="24"/>
          <w:szCs w:val="24"/>
          <w:highlight w:val="white"/>
        </w:rPr>
        <w:t>m</w:t>
      </w:r>
      <w:r>
        <w:rPr>
          <w:rFonts w:ascii="Open Sans" w:eastAsia="Open Sans" w:hAnsi="Open Sans" w:cs="Open Sans"/>
          <w:sz w:val="24"/>
          <w:szCs w:val="24"/>
        </w:rPr>
        <w:t xml:space="preserve"> filters.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The vast majority of AI systems currently used in the EU fall into this category.</w:t>
      </w:r>
    </w:p>
    <w:p w:rsidR="00F15985" w:rsidRDefault="00F15985">
      <w:pPr>
        <w:widowControl w:val="0"/>
        <w:spacing w:line="240" w:lineRule="auto"/>
        <w:ind w:left="720"/>
        <w:rPr>
          <w:color w:val="404040"/>
          <w:sz w:val="24"/>
          <w:szCs w:val="24"/>
          <w:highlight w:val="white"/>
        </w:rPr>
      </w:pPr>
    </w:p>
    <w:p w:rsidR="00F15985" w:rsidRDefault="0025039D">
      <w:pPr>
        <w:widowControl w:val="0"/>
        <w:spacing w:before="20" w:line="240" w:lineRule="auto"/>
        <w:jc w:val="center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985" w:rsidRDefault="0025039D">
      <w:pPr>
        <w:spacing w:after="80" w:line="240" w:lineRule="auto"/>
        <w:jc w:val="both"/>
      </w:pPr>
      <w:r>
        <w:t>Figure: The proposed 4 levels of Artificial Intelligence risks of the AI Act of the EC.</w:t>
      </w:r>
    </w:p>
    <w:p w:rsidR="00F15985" w:rsidRDefault="00F15985">
      <w:pPr>
        <w:widowControl w:val="0"/>
        <w:spacing w:before="20" w:line="240" w:lineRule="auto"/>
        <w:rPr>
          <w:rFonts w:ascii="Open Sans" w:eastAsia="Open Sans" w:hAnsi="Open Sans" w:cs="Open Sans"/>
          <w:color w:val="404040"/>
          <w:sz w:val="24"/>
          <w:szCs w:val="24"/>
        </w:rPr>
      </w:pPr>
    </w:p>
    <w:p w:rsidR="00F15985" w:rsidRDefault="0025039D">
      <w:pPr>
        <w:widowControl w:val="0"/>
        <w:spacing w:before="20" w:line="240" w:lineRule="auto"/>
        <w:jc w:val="both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The classification of educational and vocational training in the high-risk category does not mean that no AI system should be used in those fields but that extra preca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utions are to be taken. The previously mentioned framework states that </w:t>
      </w:r>
      <w:r w:rsidR="00BF1929">
        <w:rPr>
          <w:rFonts w:ascii="Open Sans" w:eastAsia="Open Sans" w:hAnsi="Open Sans" w:cs="Open Sans"/>
          <w:color w:val="404040"/>
          <w:sz w:val="24"/>
          <w:szCs w:val="24"/>
        </w:rPr>
        <w:t>“</w:t>
      </w:r>
      <w:r>
        <w:rPr>
          <w:rFonts w:ascii="Open Sans" w:eastAsia="Open Sans" w:hAnsi="Open Sans" w:cs="Open Sans"/>
          <w:i/>
          <w:color w:val="404040"/>
          <w:sz w:val="24"/>
          <w:szCs w:val="24"/>
        </w:rPr>
        <w:t>high-risk AI systems will be subject to strict obligations before they can be placed on the market</w:t>
      </w:r>
      <w:r w:rsidR="00BF1929">
        <w:rPr>
          <w:rFonts w:ascii="Open Sans" w:eastAsia="Open Sans" w:hAnsi="Open Sans" w:cs="Open Sans"/>
          <w:i/>
          <w:color w:val="404040"/>
          <w:sz w:val="24"/>
          <w:szCs w:val="24"/>
        </w:rPr>
        <w:t>”</w:t>
      </w:r>
      <w:r>
        <w:rPr>
          <w:rFonts w:ascii="Open Sans" w:eastAsia="Open Sans" w:hAnsi="Open Sans" w:cs="Open Sans"/>
          <w:color w:val="404040"/>
          <w:sz w:val="24"/>
          <w:szCs w:val="24"/>
        </w:rPr>
        <w:t>.</w:t>
      </w:r>
    </w:p>
    <w:p w:rsidR="00F15985" w:rsidRDefault="00F15985">
      <w:pPr>
        <w:widowControl w:val="0"/>
        <w:spacing w:before="20" w:line="240" w:lineRule="auto"/>
        <w:jc w:val="both"/>
        <w:rPr>
          <w:rFonts w:ascii="Open Sans" w:eastAsia="Open Sans" w:hAnsi="Open Sans" w:cs="Open Sans"/>
          <w:color w:val="404040"/>
          <w:sz w:val="24"/>
          <w:szCs w:val="24"/>
        </w:rPr>
      </w:pPr>
    </w:p>
    <w:p w:rsidR="00F15985" w:rsidRDefault="0025039D">
      <w:pPr>
        <w:widowControl w:val="0"/>
        <w:spacing w:before="2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Ethics for a trustworthy AI</w:t>
      </w:r>
    </w:p>
    <w:p w:rsidR="00F15985" w:rsidRDefault="0025039D">
      <w:pPr>
        <w:widowControl w:val="0"/>
        <w:spacing w:before="20" w:line="240" w:lineRule="auto"/>
        <w:jc w:val="both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AI systems used in education must </w:t>
      </w:r>
      <w:bookmarkStart w:id="2" w:name="_GoBack"/>
      <w:r>
        <w:rPr>
          <w:rFonts w:ascii="Open Sans" w:eastAsia="Open Sans" w:hAnsi="Open Sans" w:cs="Open Sans"/>
          <w:color w:val="404040"/>
          <w:sz w:val="24"/>
          <w:szCs w:val="24"/>
        </w:rPr>
        <w:t xml:space="preserve">be trustworthy </w:t>
      </w:r>
      <w:bookmarkEnd w:id="2"/>
      <w:r w:rsidR="00BF1929">
        <w:rPr>
          <w:rFonts w:ascii="Open Sans" w:eastAsia="Open Sans" w:hAnsi="Open Sans" w:cs="Open Sans"/>
          <w:color w:val="404040"/>
          <w:sz w:val="24"/>
          <w:szCs w:val="24"/>
        </w:rPr>
        <w:t>i.e.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complies with the 7 following requirements </w:t>
      </w:r>
      <w:r>
        <w:rPr>
          <w:rFonts w:ascii="Open Sans" w:eastAsia="Open Sans" w:hAnsi="Open Sans" w:cs="Open Sans"/>
          <w:color w:val="404040"/>
          <w:sz w:val="24"/>
          <w:szCs w:val="24"/>
        </w:rPr>
        <w:t>that AI systems should meet in order to be dee</w:t>
      </w:r>
      <w:r>
        <w:rPr>
          <w:rFonts w:ascii="Open Sans" w:eastAsia="Open Sans" w:hAnsi="Open Sans" w:cs="Open Sans"/>
          <w:color w:val="404040"/>
          <w:sz w:val="24"/>
          <w:szCs w:val="24"/>
        </w:rPr>
        <w:t>med trustworthy</w:t>
      </w:r>
      <w:r w:rsidR="00BF1929">
        <w:rPr>
          <w:rFonts w:ascii="Open Sans" w:eastAsia="Open Sans" w:hAnsi="Open Sans" w:cs="Open Sans"/>
          <w:i/>
          <w:color w:val="404040"/>
          <w:sz w:val="24"/>
          <w:szCs w:val="24"/>
          <w:vertAlign w:val="superscript"/>
        </w:rPr>
        <w:footnoteReference w:id="2"/>
      </w:r>
      <w:r w:rsidR="00BF1929">
        <w:rPr>
          <w:rFonts w:ascii="Open Sans" w:eastAsia="Open Sans" w:hAnsi="Open Sans" w:cs="Open Sans"/>
          <w:color w:val="404040"/>
          <w:sz w:val="24"/>
          <w:szCs w:val="24"/>
        </w:rPr>
        <w:t>: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</w:p>
    <w:p w:rsidR="00F15985" w:rsidRDefault="0025039D">
      <w:pPr>
        <w:widowControl w:val="0"/>
        <w:numPr>
          <w:ilvl w:val="0"/>
          <w:numId w:val="2"/>
        </w:numPr>
        <w:spacing w:before="20" w:line="240" w:lineRule="auto"/>
        <w:jc w:val="both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Technical Robustness and safety,</w:t>
      </w:r>
    </w:p>
    <w:p w:rsidR="00F15985" w:rsidRDefault="0025039D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Privacy and data governance, </w:t>
      </w:r>
    </w:p>
    <w:p w:rsidR="00F15985" w:rsidRDefault="0025039D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Transparency, </w:t>
      </w:r>
    </w:p>
    <w:p w:rsidR="00F15985" w:rsidRDefault="0025039D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Diversity, non-discrimination and fairness,</w:t>
      </w:r>
    </w:p>
    <w:p w:rsidR="00F15985" w:rsidRDefault="0025039D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Societal and environmental well-being,</w:t>
      </w:r>
    </w:p>
    <w:p w:rsidR="00F15985" w:rsidRDefault="0025039D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Accountability, </w:t>
      </w:r>
    </w:p>
    <w:p w:rsidR="00F15985" w:rsidRDefault="0025039D">
      <w:pPr>
        <w:widowControl w:val="0"/>
        <w:numPr>
          <w:ilvl w:val="0"/>
          <w:numId w:val="2"/>
        </w:numPr>
        <w:spacing w:line="240" w:lineRule="auto"/>
        <w:jc w:val="both"/>
        <w:rPr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color w:val="404040"/>
          <w:sz w:val="24"/>
          <w:szCs w:val="24"/>
        </w:rPr>
        <w:t>Human agency and oversight</w:t>
      </w:r>
      <w:r>
        <w:rPr>
          <w:rFonts w:ascii="Open Sans" w:eastAsia="Open Sans" w:hAnsi="Open Sans" w:cs="Open Sans"/>
          <w:color w:val="404040"/>
          <w:sz w:val="24"/>
          <w:szCs w:val="24"/>
        </w:rPr>
        <w:t>: “</w:t>
      </w:r>
      <w:r>
        <w:rPr>
          <w:rFonts w:ascii="Open Sans" w:eastAsia="Open Sans" w:hAnsi="Open Sans" w:cs="Open Sans"/>
          <w:i/>
          <w:color w:val="404040"/>
          <w:sz w:val="24"/>
          <w:szCs w:val="24"/>
        </w:rPr>
        <w:t>AI systems should empowe</w:t>
      </w:r>
      <w:r>
        <w:rPr>
          <w:rFonts w:ascii="Open Sans" w:eastAsia="Open Sans" w:hAnsi="Open Sans" w:cs="Open Sans"/>
          <w:i/>
          <w:color w:val="404040"/>
          <w:sz w:val="24"/>
          <w:szCs w:val="24"/>
        </w:rPr>
        <w:t>r human beings, allowing them to make informed decisions and fostering their fundamental rights. At the same time, proper oversight mechanisms need to be ensured, which can be achieved through human-in-the-loop</w:t>
      </w:r>
      <w:r>
        <w:rPr>
          <w:rFonts w:ascii="Open Sans" w:eastAsia="Open Sans" w:hAnsi="Open Sans" w:cs="Open Sans"/>
          <w:i/>
          <w:color w:val="404040"/>
          <w:sz w:val="24"/>
          <w:szCs w:val="24"/>
        </w:rPr>
        <w:t>, human-on-the-loop, and human-in-command app</w:t>
      </w:r>
      <w:r>
        <w:rPr>
          <w:rFonts w:ascii="Open Sans" w:eastAsia="Open Sans" w:hAnsi="Open Sans" w:cs="Open Sans"/>
          <w:i/>
          <w:color w:val="404040"/>
          <w:sz w:val="24"/>
          <w:szCs w:val="24"/>
        </w:rPr>
        <w:t>roaches”.</w:t>
      </w:r>
    </w:p>
    <w:p w:rsidR="00F15985" w:rsidRDefault="00F15985">
      <w:pPr>
        <w:rPr>
          <w:rFonts w:ascii="Open Sans" w:eastAsia="Open Sans" w:hAnsi="Open Sans" w:cs="Open Sans"/>
          <w:b/>
          <w:color w:val="24408F"/>
          <w:sz w:val="26"/>
          <w:szCs w:val="26"/>
        </w:rPr>
      </w:pPr>
    </w:p>
    <w:p w:rsidR="00F15985" w:rsidRDefault="00F15985">
      <w:pPr>
        <w:spacing w:line="240" w:lineRule="auto"/>
        <w:jc w:val="both"/>
      </w:pPr>
    </w:p>
    <w:sectPr w:rsidR="00F15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39D" w:rsidRDefault="0025039D">
      <w:pPr>
        <w:spacing w:line="240" w:lineRule="auto"/>
      </w:pPr>
      <w:r>
        <w:separator/>
      </w:r>
    </w:p>
  </w:endnote>
  <w:endnote w:type="continuationSeparator" w:id="0">
    <w:p w:rsidR="0025039D" w:rsidRDefault="00250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39D" w:rsidRDefault="0025039D">
      <w:pPr>
        <w:spacing w:line="240" w:lineRule="auto"/>
      </w:pPr>
      <w:r>
        <w:separator/>
      </w:r>
    </w:p>
  </w:footnote>
  <w:footnote w:type="continuationSeparator" w:id="0">
    <w:p w:rsidR="0025039D" w:rsidRDefault="0025039D">
      <w:pPr>
        <w:spacing w:line="240" w:lineRule="auto"/>
      </w:pPr>
      <w:r>
        <w:continuationSeparator/>
      </w:r>
    </w:p>
  </w:footnote>
  <w:footnote w:id="1">
    <w:p w:rsidR="00F15985" w:rsidRDefault="0025039D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Laying down Harmonised Rules on Artificial Intelligence</w:t>
        </w:r>
      </w:hyperlink>
      <w:r>
        <w:rPr>
          <w:sz w:val="20"/>
          <w:szCs w:val="20"/>
        </w:rPr>
        <w:t xml:space="preserve"> (Artificial Intelligence Act) and Amending certain Union Legi</w:t>
      </w:r>
      <w:r>
        <w:rPr>
          <w:sz w:val="20"/>
          <w:szCs w:val="20"/>
        </w:rPr>
        <w:t xml:space="preserve">slatives Acts - </w:t>
      </w:r>
      <w:r>
        <w:rPr>
          <w:rFonts w:ascii="Open Sans" w:eastAsia="Open Sans" w:hAnsi="Open Sans" w:cs="Open Sans"/>
          <w:sz w:val="20"/>
          <w:szCs w:val="20"/>
        </w:rPr>
        <w:t xml:space="preserve">Regulatory Framework Proposal on Artificial Intelligence, </w:t>
      </w:r>
      <w:r>
        <w:rPr>
          <w:sz w:val="20"/>
          <w:szCs w:val="20"/>
        </w:rPr>
        <w:t xml:space="preserve">European </w:t>
      </w:r>
      <w:r w:rsidR="00BF1929">
        <w:rPr>
          <w:sz w:val="20"/>
          <w:szCs w:val="20"/>
        </w:rPr>
        <w:t>Commission</w:t>
      </w:r>
      <w:r>
        <w:rPr>
          <w:rFonts w:ascii="Open Sans" w:eastAsia="Open Sans" w:hAnsi="Open Sans" w:cs="Open Sans"/>
          <w:sz w:val="20"/>
          <w:szCs w:val="20"/>
        </w:rPr>
        <w:t xml:space="preserve"> - 2021</w:t>
      </w:r>
    </w:p>
  </w:footnote>
  <w:footnote w:id="2">
    <w:p w:rsidR="00BF1929" w:rsidRDefault="00BF1929" w:rsidP="00BF1929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Ethics guidelines for trustworthy AI</w:t>
        </w:r>
      </w:hyperlink>
      <w:r>
        <w:rPr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>European Commission, High-Level Expert Group on AI - 2019.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60C"/>
    <w:multiLevelType w:val="multilevel"/>
    <w:tmpl w:val="99A49C5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A3A72E8"/>
    <w:multiLevelType w:val="multilevel"/>
    <w:tmpl w:val="E688A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8F379C"/>
    <w:multiLevelType w:val="multilevel"/>
    <w:tmpl w:val="3BB86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85"/>
    <w:rsid w:val="0025039D"/>
    <w:rsid w:val="00BF1929"/>
    <w:rsid w:val="00F1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1820A"/>
  <w15:docId w15:val="{1E69FD34-0225-F942-A0AA-FCED8971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gital-strategy.ec.europa.eu/en/library/ethics-guidelines-trustworthy-ai" TargetMode="External"/><Relationship Id="rId1" Type="http://schemas.openxmlformats.org/officeDocument/2006/relationships/hyperlink" Target="https://digital-strategy.ec.europa.eu/en/library/proposal-regulation-laying-down-harmonised-rules-artificial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2022-10-12T11:22:00Z</dcterms:created>
  <dcterms:modified xsi:type="dcterms:W3CDTF">2022-10-12T11:29:00Z</dcterms:modified>
</cp:coreProperties>
</file>