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cnxrafew6em" w:id="0"/>
      <w:bookmarkEnd w:id="0"/>
      <w:r w:rsidDel="00000000" w:rsidR="00000000" w:rsidRPr="00000000">
        <w:rPr>
          <w:rtl w:val="0"/>
        </w:rPr>
        <w:t xml:space="preserve">AI4T Ressource -0- At the beginning of the project</w:t>
      </w:r>
    </w:p>
    <w:p w:rsidR="00000000" w:rsidDel="00000000" w:rsidP="00000000" w:rsidRDefault="00000000" w:rsidRPr="00000000" w14:paraId="00000002">
      <w:pPr>
        <w:jc w:val="center"/>
        <w:rPr>
          <w:rFonts w:ascii="Open Sans" w:cs="Open Sans" w:eastAsia="Open Sans" w:hAnsi="Open Sans"/>
          <w:b w:val="1"/>
          <w:color w:val="24408f"/>
          <w:sz w:val="24"/>
          <w:szCs w:val="24"/>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b w:val="1"/>
          <w:color w:val="24408f"/>
          <w:sz w:val="24"/>
          <w:szCs w:val="24"/>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sz w:val="24"/>
          <w:szCs w:val="24"/>
          <w:rtl w:val="0"/>
        </w:rPr>
        <w:t xml:space="preserve">Presentation of the project resources, from reports and guidelines that helped the redaction of the application form to the resources used in national level for the Pilot Phase.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Consortium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addition to the Mooc itself and the training resources offered to deepen certain topics, you will find here the documents, resources and tools that contributed to the project, from its conception (drafting of the application form) to its first implementation (pilot phase).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spacing w:after="0" w:before="0"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All those elements are in English</w:t>
      </w:r>
      <w:r w:rsidDel="00000000" w:rsidR="00000000" w:rsidRPr="00000000">
        <w:rPr>
          <w:rFonts w:ascii="Open Sans" w:cs="Open Sans" w:eastAsia="Open Sans" w:hAnsi="Open Sans"/>
          <w:sz w:val="24"/>
          <w:szCs w:val="24"/>
          <w:rtl w:val="0"/>
        </w:rPr>
        <w:t xml:space="preserve"> -  Some very interesting references could have been dropped if they were not available in an English version. </w:t>
      </w:r>
    </w:p>
    <w:p w:rsidR="00000000" w:rsidDel="00000000" w:rsidP="00000000" w:rsidRDefault="00000000" w:rsidRPr="00000000" w14:paraId="0000000A">
      <w:pPr>
        <w:spacing w:after="0" w:before="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end of the Large Scale Experimentation Phase, a collection of all resources per language can be organised in collaboration with partners if the need arises</w:t>
      </w:r>
    </w:p>
    <w:p w:rsidR="00000000" w:rsidDel="00000000" w:rsidP="00000000" w:rsidRDefault="00000000" w:rsidRPr="00000000" w14:paraId="0000000B">
      <w:pPr>
        <w:spacing w:after="0" w:before="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elements  are organised in three sections: </w:t>
      </w:r>
    </w:p>
    <w:p w:rsidR="00000000" w:rsidDel="00000000" w:rsidP="00000000" w:rsidRDefault="00000000" w:rsidRPr="00000000" w14:paraId="0000000D">
      <w:pPr>
        <w:spacing w:after="0" w:before="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pStyle w:val="Heading2"/>
        <w:spacing w:after="0" w:before="0" w:line="240" w:lineRule="auto"/>
        <w:rPr/>
      </w:pPr>
      <w:bookmarkStart w:colFirst="0" w:colLast="0" w:name="_cjozv3ps3kec" w:id="1"/>
      <w:bookmarkEnd w:id="1"/>
      <w:r w:rsidDel="00000000" w:rsidR="00000000" w:rsidRPr="00000000">
        <w:rPr>
          <w:rtl w:val="0"/>
        </w:rPr>
        <w:t xml:space="preserve">Section 1 - Reports and Guidelines that were at the beginning of the project</w:t>
      </w:r>
    </w:p>
    <w:p w:rsidR="00000000" w:rsidDel="00000000" w:rsidP="00000000" w:rsidRDefault="00000000" w:rsidRPr="00000000" w14:paraId="0000000F">
      <w:pPr>
        <w:spacing w:after="0" w:before="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defining the objectives of the AI4T project, the project promoters drew on a range of reports and contributions from different institutions. </w:t>
      </w:r>
    </w:p>
    <w:p w:rsidR="00000000" w:rsidDel="00000000" w:rsidP="00000000" w:rsidRDefault="00000000" w:rsidRPr="00000000" w14:paraId="00000010">
      <w:pPr>
        <w:spacing w:after="0" w:before="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publications are accessible in the section, organised by issuing institutions.</w:t>
      </w:r>
    </w:p>
    <w:p w:rsidR="00000000" w:rsidDel="00000000" w:rsidP="00000000" w:rsidRDefault="00000000" w:rsidRPr="00000000" w14:paraId="00000011">
      <w:pPr>
        <w:spacing w:after="0" w:before="0"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Note: If there have been any updates or new developments since the 2020 project was written, these have also been listed.</w:t>
      </w:r>
    </w:p>
    <w:p w:rsidR="00000000" w:rsidDel="00000000" w:rsidP="00000000" w:rsidRDefault="00000000" w:rsidRPr="00000000" w14:paraId="00000012">
      <w:pPr>
        <w:spacing w:after="0" w:before="0" w:line="240" w:lineRule="auto"/>
        <w:jc w:val="both"/>
        <w:rPr>
          <w:rFonts w:ascii="Open Sans" w:cs="Open Sans" w:eastAsia="Open Sans" w:hAnsi="Open Sans"/>
          <w:color w:val="444444"/>
          <w:sz w:val="24"/>
          <w:szCs w:val="24"/>
        </w:rPr>
      </w:pPr>
      <w:r w:rsidDel="00000000" w:rsidR="00000000" w:rsidRPr="00000000">
        <w:rPr>
          <w:rtl w:val="0"/>
        </w:rPr>
      </w:r>
    </w:p>
    <w:p w:rsidR="00000000" w:rsidDel="00000000" w:rsidP="00000000" w:rsidRDefault="00000000" w:rsidRPr="00000000" w14:paraId="00000013">
      <w:pPr>
        <w:pStyle w:val="Heading2"/>
        <w:spacing w:line="240" w:lineRule="auto"/>
        <w:rPr/>
      </w:pPr>
      <w:bookmarkStart w:colFirst="0" w:colLast="0" w:name="_b9ba6jcap30w" w:id="2"/>
      <w:bookmarkEnd w:id="2"/>
      <w:r w:rsidDel="00000000" w:rsidR="00000000" w:rsidRPr="00000000">
        <w:rPr>
          <w:rtl w:val="0"/>
        </w:rPr>
        <w:t xml:space="preserve">Section 2 - List of Moocs and on-lin resources related to AI or AI &amp; Education</w:t>
      </w:r>
    </w:p>
    <w:p w:rsidR="00000000" w:rsidDel="00000000" w:rsidP="00000000" w:rsidRDefault="00000000" w:rsidRPr="00000000" w14:paraId="00000014">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subject of artificial intelligence is so fascinating that many Massive Open Online Courses are dedicated to it.</w:t>
      </w:r>
    </w:p>
    <w:p w:rsidR="00000000" w:rsidDel="00000000" w:rsidP="00000000" w:rsidRDefault="00000000" w:rsidRPr="00000000" w14:paraId="00000015">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section, a selection of Moocs is presented and organised as follows</w:t>
      </w:r>
    </w:p>
    <w:p w:rsidR="00000000" w:rsidDel="00000000" w:rsidP="00000000" w:rsidRDefault="00000000" w:rsidRPr="00000000" w14:paraId="00000016">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  AI in general </w:t>
      </w:r>
    </w:p>
    <w:p w:rsidR="00000000" w:rsidDel="00000000" w:rsidP="00000000" w:rsidRDefault="00000000" w:rsidRPr="00000000" w14:paraId="00000017">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 and AI in education </w:t>
      </w:r>
    </w:p>
    <w:p w:rsidR="00000000" w:rsidDel="00000000" w:rsidP="00000000" w:rsidRDefault="00000000" w:rsidRPr="00000000" w14:paraId="00000018">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pStyle w:val="Heading2"/>
        <w:spacing w:line="240" w:lineRule="auto"/>
        <w:rPr/>
      </w:pPr>
      <w:bookmarkStart w:colFirst="0" w:colLast="0" w:name="_o8p9r6leh2fd" w:id="3"/>
      <w:bookmarkEnd w:id="3"/>
      <w:r w:rsidDel="00000000" w:rsidR="00000000" w:rsidRPr="00000000">
        <w:rPr>
          <w:rtl w:val="0"/>
        </w:rPr>
        <w:t xml:space="preserve">Section 3 - Resources used during the first phase of thee project organised by country</w:t>
      </w:r>
    </w:p>
    <w:p w:rsidR="00000000" w:rsidDel="00000000" w:rsidP="00000000" w:rsidRDefault="00000000" w:rsidRPr="00000000" w14:paraId="0000001A">
      <w:pPr>
        <w:spacing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During the first phase of the AI4T project, a range of resources were used/shared by the partners.  They are gathered here in line with their relevance for the next phases of the project.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Open Sans" w:cs="Open Sans" w:eastAsia="Open Sans" w:hAnsi="Open Sans"/>
      <w:b w:val="1"/>
      <w:color w:val="24408f"/>
      <w:sz w:val="24"/>
      <w:szCs w:val="24"/>
    </w:rPr>
  </w:style>
  <w:style w:type="paragraph" w:styleId="Heading2">
    <w:name w:val="heading 2"/>
    <w:basedOn w:val="Normal"/>
    <w:next w:val="Normal"/>
    <w:pPr>
      <w:keepNext w:val="1"/>
      <w:keepLines w:val="1"/>
      <w:spacing w:line="240" w:lineRule="auto"/>
    </w:pPr>
    <w:rPr>
      <w:color w:val="666666"/>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