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120FA" w:rsidP="373BAFFF" w:rsidRDefault="008120FA" w14:paraId="62DDA1C2" w14:textId="631A2EBF">
      <w:pPr>
        <w:pStyle w:val="Heading1"/>
        <w:spacing w:before="195" w:beforeAutospacing="off" w:after="195" w:afterAutospacing="off"/>
      </w:pPr>
      <w:r w:rsidRPr="373BAFFF" w:rsidR="0C29ABDC">
        <w:rPr>
          <w:rFonts w:ascii="Roboto" w:hAnsi="Roboto" w:eastAsia="Roboto" w:cs="Roboto"/>
          <w:b w:val="0"/>
          <w:bCs w:val="0"/>
          <w:i w:val="0"/>
          <w:iCs w:val="0"/>
          <w:caps w:val="0"/>
          <w:smallCaps w:val="0"/>
          <w:noProof w:val="0"/>
          <w:color w:val="1F1F1F"/>
          <w:sz w:val="39"/>
          <w:szCs w:val="39"/>
          <w:lang w:val="en-US"/>
        </w:rPr>
        <w:t>Individual Insight Summary</w:t>
      </w:r>
    </w:p>
    <w:p w:rsidR="008120FA" w:rsidP="373BAFFF" w:rsidRDefault="008120FA" w14:paraId="756CC9D1" w14:textId="3B46975A">
      <w:pPr>
        <w:spacing w:before="0" w:beforeAutospacing="off" w:after="0" w:afterAutospacing="off"/>
      </w:pPr>
    </w:p>
    <w:p w:rsidR="008120FA" w:rsidP="373BAFFF" w:rsidRDefault="008120FA" w14:paraId="0BC33C8C" w14:textId="0AF3C442">
      <w:pPr>
        <w:spacing w:before="120" w:beforeAutospacing="off" w:after="120" w:afterAutospacing="off"/>
      </w:pPr>
      <w:r w:rsidRPr="373BAFFF" w:rsidR="0C29ABDC">
        <w:rPr>
          <w:rFonts w:ascii="Roboto" w:hAnsi="Roboto" w:eastAsia="Roboto" w:cs="Roboto"/>
          <w:b w:val="0"/>
          <w:bCs w:val="0"/>
          <w:i w:val="0"/>
          <w:iCs w:val="0"/>
          <w:caps w:val="0"/>
          <w:smallCaps w:val="0"/>
          <w:noProof w:val="0"/>
          <w:color w:val="1F1F1F"/>
          <w:sz w:val="24"/>
          <w:szCs w:val="24"/>
          <w:lang w:val="en-US"/>
        </w:rPr>
        <w:t>The Superstore dataset reveals clear patterns in sales performance and revenue generation. Sales exhibit an overall upward trend with significant seasonality, peaking sharply in November and December, likely driven by holiday shopping. While sales have a weak positive correlation with quantity, discounts show a very weak negative correlation with sales, indicating that increasing discounts does not necessarily translate into a strong linear increase in sales volume. Crucially, higher discount levels (especially above 20%) are directly linked to a significant decrease in average profit, even leading to negative profits at discount ranges of 20% and above.</w:t>
      </w:r>
    </w:p>
    <w:p w:rsidR="008120FA" w:rsidP="373BAFFF" w:rsidRDefault="008120FA" w14:paraId="40A4610F" w14:textId="61426838">
      <w:pPr>
        <w:spacing w:before="120" w:beforeAutospacing="off" w:after="120" w:afterAutospacing="off"/>
      </w:pPr>
      <w:r w:rsidRPr="373BAFFF" w:rsidR="0C29ABDC">
        <w:rPr>
          <w:rFonts w:ascii="Roboto" w:hAnsi="Roboto" w:eastAsia="Roboto" w:cs="Roboto"/>
          <w:b w:val="0"/>
          <w:bCs w:val="0"/>
          <w:i w:val="0"/>
          <w:iCs w:val="0"/>
          <w:caps w:val="0"/>
          <w:smallCaps w:val="0"/>
          <w:noProof w:val="0"/>
          <w:color w:val="1F1F1F"/>
          <w:sz w:val="24"/>
          <w:szCs w:val="24"/>
          <w:lang w:val="en-US"/>
        </w:rPr>
        <w:t>Key revenue drivers include specific product categories (Technology, Furniture, Office Supplies) and sub-categories (Phones, Chairs, Storage), geographic regions (West and East), and the Consumer customer segment. Standard Class shipping is the most utilized mode, contributing the most to sales volume. These insights suggest that strategic focus on high-performing categories and segments during peak seasonal periods, coupled with a vigilant approach to discount strategies, is essential for maximizing both sales and profitability.</w:t>
      </w:r>
    </w:p>
    <w:p w:rsidR="008120FA" w:rsidP="373BAFFF" w:rsidRDefault="008120FA" w14:paraId="4B466D94" w14:textId="190BD94C">
      <w:pPr>
        <w:pStyle w:val="Heading1"/>
        <w:spacing w:before="195" w:beforeAutospacing="off" w:after="195" w:afterAutospacing="off"/>
      </w:pPr>
      <w:r w:rsidRPr="373BAFFF" w:rsidR="0C29ABDC">
        <w:rPr>
          <w:rFonts w:ascii="Roboto" w:hAnsi="Roboto" w:eastAsia="Roboto" w:cs="Roboto"/>
          <w:b w:val="0"/>
          <w:bCs w:val="0"/>
          <w:i w:val="0"/>
          <w:iCs w:val="0"/>
          <w:caps w:val="0"/>
          <w:smallCaps w:val="0"/>
          <w:noProof w:val="0"/>
          <w:color w:val="1F1F1F"/>
          <w:sz w:val="39"/>
          <w:szCs w:val="39"/>
          <w:lang w:val="en-US"/>
        </w:rPr>
        <w:t>Top 5 Actions for the Retailer</w:t>
      </w:r>
    </w:p>
    <w:p w:rsidR="008120FA" w:rsidP="373BAFFF" w:rsidRDefault="008120FA" w14:paraId="627E94DB" w14:textId="5E1E0C90">
      <w:pPr>
        <w:pStyle w:val="ListParagraph"/>
        <w:numPr>
          <w:ilvl w:val="0"/>
          <w:numId w:val="1"/>
        </w:numPr>
        <w:spacing w:before="0" w:beforeAutospacing="off" w:after="0" w:afterAutospacing="off"/>
        <w:rPr>
          <w:rFonts w:ascii="Roboto" w:hAnsi="Roboto" w:eastAsia="Roboto" w:cs="Roboto"/>
          <w:b w:val="1"/>
          <w:bCs w:val="1"/>
          <w:i w:val="0"/>
          <w:iCs w:val="0"/>
          <w:caps w:val="0"/>
          <w:smallCaps w:val="0"/>
          <w:noProof w:val="0"/>
          <w:color w:val="1F1F1F"/>
          <w:sz w:val="24"/>
          <w:szCs w:val="24"/>
          <w:lang w:val="en-US"/>
        </w:rPr>
      </w:pPr>
      <w:r w:rsidRPr="373BAFFF" w:rsidR="0C29ABDC">
        <w:rPr>
          <w:rFonts w:ascii="Roboto" w:hAnsi="Roboto" w:eastAsia="Roboto" w:cs="Roboto"/>
          <w:b w:val="1"/>
          <w:bCs w:val="1"/>
          <w:i w:val="0"/>
          <w:iCs w:val="0"/>
          <w:caps w:val="0"/>
          <w:smallCaps w:val="0"/>
          <w:noProof w:val="0"/>
          <w:color w:val="1F1F1F"/>
          <w:sz w:val="24"/>
          <w:szCs w:val="24"/>
          <w:lang w:val="en-US"/>
        </w:rPr>
        <w:t>Optimize Seasonal Sales Campaigns with Profitability in Mind</w:t>
      </w:r>
    </w:p>
    <w:p w:rsidR="008120FA" w:rsidP="373BAFFF" w:rsidRDefault="008120FA" w14:paraId="35BDE0E3" w14:textId="61916D19">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Description</w:t>
      </w:r>
      <w:r w:rsidRPr="373BAFFF" w:rsidR="0C29ABDC">
        <w:rPr>
          <w:rFonts w:ascii="Roboto" w:hAnsi="Roboto" w:eastAsia="Roboto" w:cs="Roboto"/>
          <w:b w:val="0"/>
          <w:bCs w:val="0"/>
          <w:i w:val="0"/>
          <w:iCs w:val="0"/>
          <w:caps w:val="0"/>
          <w:smallCaps w:val="0"/>
          <w:noProof w:val="0"/>
          <w:color w:val="1F1F1F"/>
          <w:sz w:val="24"/>
          <w:szCs w:val="24"/>
          <w:lang w:val="en-US"/>
        </w:rPr>
        <w:t>: Intensify marketing and inventory efforts for top-performing product categories (Technology, Furniture) and sub-categories (Phones, Chairs) during the peak sales months of November and December. Simultaneously, implement a dynamic pricing model that limits deep discounting (above 20%) during these high-demand periods to protect profit margins.</w:t>
      </w:r>
    </w:p>
    <w:p w:rsidR="008120FA" w:rsidP="373BAFFF" w:rsidRDefault="008120FA" w14:paraId="694F9852" w14:textId="3389EE51">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Quick</w:t>
      </w:r>
      <w:r w:rsidRPr="373BAFFF" w:rsidR="0C29ABDC">
        <w:rPr>
          <w:rFonts w:ascii="Roboto" w:hAnsi="Roboto" w:eastAsia="Roboto" w:cs="Roboto"/>
          <w:b w:val="0"/>
          <w:bCs w:val="0"/>
          <w:i w:val="0"/>
          <w:iCs w:val="0"/>
          <w:caps w:val="0"/>
          <w:smallCaps w:val="0"/>
          <w:noProof w:val="0"/>
          <w:color w:val="1F1F1F"/>
          <w:sz w:val="24"/>
          <w:szCs w:val="24"/>
          <w:lang w:val="en-US"/>
        </w:rPr>
        <w:t xml:space="preserve"> Win vs. Long-Term: This has elements of both. Immediate adjustments to seasonal campaigns are quick wins, while developing a robust dynamic pricing model is a long-term strategy.</w:t>
      </w:r>
    </w:p>
    <w:p w:rsidR="008120FA" w:rsidP="373BAFFF" w:rsidRDefault="008120FA" w14:paraId="522036A2" w14:textId="467F5667">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Resource</w:t>
      </w:r>
      <w:r w:rsidRPr="373BAFFF" w:rsidR="0C29ABDC">
        <w:rPr>
          <w:rFonts w:ascii="Roboto" w:hAnsi="Roboto" w:eastAsia="Roboto" w:cs="Roboto"/>
          <w:b w:val="0"/>
          <w:bCs w:val="0"/>
          <w:i w:val="0"/>
          <w:iCs w:val="0"/>
          <w:caps w:val="0"/>
          <w:smallCaps w:val="0"/>
          <w:noProof w:val="0"/>
          <w:color w:val="1F1F1F"/>
          <w:sz w:val="24"/>
          <w:szCs w:val="24"/>
          <w:lang w:val="en-US"/>
        </w:rPr>
        <w:t xml:space="preserve"> Requirements: Requires enhanced marketing budget for peak seasons, inventory forecasting and management improvements, and data analytics resources to implement and monitor dynamic pricing.</w:t>
      </w:r>
    </w:p>
    <w:p w:rsidR="008120FA" w:rsidP="373BAFFF" w:rsidRDefault="008120FA" w14:paraId="6DB61EBB" w14:textId="7845571E">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Risk</w:t>
      </w:r>
      <w:r w:rsidRPr="373BAFFF" w:rsidR="0C29ABDC">
        <w:rPr>
          <w:rFonts w:ascii="Roboto" w:hAnsi="Roboto" w:eastAsia="Roboto" w:cs="Roboto"/>
          <w:b w:val="0"/>
          <w:bCs w:val="0"/>
          <w:i w:val="0"/>
          <w:iCs w:val="0"/>
          <w:caps w:val="0"/>
          <w:smallCaps w:val="0"/>
          <w:noProof w:val="0"/>
          <w:color w:val="1F1F1F"/>
          <w:sz w:val="24"/>
          <w:szCs w:val="24"/>
          <w:lang w:val="en-US"/>
        </w:rPr>
        <w:t xml:space="preserve"> Factors: Potential for customer backlash if traditional deep discounts are significantly reduced; risk of losing some price-sensitive customers to competitors.</w:t>
      </w:r>
    </w:p>
    <w:p w:rsidR="008120FA" w:rsidP="373BAFFF" w:rsidRDefault="008120FA" w14:paraId="67FB252D" w14:textId="257335CC">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Success</w:t>
      </w:r>
      <w:r w:rsidRPr="373BAFFF" w:rsidR="0C29ABDC">
        <w:rPr>
          <w:rFonts w:ascii="Roboto" w:hAnsi="Roboto" w:eastAsia="Roboto" w:cs="Roboto"/>
          <w:b w:val="0"/>
          <w:bCs w:val="0"/>
          <w:i w:val="0"/>
          <w:iCs w:val="0"/>
          <w:caps w:val="0"/>
          <w:smallCaps w:val="0"/>
          <w:noProof w:val="0"/>
          <w:color w:val="1F1F1F"/>
          <w:sz w:val="24"/>
          <w:szCs w:val="24"/>
          <w:lang w:val="en-US"/>
        </w:rPr>
        <w:t xml:space="preserve"> Metrics: Overall sales growth in Q4, average profit margin during peak seasons, sales by product category/sub-category in November/December, and customer retention rate.</w:t>
      </w:r>
    </w:p>
    <w:p w:rsidR="008120FA" w:rsidP="373BAFFF" w:rsidRDefault="008120FA" w14:paraId="10059996" w14:textId="7A69E538">
      <w:pPr>
        <w:pStyle w:val="ListParagraph"/>
        <w:numPr>
          <w:ilvl w:val="0"/>
          <w:numId w:val="2"/>
        </w:numPr>
        <w:spacing w:before="0" w:beforeAutospacing="off" w:after="0" w:afterAutospacing="off"/>
        <w:rPr>
          <w:rFonts w:ascii="Roboto" w:hAnsi="Roboto" w:eastAsia="Roboto" w:cs="Roboto"/>
          <w:b w:val="1"/>
          <w:bCs w:val="1"/>
          <w:i w:val="0"/>
          <w:iCs w:val="0"/>
          <w:caps w:val="0"/>
          <w:smallCaps w:val="0"/>
          <w:noProof w:val="0"/>
          <w:color w:val="1F1F1F"/>
          <w:sz w:val="24"/>
          <w:szCs w:val="24"/>
          <w:lang w:val="en-US"/>
        </w:rPr>
      </w:pPr>
      <w:r w:rsidRPr="373BAFFF" w:rsidR="0C29ABDC">
        <w:rPr>
          <w:rFonts w:ascii="Roboto" w:hAnsi="Roboto" w:eastAsia="Roboto" w:cs="Roboto"/>
          <w:b w:val="1"/>
          <w:bCs w:val="1"/>
          <w:i w:val="0"/>
          <w:iCs w:val="0"/>
          <w:caps w:val="0"/>
          <w:smallCaps w:val="0"/>
          <w:noProof w:val="0"/>
          <w:color w:val="1F1F1F"/>
          <w:sz w:val="24"/>
          <w:szCs w:val="24"/>
          <w:lang w:val="en-US"/>
        </w:rPr>
        <w:t>Strategic Category &amp; Sub-Category Investment and Promotion</w:t>
      </w:r>
    </w:p>
    <w:p w:rsidR="008120FA" w:rsidP="373BAFFF" w:rsidRDefault="008120FA" w14:paraId="1E4959E6" w14:textId="30291FC6">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Description</w:t>
      </w:r>
      <w:r w:rsidRPr="373BAFFF" w:rsidR="0C29ABDC">
        <w:rPr>
          <w:rFonts w:ascii="Roboto" w:hAnsi="Roboto" w:eastAsia="Roboto" w:cs="Roboto"/>
          <w:b w:val="0"/>
          <w:bCs w:val="0"/>
          <w:i w:val="0"/>
          <w:iCs w:val="0"/>
          <w:caps w:val="0"/>
          <w:smallCaps w:val="0"/>
          <w:noProof w:val="0"/>
          <w:color w:val="1F1F1F"/>
          <w:sz w:val="24"/>
          <w:szCs w:val="24"/>
          <w:lang w:val="en-US"/>
        </w:rPr>
        <w:t>: Allocate more resources (marketing, display space, purchasing) towards consistently high-performing categories like Technology and Furniture, and within those, to sub-categories such as Phones and Chairs. Analyze the underlying reasons for their success (e.g., product features, marketing, customer satisfaction) and replicate elements for other categories.</w:t>
      </w:r>
    </w:p>
    <w:p w:rsidR="008120FA" w:rsidP="373BAFFF" w:rsidRDefault="008120FA" w14:paraId="552C1F74" w14:textId="2B95B7B1">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Quick Win vs. Long-Term</w:t>
      </w:r>
      <w:r w:rsidRPr="373BAFFF" w:rsidR="0C29ABDC">
        <w:rPr>
          <w:rFonts w:ascii="Roboto" w:hAnsi="Roboto" w:eastAsia="Roboto" w:cs="Roboto"/>
          <w:b w:val="0"/>
          <w:bCs w:val="0"/>
          <w:i w:val="0"/>
          <w:iCs w:val="0"/>
          <w:caps w:val="0"/>
          <w:smallCaps w:val="0"/>
          <w:noProof w:val="0"/>
          <w:color w:val="1F1F1F"/>
          <w:sz w:val="24"/>
          <w:szCs w:val="24"/>
          <w:lang w:val="en-US"/>
        </w:rPr>
        <w:t>: A long-term strategy that involves sustained focus and investment, but initial promotional shifts can be quick wins.</w:t>
      </w:r>
    </w:p>
    <w:p w:rsidR="008120FA" w:rsidP="373BAFFF" w:rsidRDefault="008120FA" w14:paraId="53F3F0C3" w14:textId="304C8C68">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Resource Requirements</w:t>
      </w:r>
      <w:r w:rsidRPr="373BAFFF" w:rsidR="0C29ABDC">
        <w:rPr>
          <w:rFonts w:ascii="Roboto" w:hAnsi="Roboto" w:eastAsia="Roboto" w:cs="Roboto"/>
          <w:b w:val="0"/>
          <w:bCs w:val="0"/>
          <w:i w:val="0"/>
          <w:iCs w:val="0"/>
          <w:caps w:val="0"/>
          <w:smallCaps w:val="0"/>
          <w:noProof w:val="0"/>
          <w:color w:val="1F1F1F"/>
          <w:sz w:val="24"/>
          <w:szCs w:val="24"/>
          <w:lang w:val="en-US"/>
        </w:rPr>
        <w:t>: Product development/sourcing teams, marketing and merchandising, sales team training, and capital investment for inventory.</w:t>
      </w:r>
    </w:p>
    <w:p w:rsidR="008120FA" w:rsidP="373BAFFF" w:rsidRDefault="008120FA" w14:paraId="32F98740" w14:textId="2A0916EA">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Risk Factors</w:t>
      </w:r>
      <w:r w:rsidRPr="373BAFFF" w:rsidR="0C29ABDC">
        <w:rPr>
          <w:rFonts w:ascii="Roboto" w:hAnsi="Roboto" w:eastAsia="Roboto" w:cs="Roboto"/>
          <w:b w:val="0"/>
          <w:bCs w:val="0"/>
          <w:i w:val="0"/>
          <w:iCs w:val="0"/>
          <w:caps w:val="0"/>
          <w:smallCaps w:val="0"/>
          <w:noProof w:val="0"/>
          <w:color w:val="1F1F1F"/>
          <w:sz w:val="24"/>
          <w:szCs w:val="24"/>
          <w:lang w:val="en-US"/>
        </w:rPr>
        <w:t>: Over-reliance on a few categories could create vulnerability if market trends shift; potential for overstocking if demand is misjudged.</w:t>
      </w:r>
    </w:p>
    <w:p w:rsidR="008120FA" w:rsidP="373BAFFF" w:rsidRDefault="008120FA" w14:paraId="32AAC1DD" w14:textId="0AE0985B">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Success Metrics</w:t>
      </w:r>
      <w:r w:rsidRPr="373BAFFF" w:rsidR="0C29ABDC">
        <w:rPr>
          <w:rFonts w:ascii="Roboto" w:hAnsi="Roboto" w:eastAsia="Roboto" w:cs="Roboto"/>
          <w:b w:val="0"/>
          <w:bCs w:val="0"/>
          <w:i w:val="0"/>
          <w:iCs w:val="0"/>
          <w:caps w:val="0"/>
          <w:smallCaps w:val="0"/>
          <w:noProof w:val="0"/>
          <w:color w:val="1F1F1F"/>
          <w:sz w:val="24"/>
          <w:szCs w:val="24"/>
          <w:lang w:val="en-US"/>
        </w:rPr>
        <w:t>: Sales growth and profit margin per category/sub-category, inventory turnover rate for key products, and market share in top categories.</w:t>
      </w:r>
    </w:p>
    <w:p w:rsidR="008120FA" w:rsidP="373BAFFF" w:rsidRDefault="008120FA" w14:paraId="699C651F" w14:textId="1E4ED4AE">
      <w:pPr>
        <w:pStyle w:val="ListParagraph"/>
        <w:numPr>
          <w:ilvl w:val="0"/>
          <w:numId w:val="3"/>
        </w:numPr>
        <w:spacing w:before="0" w:beforeAutospacing="off" w:after="0" w:afterAutospacing="off"/>
        <w:rPr>
          <w:rFonts w:ascii="Roboto" w:hAnsi="Roboto" w:eastAsia="Roboto" w:cs="Roboto"/>
          <w:b w:val="0"/>
          <w:bCs w:val="0"/>
          <w:i w:val="0"/>
          <w:iCs w:val="0"/>
          <w:caps w:val="0"/>
          <w:smallCaps w:val="0"/>
          <w:noProof w:val="0"/>
          <w:color w:val="1F1F1F"/>
          <w:sz w:val="24"/>
          <w:szCs w:val="24"/>
          <w:lang w:val="en-US"/>
        </w:rPr>
      </w:pPr>
      <w:r w:rsidRPr="373BAFFF" w:rsidR="0C29ABDC">
        <w:rPr>
          <w:rFonts w:ascii="Roboto" w:hAnsi="Roboto" w:eastAsia="Roboto" w:cs="Roboto"/>
          <w:b w:val="1"/>
          <w:bCs w:val="1"/>
          <w:i w:val="0"/>
          <w:iCs w:val="0"/>
          <w:caps w:val="0"/>
          <w:smallCaps w:val="0"/>
          <w:noProof w:val="0"/>
          <w:color w:val="1F1F1F"/>
          <w:sz w:val="24"/>
          <w:szCs w:val="24"/>
          <w:lang w:val="en-US"/>
        </w:rPr>
        <w:t>Targeted Regional &amp; Segment-Specific Growth Initiatives Description</w:t>
      </w:r>
      <w:r w:rsidRPr="373BAFFF" w:rsidR="0C29ABDC">
        <w:rPr>
          <w:rFonts w:ascii="Roboto" w:hAnsi="Roboto" w:eastAsia="Roboto" w:cs="Roboto"/>
          <w:b w:val="0"/>
          <w:bCs w:val="0"/>
          <w:i w:val="0"/>
          <w:iCs w:val="0"/>
          <w:caps w:val="0"/>
          <w:smallCaps w:val="0"/>
          <w:noProof w:val="0"/>
          <w:color w:val="1F1F1F"/>
          <w:sz w:val="24"/>
          <w:szCs w:val="24"/>
          <w:lang w:val="en-US"/>
        </w:rPr>
        <w:t>: Develop and execute tailored marketing campaigns and localized promotions for the Consumer segment, especially within the high-performing West and East regions. Explore opportunities to grow sales in the Central and South regions by analyzing specific local demands or competitive landscapes.</w:t>
      </w:r>
    </w:p>
    <w:p w:rsidR="008120FA" w:rsidP="373BAFFF" w:rsidRDefault="008120FA" w14:paraId="38789726" w14:textId="52B74B1C">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Quick Win vs. Long-Term</w:t>
      </w:r>
      <w:r w:rsidRPr="373BAFFF" w:rsidR="0C29ABDC">
        <w:rPr>
          <w:rFonts w:ascii="Roboto" w:hAnsi="Roboto" w:eastAsia="Roboto" w:cs="Roboto"/>
          <w:b w:val="0"/>
          <w:bCs w:val="0"/>
          <w:i w:val="0"/>
          <w:iCs w:val="0"/>
          <w:caps w:val="0"/>
          <w:smallCaps w:val="0"/>
          <w:noProof w:val="0"/>
          <w:color w:val="1F1F1F"/>
          <w:sz w:val="24"/>
          <w:szCs w:val="24"/>
          <w:lang w:val="en-US"/>
        </w:rPr>
        <w:t>: Initial targeted campaigns can yield quick wins, while sustained regional growth requires a long-term strategic approach.</w:t>
      </w:r>
    </w:p>
    <w:p w:rsidR="008120FA" w:rsidP="373BAFFF" w:rsidRDefault="008120FA" w14:paraId="61E7E7DF" w14:textId="0746A13A">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Resource Requirements</w:t>
      </w:r>
      <w:r w:rsidRPr="373BAFFF" w:rsidR="0C29ABDC">
        <w:rPr>
          <w:rFonts w:ascii="Roboto" w:hAnsi="Roboto" w:eastAsia="Roboto" w:cs="Roboto"/>
          <w:b w:val="0"/>
          <w:bCs w:val="0"/>
          <w:i w:val="0"/>
          <w:iCs w:val="0"/>
          <w:caps w:val="0"/>
          <w:smallCaps w:val="0"/>
          <w:noProof w:val="0"/>
          <w:color w:val="1F1F1F"/>
          <w:sz w:val="24"/>
          <w:szCs w:val="24"/>
          <w:lang w:val="en-US"/>
        </w:rPr>
        <w:t>: Regional marketing teams, localized inventory management, and demographic data analysis.</w:t>
      </w:r>
    </w:p>
    <w:p w:rsidR="008120FA" w:rsidP="373BAFFF" w:rsidRDefault="008120FA" w14:paraId="18333D7A" w14:textId="0FE057C8">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Risk Factors</w:t>
      </w:r>
      <w:r w:rsidRPr="373BAFFF" w:rsidR="0C29ABDC">
        <w:rPr>
          <w:rFonts w:ascii="Roboto" w:hAnsi="Roboto" w:eastAsia="Roboto" w:cs="Roboto"/>
          <w:b w:val="0"/>
          <w:bCs w:val="0"/>
          <w:i w:val="0"/>
          <w:iCs w:val="0"/>
          <w:caps w:val="0"/>
          <w:smallCaps w:val="0"/>
          <w:noProof w:val="0"/>
          <w:color w:val="1F1F1F"/>
          <w:sz w:val="24"/>
          <w:szCs w:val="24"/>
          <w:lang w:val="en-US"/>
        </w:rPr>
        <w:t>: Misunderstanding regional nuances could lead to ineffective campaigns; resource drain if new regions are expanded without clear ROI.</w:t>
      </w:r>
    </w:p>
    <w:p w:rsidR="008120FA" w:rsidP="373BAFFF" w:rsidRDefault="008120FA" w14:paraId="30B6BC70" w14:textId="42049AC8">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Success Metrics</w:t>
      </w:r>
      <w:r w:rsidRPr="373BAFFF" w:rsidR="0C29ABDC">
        <w:rPr>
          <w:rFonts w:ascii="Roboto" w:hAnsi="Roboto" w:eastAsia="Roboto" w:cs="Roboto"/>
          <w:b w:val="0"/>
          <w:bCs w:val="0"/>
          <w:i w:val="0"/>
          <w:iCs w:val="0"/>
          <w:caps w:val="0"/>
          <w:smallCaps w:val="0"/>
          <w:noProof w:val="0"/>
          <w:color w:val="1F1F1F"/>
          <w:sz w:val="24"/>
          <w:szCs w:val="24"/>
          <w:lang w:val="en-US"/>
        </w:rPr>
        <w:t>: Sales growth per region and segment, customer acquisition cost (CAC) per region/segment, and regional market penetration.</w:t>
      </w:r>
    </w:p>
    <w:p w:rsidR="008120FA" w:rsidP="373BAFFF" w:rsidRDefault="008120FA" w14:paraId="0D34078B" w14:textId="3A0D94BE">
      <w:pPr>
        <w:pStyle w:val="ListParagraph"/>
        <w:numPr>
          <w:ilvl w:val="0"/>
          <w:numId w:val="4"/>
        </w:numPr>
        <w:spacing w:before="0" w:beforeAutospacing="off" w:after="0" w:afterAutospacing="off"/>
        <w:rPr>
          <w:rFonts w:ascii="Roboto" w:hAnsi="Roboto" w:eastAsia="Roboto" w:cs="Roboto"/>
          <w:b w:val="1"/>
          <w:bCs w:val="1"/>
          <w:i w:val="0"/>
          <w:iCs w:val="0"/>
          <w:caps w:val="0"/>
          <w:smallCaps w:val="0"/>
          <w:noProof w:val="0"/>
          <w:color w:val="1F1F1F"/>
          <w:sz w:val="24"/>
          <w:szCs w:val="24"/>
          <w:lang w:val="en-US"/>
        </w:rPr>
      </w:pPr>
      <w:r w:rsidRPr="373BAFFF" w:rsidR="0C29ABDC">
        <w:rPr>
          <w:rFonts w:ascii="Roboto" w:hAnsi="Roboto" w:eastAsia="Roboto" w:cs="Roboto"/>
          <w:b w:val="1"/>
          <w:bCs w:val="1"/>
          <w:i w:val="0"/>
          <w:iCs w:val="0"/>
          <w:caps w:val="0"/>
          <w:smallCaps w:val="0"/>
          <w:noProof w:val="0"/>
          <w:color w:val="1F1F1F"/>
          <w:sz w:val="24"/>
          <w:szCs w:val="24"/>
          <w:lang w:val="en-US"/>
        </w:rPr>
        <w:t>Re-evaluate and Optimize Discounting Strategy for Profitability</w:t>
      </w:r>
    </w:p>
    <w:p w:rsidR="008120FA" w:rsidP="373BAFFF" w:rsidRDefault="008120FA" w14:paraId="22793249" w14:textId="19EA89DE">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Description</w:t>
      </w:r>
      <w:r w:rsidRPr="373BAFFF" w:rsidR="0C29ABDC">
        <w:rPr>
          <w:rFonts w:ascii="Roboto" w:hAnsi="Roboto" w:eastAsia="Roboto" w:cs="Roboto"/>
          <w:b w:val="0"/>
          <w:bCs w:val="0"/>
          <w:i w:val="0"/>
          <w:iCs w:val="0"/>
          <w:caps w:val="0"/>
          <w:smallCaps w:val="0"/>
          <w:noProof w:val="0"/>
          <w:color w:val="1F1F1F"/>
          <w:sz w:val="24"/>
          <w:szCs w:val="24"/>
          <w:lang w:val="en-US"/>
        </w:rPr>
        <w:t>: Implement a strict policy on discount ranges, specifically eliminating or significantly reducing discounts that result in negative average profit (e.g., 20% and above). Focus on value-based promotions or bundling strategies instead of aggressive percentage-off discounts, especially for high-volume items, to maintain positive profitability.</w:t>
      </w:r>
    </w:p>
    <w:p w:rsidR="008120FA" w:rsidP="373BAFFF" w:rsidRDefault="008120FA" w14:paraId="605A257B" w14:textId="56350B17">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Quick Win vs. Long-Term</w:t>
      </w:r>
      <w:r w:rsidRPr="373BAFFF" w:rsidR="0C29ABDC">
        <w:rPr>
          <w:rFonts w:ascii="Roboto" w:hAnsi="Roboto" w:eastAsia="Roboto" w:cs="Roboto"/>
          <w:b w:val="0"/>
          <w:bCs w:val="0"/>
          <w:i w:val="0"/>
          <w:iCs w:val="0"/>
          <w:caps w:val="0"/>
          <w:smallCaps w:val="0"/>
          <w:noProof w:val="0"/>
          <w:color w:val="1F1F1F"/>
          <w:sz w:val="24"/>
          <w:szCs w:val="24"/>
          <w:lang w:val="en-US"/>
        </w:rPr>
        <w:t>: This is a quick win that can have immediate impact on profitability, but requires ongoing monitoring and refinement (long-term).</w:t>
      </w:r>
    </w:p>
    <w:p w:rsidR="008120FA" w:rsidP="373BAFFF" w:rsidRDefault="008120FA" w14:paraId="20497929" w14:textId="4521EB77">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Resource Requirements</w:t>
      </w:r>
      <w:r w:rsidRPr="373BAFFF" w:rsidR="0C29ABDC">
        <w:rPr>
          <w:rFonts w:ascii="Roboto" w:hAnsi="Roboto" w:eastAsia="Roboto" w:cs="Roboto"/>
          <w:b w:val="0"/>
          <w:bCs w:val="0"/>
          <w:i w:val="0"/>
          <w:iCs w:val="0"/>
          <w:caps w:val="0"/>
          <w:smallCaps w:val="0"/>
          <w:noProof w:val="0"/>
          <w:color w:val="1F1F1F"/>
          <w:sz w:val="24"/>
          <w:szCs w:val="24"/>
          <w:lang w:val="en-US"/>
        </w:rPr>
        <w:t>: Pricing strategists, sales team training on new promotional guidelines, and robust analytics for real-time profit tracking.</w:t>
      </w:r>
    </w:p>
    <w:p w:rsidR="008120FA" w:rsidP="373BAFFF" w:rsidRDefault="008120FA" w14:paraId="294A463C" w14:textId="401B858F">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Risk Factors</w:t>
      </w:r>
      <w:r w:rsidRPr="373BAFFF" w:rsidR="0C29ABDC">
        <w:rPr>
          <w:rFonts w:ascii="Roboto" w:hAnsi="Roboto" w:eastAsia="Roboto" w:cs="Roboto"/>
          <w:b w:val="0"/>
          <w:bCs w:val="0"/>
          <w:i w:val="0"/>
          <w:iCs w:val="0"/>
          <w:caps w:val="0"/>
          <w:smallCaps w:val="0"/>
          <w:noProof w:val="0"/>
          <w:color w:val="1F1F1F"/>
          <w:sz w:val="24"/>
          <w:szCs w:val="24"/>
          <w:lang w:val="en-US"/>
        </w:rPr>
        <w:t>: Potential short-term decrease in sales volume from price-sensitive customers; risk of alienating customers accustomed to large discounts.</w:t>
      </w:r>
    </w:p>
    <w:p w:rsidR="008120FA" w:rsidP="373BAFFF" w:rsidRDefault="008120FA" w14:paraId="2A107D5F" w14:textId="29B97AF8">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Success Metrics</w:t>
      </w:r>
      <w:r w:rsidRPr="373BAFFF" w:rsidR="0C29ABDC">
        <w:rPr>
          <w:rFonts w:ascii="Roboto" w:hAnsi="Roboto" w:eastAsia="Roboto" w:cs="Roboto"/>
          <w:b w:val="0"/>
          <w:bCs w:val="0"/>
          <w:i w:val="0"/>
          <w:iCs w:val="0"/>
          <w:caps w:val="0"/>
          <w:smallCaps w:val="0"/>
          <w:noProof w:val="0"/>
          <w:color w:val="1F1F1F"/>
          <w:sz w:val="24"/>
          <w:szCs w:val="24"/>
          <w:lang w:val="en-US"/>
        </w:rPr>
        <w:t>: Overall gross profit margin, average profit per transaction, sales volume at different discount tiers, and customer feedback on pricing.</w:t>
      </w:r>
    </w:p>
    <w:p w:rsidR="008120FA" w:rsidP="373BAFFF" w:rsidRDefault="008120FA" w14:paraId="4FCEFF68" w14:textId="5C3C1E6C">
      <w:pPr>
        <w:pStyle w:val="ListParagraph"/>
        <w:numPr>
          <w:ilvl w:val="0"/>
          <w:numId w:val="5"/>
        </w:numPr>
        <w:spacing w:before="0" w:beforeAutospacing="off" w:after="0" w:afterAutospacing="off"/>
        <w:rPr>
          <w:rFonts w:ascii="Roboto" w:hAnsi="Roboto" w:eastAsia="Roboto" w:cs="Roboto"/>
          <w:b w:val="1"/>
          <w:bCs w:val="1"/>
          <w:i w:val="0"/>
          <w:iCs w:val="0"/>
          <w:caps w:val="0"/>
          <w:smallCaps w:val="0"/>
          <w:noProof w:val="0"/>
          <w:color w:val="1F1F1F"/>
          <w:sz w:val="24"/>
          <w:szCs w:val="24"/>
          <w:lang w:val="en-US"/>
        </w:rPr>
      </w:pPr>
      <w:r w:rsidRPr="373BAFFF" w:rsidR="0C29ABDC">
        <w:rPr>
          <w:rFonts w:ascii="Roboto" w:hAnsi="Roboto" w:eastAsia="Roboto" w:cs="Roboto"/>
          <w:b w:val="1"/>
          <w:bCs w:val="1"/>
          <w:i w:val="0"/>
          <w:iCs w:val="0"/>
          <w:caps w:val="0"/>
          <w:smallCaps w:val="0"/>
          <w:noProof w:val="0"/>
          <w:color w:val="1F1F1F"/>
          <w:sz w:val="24"/>
          <w:szCs w:val="24"/>
          <w:lang w:val="en-US"/>
        </w:rPr>
        <w:t>Enhance Data Analytics for Deeper Insights and Predictive Modeling</w:t>
      </w:r>
    </w:p>
    <w:p w:rsidR="008120FA" w:rsidP="373BAFFF" w:rsidRDefault="008120FA" w14:paraId="6CB065B8" w14:textId="0F534046">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Description</w:t>
      </w:r>
      <w:r w:rsidRPr="373BAFFF" w:rsidR="0C29ABDC">
        <w:rPr>
          <w:rFonts w:ascii="Roboto" w:hAnsi="Roboto" w:eastAsia="Roboto" w:cs="Roboto"/>
          <w:b w:val="0"/>
          <w:bCs w:val="0"/>
          <w:i w:val="0"/>
          <w:iCs w:val="0"/>
          <w:caps w:val="0"/>
          <w:smallCaps w:val="0"/>
          <w:noProof w:val="0"/>
          <w:color w:val="1F1F1F"/>
          <w:sz w:val="24"/>
          <w:szCs w:val="24"/>
          <w:lang w:val="en-US"/>
        </w:rPr>
        <w:t>: Invest in advanced analytics capabilities to move beyond correlation to causality. Build predictive models for sales forecasting that incorporate seasonality, promotional impacts, and external market factors (if additional data sources can be integrated). This will allow for more precise inventory management, marketing spend optimization, and proactive decision-making.</w:t>
      </w:r>
    </w:p>
    <w:p w:rsidR="008120FA" w:rsidP="373BAFFF" w:rsidRDefault="008120FA" w14:paraId="34F0772C" w14:textId="4B6A417F">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Quick Win vs. Long-Term</w:t>
      </w:r>
      <w:r w:rsidRPr="373BAFFF" w:rsidR="0C29ABDC">
        <w:rPr>
          <w:rFonts w:ascii="Roboto" w:hAnsi="Roboto" w:eastAsia="Roboto" w:cs="Roboto"/>
          <w:b w:val="0"/>
          <w:bCs w:val="0"/>
          <w:i w:val="0"/>
          <w:iCs w:val="0"/>
          <w:caps w:val="0"/>
          <w:smallCaps w:val="0"/>
          <w:noProof w:val="0"/>
          <w:color w:val="1F1F1F"/>
          <w:sz w:val="24"/>
          <w:szCs w:val="24"/>
          <w:lang w:val="en-US"/>
        </w:rPr>
        <w:t>: This is a long-term strategic investment, but initial insights from deeper analysis can provide quick wins.</w:t>
      </w:r>
    </w:p>
    <w:p w:rsidR="008120FA" w:rsidP="373BAFFF" w:rsidRDefault="008120FA" w14:paraId="66A7F7E3" w14:textId="1C406C1B">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Resource Requirements</w:t>
      </w:r>
      <w:r w:rsidRPr="373BAFFF" w:rsidR="0C29ABDC">
        <w:rPr>
          <w:rFonts w:ascii="Roboto" w:hAnsi="Roboto" w:eastAsia="Roboto" w:cs="Roboto"/>
          <w:b w:val="0"/>
          <w:bCs w:val="0"/>
          <w:i w:val="0"/>
          <w:iCs w:val="0"/>
          <w:caps w:val="0"/>
          <w:smallCaps w:val="0"/>
          <w:noProof w:val="0"/>
          <w:color w:val="1F1F1F"/>
          <w:sz w:val="24"/>
          <w:szCs w:val="24"/>
          <w:lang w:val="en-US"/>
        </w:rPr>
        <w:t>: Data scientists/analysts, investment in advanced analytics tools/platforms (e.g., BigQuery if not fully utilized), and integration with external data sources.</w:t>
      </w:r>
    </w:p>
    <w:p w:rsidR="008120FA" w:rsidP="373BAFFF" w:rsidRDefault="008120FA" w14:paraId="2570EB6E" w14:textId="51E35983">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Risk Factors</w:t>
      </w:r>
      <w:r w:rsidRPr="373BAFFF" w:rsidR="0C29ABDC">
        <w:rPr>
          <w:rFonts w:ascii="Roboto" w:hAnsi="Roboto" w:eastAsia="Roboto" w:cs="Roboto"/>
          <w:b w:val="0"/>
          <w:bCs w:val="0"/>
          <w:i w:val="0"/>
          <w:iCs w:val="0"/>
          <w:caps w:val="0"/>
          <w:smallCaps w:val="0"/>
          <w:noProof w:val="0"/>
          <w:color w:val="1F1F1F"/>
          <w:sz w:val="24"/>
          <w:szCs w:val="24"/>
          <w:lang w:val="en-US"/>
        </w:rPr>
        <w:t>: High upfront cost and time investment; difficulty in integrating disparate data sources; resistance to data-driven decision-making from traditional departments.</w:t>
      </w:r>
    </w:p>
    <w:p w:rsidR="008120FA" w:rsidP="373BAFFF" w:rsidRDefault="008120FA" w14:paraId="11D92A64" w14:textId="5EBFA5F9">
      <w:pPr>
        <w:spacing w:before="120" w:beforeAutospacing="off" w:after="120" w:afterAutospacing="off"/>
      </w:pPr>
      <w:r w:rsidRPr="373BAFFF" w:rsidR="0C29ABDC">
        <w:rPr>
          <w:rFonts w:ascii="Roboto" w:hAnsi="Roboto" w:eastAsia="Roboto" w:cs="Roboto"/>
          <w:b w:val="1"/>
          <w:bCs w:val="1"/>
          <w:i w:val="0"/>
          <w:iCs w:val="0"/>
          <w:caps w:val="0"/>
          <w:smallCaps w:val="0"/>
          <w:noProof w:val="0"/>
          <w:color w:val="1F1F1F"/>
          <w:sz w:val="24"/>
          <w:szCs w:val="24"/>
          <w:lang w:val="en-US"/>
        </w:rPr>
        <w:t>Success Metrics</w:t>
      </w:r>
      <w:r w:rsidRPr="373BAFFF" w:rsidR="0C29ABDC">
        <w:rPr>
          <w:rFonts w:ascii="Roboto" w:hAnsi="Roboto" w:eastAsia="Roboto" w:cs="Roboto"/>
          <w:b w:val="0"/>
          <w:bCs w:val="0"/>
          <w:i w:val="0"/>
          <w:iCs w:val="0"/>
          <w:caps w:val="0"/>
          <w:smallCaps w:val="0"/>
          <w:noProof w:val="0"/>
          <w:color w:val="1F1F1F"/>
          <w:sz w:val="24"/>
          <w:szCs w:val="24"/>
          <w:lang w:val="en-US"/>
        </w:rPr>
        <w:t>: Forecast accuracy percentage, reduction in inventory holding costs, improvement in marketing ROI, and increased efficiency in supply chain management.</w:t>
      </w:r>
    </w:p>
    <w:p w:rsidR="008120FA" w:rsidRDefault="008120FA" w14:paraId="2C078E63" w14:textId="707837F6"/>
    <w:sectPr w:rsidR="008120F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5">
    <w:nsid w:val="6ca0b2d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ca1774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c6d527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69be50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afcc5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CBA31C"/>
    <w:rsid w:val="0039284C"/>
    <w:rsid w:val="008120FA"/>
    <w:rsid w:val="0C29ABDC"/>
    <w:rsid w:val="373BAFFF"/>
    <w:rsid w:val="5ACBA31C"/>
    <w:rsid w:val="774134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A31C"/>
  <w15:chartTrackingRefBased/>
  <w15:docId w15:val="{983BED7A-AE71-4AAE-B99F-75C7A8127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73BAFF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544ffe457ea4038"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Valerie A Robert</dc:creator>
  <keywords/>
  <dc:description/>
  <lastModifiedBy>Valerie A Robert</lastModifiedBy>
  <revision>2</revision>
  <dcterms:created xsi:type="dcterms:W3CDTF">2025-07-13T18:09:00.0000000Z</dcterms:created>
  <dcterms:modified xsi:type="dcterms:W3CDTF">2025-07-13T18:10:23.5889994Z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2025-07-13T18:09:43Z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de39aa45-c0b7-4bf1-a11a-259c03a766e0</vt:lpwstr>
  </property>
  <property fmtid="{D5CDD505-2E9C-101B-9397-08002B2CF9AE}" pid="8" name="MSIP_Label_f7606f69-b0ae-4874-be30-7d43a3c7be10_ContentBits">
    <vt:lpwstr>0</vt:lpwstr>
  </property>
  <property fmtid="{D5CDD505-2E9C-101B-9397-08002B2CF9AE}" pid="9" name="MSIP_Label_f7606f69-b0ae-4874-be30-7d43a3c7be10_Tag">
    <vt:lpwstr>10, 3, 0, 2</vt:lpwstr>
  </property>
</Properties>
</file>