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2A24" w:rsidP="3F9F47D3" w:rsidRDefault="003B2A24" w14:paraId="55B76263" w14:textId="2FBEED29">
      <w:pPr>
        <w:pStyle w:val="Heading2"/>
        <w:keepNext w:val="1"/>
        <w:keepLines w:val="1"/>
        <w:spacing w:before="299" w:beforeAutospacing="off" w:after="299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Strategic Recommendations</w:t>
      </w:r>
    </w:p>
    <w:p w:rsidR="003B2A24" w:rsidP="3F9F47D3" w:rsidRDefault="003B2A24" w14:paraId="0ECF38AE" w14:textId="19085A82">
      <w:pPr>
        <w:pStyle w:val="Heading3"/>
        <w:keepNext w:val="1"/>
        <w:keepLines w:val="1"/>
        <w:spacing w:before="281" w:beforeAutospacing="off" w:after="281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 Implement Discount Guardrails to Prevent Margin Collapse</w:t>
      </w:r>
    </w:p>
    <w:p w:rsidR="003B2A24" w:rsidP="3F9F47D3" w:rsidRDefault="003B2A24" w14:paraId="7F14AEC2" w14:textId="7B8337DA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Action: Cap discounts at 15% for all SKUs unless elasticity testing shows positive ROI. Automatically block discounts on loss-leading SKUs like Binders, Tables, and flagged supplies.</w:t>
      </w:r>
    </w:p>
    <w:p w:rsidR="003B2A24" w:rsidP="3F9F47D3" w:rsidRDefault="003B2A24" w14:paraId="3BF97861" w14:textId="2C9DF14A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Timeline:</w:t>
      </w:r>
    </w:p>
    <w:p w:rsidR="003B2A24" w:rsidP="3F9F47D3" w:rsidRDefault="003B2A24" w14:paraId="4C74C151" w14:textId="2A18ABC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0–30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Build “Problem SKU” list 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profitability and churn analyses.</w:t>
      </w:r>
    </w:p>
    <w:p w:rsidR="003B2A24" w:rsidP="3F9F47D3" w:rsidRDefault="003B2A24" w14:paraId="1D0D0FFC" w14:textId="5243BE6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31–60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Modify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POS and e-commerce platforms to enforce discount blocks.</w:t>
      </w:r>
    </w:p>
    <w:p w:rsidR="003B2A24" w:rsidP="3F9F47D3" w:rsidRDefault="003B2A24" w14:paraId="2D289E4D" w14:textId="09E152F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61–90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Monitor impact; expand to national level if margin improves.</w:t>
      </w:r>
    </w:p>
    <w:p w:rsidR="003B2A24" w:rsidP="3F9F47D3" w:rsidRDefault="003B2A24" w14:paraId="259DF5A2" w14:textId="22979B1F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Success Metrics:</w:t>
      </w:r>
    </w:p>
    <w:p w:rsidR="003B2A24" w:rsidP="3F9F47D3" w:rsidRDefault="003B2A24" w14:paraId="4174A10A" w14:textId="4AF01D85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% reduction in deep-discount transactions (&gt;20%)</w:t>
      </w:r>
    </w:p>
    <w:p w:rsidR="003B2A24" w:rsidP="3F9F47D3" w:rsidRDefault="003B2A24" w14:paraId="18619133" w14:textId="17DDD2DC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Profit per transaction uplift</w:t>
      </w:r>
    </w:p>
    <w:p w:rsidR="003B2A24" w:rsidP="3F9F47D3" w:rsidRDefault="003B2A24" w14:paraId="51A4666B" w14:textId="32CE1A98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Margin recovery by category (target: +200 basis points in Furniture)</w:t>
      </w:r>
    </w:p>
    <w:p w:rsidR="003B2A24" w:rsidP="3F9F47D3" w:rsidRDefault="003B2A24" w14:paraId="4F555BD0" w14:textId="2C5CD6C9">
      <w:pPr>
        <w:pStyle w:val="Heading3"/>
        <w:keepNext w:val="1"/>
        <w:keepLines w:val="1"/>
        <w:spacing w:before="281" w:beforeAutospacing="off" w:after="281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Launch a Churn-Hotspot Retention Pilot in Ohio</w:t>
      </w:r>
    </w:p>
    <w:p w:rsidR="003B2A24" w:rsidP="3F9F47D3" w:rsidRDefault="003B2A24" w14:paraId="3D59C46F" w14:textId="2D4DE8B2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Action: Target At-Risk High-Value customers in Ohio with personalized offers that steer them toward high-margin Hero SKUs (e.g., Copiers, Phones) and block discounting on churn-triggering Problem SKUs.</w:t>
      </w:r>
    </w:p>
    <w:p w:rsidR="003B2A24" w:rsidP="3F9F47D3" w:rsidRDefault="003B2A24" w14:paraId="14B05D54" w14:textId="316211EE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Timeline:</w:t>
      </w:r>
    </w:p>
    <w:p w:rsidR="003B2A24" w:rsidP="3F9F47D3" w:rsidRDefault="003B2A24" w14:paraId="17B638A0" w14:textId="48A7FD5E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0–30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Finalize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customer list using RFPM + churn model; align Hero SKUs.</w:t>
      </w:r>
    </w:p>
    <w:p w:rsidR="003B2A24" w:rsidP="3F9F47D3" w:rsidRDefault="003B2A24" w14:paraId="65F93D05" w14:textId="22306ADF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31–60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Send targeted win-back campaigns with 25% discount on Hero SKUs.</w:t>
      </w:r>
    </w:p>
    <w:p w:rsidR="003B2A24" w:rsidP="3F9F47D3" w:rsidRDefault="003B2A24" w14:paraId="777B87AC" w14:textId="24AA9C74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61–90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Measure reactivation, repeat purchase rate, and 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margin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impact.</w:t>
      </w:r>
    </w:p>
    <w:p w:rsidR="003B2A24" w:rsidP="3F9F47D3" w:rsidRDefault="003B2A24" w14:paraId="2C9F9D80" w14:textId="51459E9C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Success Metrics:</w:t>
      </w:r>
    </w:p>
    <w:p w:rsidR="003B2A24" w:rsidP="3F9F47D3" w:rsidRDefault="003B2A24" w14:paraId="2AC25EE3" w14:textId="6A367AFE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Reactivation rate among targeted customers (goal: ≥15%)</w:t>
      </w:r>
    </w:p>
    <w:p w:rsidR="003B2A24" w:rsidP="3F9F47D3" w:rsidRDefault="003B2A24" w14:paraId="08471F71" w14:textId="75B24384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Average profit per reactivated customer</w:t>
      </w:r>
    </w:p>
    <w:p w:rsidR="003B2A24" w:rsidP="3F9F47D3" w:rsidRDefault="003B2A24" w14:paraId="62D53E0F" w14:textId="6CBEE280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ROI of campaign vs. predicted churn cost ($727 per customer)</w:t>
      </w:r>
    </w:p>
    <w:p w:rsidR="003B2A24" w:rsidP="3F9F47D3" w:rsidRDefault="003B2A24" w14:paraId="6C7D910C" w14:textId="3E9AC7D4">
      <w:pPr>
        <w:pStyle w:val="Heading3"/>
        <w:keepNext w:val="1"/>
        <w:keepLines w:val="1"/>
        <w:spacing w:before="281" w:beforeAutospacing="off" w:after="281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Rationalize the Product Portfolio</w:t>
      </w:r>
    </w:p>
    <w:p w:rsidR="003B2A24" w:rsidP="3F9F47D3" w:rsidRDefault="003B2A24" w14:paraId="05D2D081" w14:textId="3C9D0796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Action: Retire or reprice the bottom 30% of SKUs by 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margin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contribution. Launch cost audits for Volume Traps (e.g., Phones or Tech SKUs with high sales but low profit) and renegotiate or phase out suppliers with unsustainable cost structures.</w:t>
      </w:r>
    </w:p>
    <w:p w:rsidR="003B2A24" w:rsidP="3F9F47D3" w:rsidRDefault="003B2A24" w14:paraId="2F58709B" w14:textId="084431E2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Timeline:</w:t>
      </w:r>
    </w:p>
    <w:p w:rsidR="003B2A24" w:rsidP="3F9F47D3" w:rsidRDefault="003B2A24" w14:paraId="011F1F0C" w14:textId="70B103CF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0–30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low-performing SKUs and suppliers.</w:t>
      </w:r>
    </w:p>
    <w:p w:rsidR="003B2A24" w:rsidP="3F9F47D3" w:rsidRDefault="003B2A24" w14:paraId="2ED10166" w14:textId="1EB38E0D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31–60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Begin removal or repricing; initiate supplier renegotiations.</w:t>
      </w:r>
    </w:p>
    <w:p w:rsidR="003B2A24" w:rsidP="3F9F47D3" w:rsidRDefault="003B2A24" w14:paraId="3144B740" w14:textId="67493D89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61–90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Finalize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portfolio shift and reinvest freed capital into top SKUs.</w:t>
      </w:r>
    </w:p>
    <w:p w:rsidR="003B2A24" w:rsidP="3F9F47D3" w:rsidRDefault="003B2A24" w14:paraId="30DAF2E3" w14:textId="1FBF1D23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Success Metrics:</w:t>
      </w:r>
    </w:p>
    <w:p w:rsidR="003B2A24" w:rsidP="3F9F47D3" w:rsidRDefault="003B2A24" w14:paraId="19F24E37" w14:textId="4DDE5B9A">
      <w:pPr>
        <w:pStyle w:val="ListParagraph"/>
        <w:numPr>
          <w:ilvl w:val="0"/>
          <w:numId w:val="6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SKU count reduction (target: -30%)</w:t>
      </w:r>
    </w:p>
    <w:p w:rsidR="003B2A24" w:rsidP="3F9F47D3" w:rsidRDefault="003B2A24" w14:paraId="51AD737D" w14:textId="143FB0EA">
      <w:pPr>
        <w:pStyle w:val="ListParagraph"/>
        <w:numPr>
          <w:ilvl w:val="0"/>
          <w:numId w:val="6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Improvement in average margin per SKU</w:t>
      </w:r>
    </w:p>
    <w:p w:rsidR="003B2A24" w:rsidP="3F9F47D3" w:rsidRDefault="003B2A24" w14:paraId="2FB06E44" w14:textId="7453AECE">
      <w:pPr>
        <w:pStyle w:val="ListParagraph"/>
        <w:numPr>
          <w:ilvl w:val="0"/>
          <w:numId w:val="6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Inventory turnover improvement</w:t>
      </w:r>
    </w:p>
    <w:p w:rsidR="003B2A24" w:rsidP="3F9F47D3" w:rsidRDefault="003B2A24" w14:paraId="4814EB7F" w14:textId="12DC1ECE">
      <w:pPr>
        <w:pStyle w:val="Heading3"/>
        <w:keepNext w:val="1"/>
        <w:keepLines w:val="1"/>
        <w:spacing w:before="281" w:beforeAutospacing="off" w:after="281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4. Align Q4 Campaigns with Profit-First Product Strategy</w:t>
      </w:r>
    </w:p>
    <w:p w:rsidR="003B2A24" w:rsidP="3F9F47D3" w:rsidRDefault="003B2A24" w14:paraId="1819B940" w14:textId="2BEE5B87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Action: 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Focus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seasonal marketing on Copiers, Phones, and Accessories. Use A/B-tested bundles and capped discounts to boost volume without sacrificing profitability.</w:t>
      </w:r>
    </w:p>
    <w:p w:rsidR="003B2A24" w:rsidP="3F9F47D3" w:rsidRDefault="003B2A24" w14:paraId="7E417BD0" w14:textId="13C108B9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Timeline:</w:t>
      </w:r>
    </w:p>
    <w:p w:rsidR="003B2A24" w:rsidP="3F9F47D3" w:rsidRDefault="003B2A24" w14:paraId="548726A4" w14:textId="59D08E53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0–30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Forecast Q4 demand; build bundle offers and pricing floors.</w:t>
      </w:r>
    </w:p>
    <w:p w:rsidR="003B2A24" w:rsidP="3F9F47D3" w:rsidRDefault="003B2A24" w14:paraId="781902BA" w14:textId="060B40B6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31–60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Launch promotional campaigns with profit guardrails.</w:t>
      </w:r>
    </w:p>
    <w:p w:rsidR="003B2A24" w:rsidP="3F9F47D3" w:rsidRDefault="003B2A24" w14:paraId="168FA60D" w14:textId="2D98DFC0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61–90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Analyze campaign ROI and adjust strategies.</w:t>
      </w:r>
    </w:p>
    <w:p w:rsidR="003B2A24" w:rsidP="3F9F47D3" w:rsidRDefault="003B2A24" w14:paraId="2B8AA081" w14:textId="161F94C3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Success Metrics:</w:t>
      </w:r>
    </w:p>
    <w:p w:rsidR="003B2A24" w:rsidP="3F9F47D3" w:rsidRDefault="003B2A24" w14:paraId="56BD6C97" w14:textId="7CD3DF36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Campaign ROI (&gt;300%)</w:t>
      </w:r>
    </w:p>
    <w:p w:rsidR="003B2A24" w:rsidP="3F9F47D3" w:rsidRDefault="003B2A24" w14:paraId="6FE7CB0B" w14:textId="5AC99B7B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Profit per order increase</w:t>
      </w:r>
    </w:p>
    <w:p w:rsidR="003B2A24" w:rsidP="3F9F47D3" w:rsidRDefault="003B2A24" w14:paraId="1B65F495" w14:textId="25BB35D1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Average discount rate held under control (&lt;15%)</w:t>
      </w:r>
    </w:p>
    <w:p w:rsidR="003B2A24" w:rsidP="3F9F47D3" w:rsidRDefault="003B2A24" w14:paraId="708A48F3" w14:textId="1E9E3B9F">
      <w:pPr>
        <w:pStyle w:val="Heading3"/>
        <w:keepNext w:val="1"/>
        <w:keepLines w:val="1"/>
        <w:spacing w:before="281" w:beforeAutospacing="off" w:after="281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 Develop Predictive Models for Regional and Segment Planning</w:t>
      </w:r>
    </w:p>
    <w:p w:rsidR="003B2A24" w:rsidP="3F9F47D3" w:rsidRDefault="003B2A24" w14:paraId="0C158011" w14:textId="067A58EA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Action: Build demand forecasting and churn prediction models that integrate seasonal trends, SKU profitability, and regional performance to inform campaign, pricing, and inventory decisions.</w:t>
      </w:r>
    </w:p>
    <w:p w:rsidR="003B2A24" w:rsidP="3F9F47D3" w:rsidRDefault="003B2A24" w14:paraId="7CAD9C5A" w14:textId="5011FC7B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Timeline:</w:t>
      </w:r>
    </w:p>
    <w:p w:rsidR="003B2A24" w:rsidP="3F9F47D3" w:rsidRDefault="003B2A24" w14:paraId="51EF1292" w14:textId="1E4F4188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0–30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Assemble cross-functional data team and select toolset.</w:t>
      </w:r>
    </w:p>
    <w:p w:rsidR="003B2A24" w:rsidP="3F9F47D3" w:rsidRDefault="003B2A24" w14:paraId="144E6B6B" w14:textId="4E9DE93B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31–60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Develop initial models for Central/South expansion and churn risk.</w:t>
      </w:r>
    </w:p>
    <w:p w:rsidR="003B2A24" w:rsidP="3F9F47D3" w:rsidRDefault="003B2A24" w14:paraId="55BDDD34" w14:textId="56080754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Day 61–90</w:t>
      </w: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Launch dashboards and train regional managers.</w:t>
      </w:r>
    </w:p>
    <w:p w:rsidR="003B2A24" w:rsidP="3F9F47D3" w:rsidRDefault="003B2A24" w14:paraId="02371FA9" w14:textId="2AF5813C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Success Metrics:</w:t>
      </w:r>
    </w:p>
    <w:p w:rsidR="003B2A24" w:rsidP="3F9F47D3" w:rsidRDefault="003B2A24" w14:paraId="2858FF28" w14:textId="3BA61078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Forecast accuracy (&gt;80%)</w:t>
      </w:r>
    </w:p>
    <w:p w:rsidR="003B2A24" w:rsidP="3F9F47D3" w:rsidRDefault="003B2A24" w14:paraId="554ED8B9" w14:textId="416C8133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Central/South revenue growth (target: +10%)</w:t>
      </w:r>
    </w:p>
    <w:p w:rsidR="003B2A24" w:rsidP="3F9F47D3" w:rsidRDefault="003B2A24" w14:paraId="2C078E63" w14:textId="2FAE77CF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9F47D3" w:rsidR="286CDA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Decrease in holding costs and overstock rates</w:t>
      </w:r>
    </w:p>
    <w:sectPr w:rsidR="003B2A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2f5f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1db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45b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d62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f65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29d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2a8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ef9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f49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6f6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4914D8"/>
    <w:rsid w:val="003B2A24"/>
    <w:rsid w:val="004E3C64"/>
    <w:rsid w:val="1FB3CD1A"/>
    <w:rsid w:val="214C66B9"/>
    <w:rsid w:val="215A6F31"/>
    <w:rsid w:val="286CDA07"/>
    <w:rsid w:val="3F9F47D3"/>
    <w:rsid w:val="48AB9160"/>
    <w:rsid w:val="4BC36678"/>
    <w:rsid w:val="4F4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14D8"/>
  <w15:chartTrackingRefBased/>
  <w15:docId w15:val="{F5FCD07A-9C99-4C67-B268-04EE9CAE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9F47D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c1263446164a1f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Sameer Yelamarthi</dc:creator>
  <keywords/>
  <dc:description/>
  <lastModifiedBy>Valerie A Robert</lastModifiedBy>
  <revision>2</revision>
  <dcterms:created xsi:type="dcterms:W3CDTF">2025-07-18T23:05:00.0000000Z</dcterms:created>
  <dcterms:modified xsi:type="dcterms:W3CDTF">2025-07-18T23:14:59.1463519Z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2025-07-18T23:05:05Z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9d892e80-cc98-4a18-aafd-22a3d3e90230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10, 3, 0, 2</vt:lpwstr>
  </property>
</Properties>
</file>