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BIBLIOMÉTRICA</w:t>
      </w:r>
      <w:r>
        <w:t xml:space="preserve"> </w:t>
      </w:r>
      <w:r>
        <w:t xml:space="preserve">DE</w:t>
      </w:r>
      <w:r>
        <w:t xml:space="preserve"> </w:t>
      </w:r>
      <w:r>
        <w:t xml:space="preserve">GESTÃO</w:t>
      </w:r>
      <w:r>
        <w:t xml:space="preserve"> </w:t>
      </w:r>
      <w:r>
        <w:t xml:space="preserve">ESPORTIVA</w:t>
      </w:r>
    </w:p>
    <w:p>
      <w:pPr>
        <w:pStyle w:val="Subtitle"/>
      </w:pPr>
      <w:r>
        <w:t xml:space="preserve">Pesquisa</w:t>
      </w:r>
      <w:r>
        <w:t xml:space="preserve"> </w:t>
      </w:r>
      <w:r>
        <w:t xml:space="preserve">em</w:t>
      </w:r>
      <w:r>
        <w:t xml:space="preserve"> </w:t>
      </w:r>
      <w:r>
        <w:t xml:space="preserve">Finanças</w:t>
      </w:r>
    </w:p>
    <w:p>
      <w:pPr>
        <w:pStyle w:val="Author"/>
      </w:pPr>
      <w:r>
        <w:rPr>
          <w:iCs/>
          <w:i/>
        </w:rPr>
        <w:t xml:space="preserve">Autores:</w:t>
      </w:r>
      <w:r>
        <w:t xml:space="preserve"> </w:t>
      </w:r>
      <w:r>
        <w:t xml:space="preserve">Prof. Marcelo</w:t>
      </w:r>
      <w:r>
        <w:t xml:space="preserve"> </w:t>
      </w:r>
      <w:r>
        <w:t xml:space="preserve">Fonseca,</w:t>
      </w:r>
      <w:r>
        <w:t xml:space="preserve"> </w:t>
      </w:r>
      <w:r>
        <w:t xml:space="preserve">Wilson</w:t>
      </w:r>
      <w:r>
        <w:t xml:space="preserve"> </w:t>
      </w:r>
      <w:r>
        <w:t xml:space="preserve">Nakamura,</w:t>
      </w:r>
      <w:r>
        <w:t xml:space="preserve"> </w:t>
      </w:r>
      <w:r>
        <w:t xml:space="preserve">Giancarlo,</w:t>
      </w:r>
      <w:r>
        <w:t xml:space="preserve"> </w:t>
      </w:r>
      <w:r>
        <w:t xml:space="preserve">José</w:t>
      </w:r>
      <w:r>
        <w:t xml:space="preserve"> </w:t>
      </w:r>
      <w:r>
        <w:t xml:space="preserve">Marcos,</w:t>
      </w:r>
      <w:r>
        <w:t xml:space="preserve"> </w:t>
      </w:r>
      <w:r>
        <w:t xml:space="preserve">Victor</w:t>
      </w:r>
      <w:r>
        <w:t xml:space="preserve"> </w:t>
      </w:r>
      <w:r>
        <w:t xml:space="preserve">Valerio</w:t>
      </w:r>
    </w:p>
    <w:p>
      <w:pPr>
        <w:pStyle w:val="Date"/>
      </w:pPr>
      <w:r>
        <w:rPr>
          <w:iCs/>
          <w:i/>
        </w:rPr>
        <w:t xml:space="preserve">Última</w:t>
      </w:r>
      <w:r>
        <w:rPr>
          <w:iCs/>
          <w:i/>
        </w:rPr>
        <w:t xml:space="preserve"> </w:t>
      </w:r>
      <w:r>
        <w:rPr>
          <w:iCs/>
          <w:i/>
        </w:rPr>
        <w:t xml:space="preserve">atualização:</w:t>
      </w:r>
      <w:r>
        <w:t xml:space="preserve"> </w:t>
      </w:r>
      <w:r>
        <w:t xml:space="preserve">data</w:t>
      </w:r>
    </w:p>
    <w:bookmarkStart w:id="20" w:name="introduction"/>
    <w:p>
      <w:pPr>
        <w:pStyle w:val="Heading1"/>
      </w:pPr>
      <w:r>
        <w:t xml:space="preserve">1 INTRODUCTION</w:t>
      </w:r>
    </w:p>
    <w:p>
      <w:pPr>
        <w:pStyle w:val="FirstParagraph"/>
      </w:pPr>
      <w:r>
        <w:rPr>
          <w:bCs/>
          <w:b/>
        </w:rPr>
        <w:t xml:space="preserve">Algo sobre a área de finanças e sua importância (Prof Nakamura?)</w:t>
      </w:r>
    </w:p>
    <w:p>
      <w:pPr>
        <w:pStyle w:val="BodyText"/>
      </w:pPr>
      <w:r>
        <w:t xml:space="preserve">Os clubes de futebol, não diferente de instituições inseridas em outros segmentos, devem se atentar</w:t>
      </w:r>
      <w:r>
        <w:t xml:space="preserve"> </w:t>
      </w:r>
      <w:r>
        <w:t xml:space="preserve">para as questões de ordem financeira. Barros et. al. (2011) destacam que, além do desempenho em</w:t>
      </w:r>
      <w:r>
        <w:t xml:space="preserve"> </w:t>
      </w:r>
      <w:r>
        <w:t xml:space="preserve">campo, outra determinante área para o sucesso dos clubes de futebol é a de finanças. Apesar de</w:t>
      </w:r>
      <w:r>
        <w:t xml:space="preserve"> </w:t>
      </w:r>
      <w:r>
        <w:t xml:space="preserve">aparentemente a vitória em campo ser o objetivo final, a estabilidade financeira é de suma</w:t>
      </w:r>
      <w:r>
        <w:t xml:space="preserve"> </w:t>
      </w:r>
      <w:r>
        <w:t xml:space="preserve">importância para o sucesso a longo prazo (Barros et. al., 2017). É notória a ligação existente entre</w:t>
      </w:r>
      <w:r>
        <w:t xml:space="preserve"> </w:t>
      </w:r>
      <w:r>
        <w:t xml:space="preserve">essas áreas, já que um bom desempenho em campo pode levar a bons resultados financeiros.</w:t>
      </w:r>
    </w:p>
    <w:p>
      <w:pPr>
        <w:pStyle w:val="BodyText"/>
      </w:pPr>
      <w:r>
        <w:t xml:space="preserve">É inevitável notar que o futebol é responsável por um significativo volume de dinheiro em circulação.</w:t>
      </w:r>
      <w:r>
        <w:t xml:space="preserve"> </w:t>
      </w:r>
      <w:r>
        <w:t xml:space="preserve">Não são raros os casos noticiados envolvendo patrocínios expressivos, contratos milionários, direitos</w:t>
      </w:r>
      <w:r>
        <w:t xml:space="preserve"> </w:t>
      </w:r>
      <w:r>
        <w:t xml:space="preserve">televisivos e salários astronômicos. As altas receitas produzidas por clubes de futebol, como pode ser</w:t>
      </w:r>
      <w:r>
        <w:t xml:space="preserve"> </w:t>
      </w:r>
      <w:r>
        <w:t xml:space="preserve">observado pelo relatório produzido pela Deloitte (2014) no âmbito de clubes europeus, pode sugerir que</w:t>
      </w:r>
      <w:r>
        <w:t xml:space="preserve"> </w:t>
      </w:r>
      <w:r>
        <w:t xml:space="preserve">tais clubes não apresentam percalços de ordem financeira. Essa não é uma realidade vivenciadas por</w:t>
      </w:r>
      <w:r>
        <w:t xml:space="preserve"> </w:t>
      </w:r>
      <w:r>
        <w:t xml:space="preserve">todos os clubes, uma vez que apesar da capacidade de produzir grandes volumes monetários, clubes com</w:t>
      </w:r>
      <w:r>
        <w:t xml:space="preserve"> </w:t>
      </w:r>
      <w:r>
        <w:t xml:space="preserve">altas receitas podem apresentar um mal desempenho no que diz respeito a transformar essas receitas</w:t>
      </w:r>
      <w:r>
        <w:t xml:space="preserve"> </w:t>
      </w:r>
      <w:r>
        <w:t xml:space="preserve">em lucro (Dimitropoulos, 2016).</w:t>
      </w:r>
    </w:p>
    <w:p>
      <w:pPr>
        <w:pStyle w:val="BodyText"/>
      </w:pPr>
      <w:r>
        <w:t xml:space="preserve">Volumosas receitas não significam necessariamente em altas rentabilidade e prosperidade financeira,</w:t>
      </w:r>
      <w:r>
        <w:t xml:space="preserve"> </w:t>
      </w:r>
      <w:r>
        <w:t xml:space="preserve">sendo diversas as variáveis que influenciam no desempenho financeiro. Muitos clubes, inclusive</w:t>
      </w:r>
      <w:r>
        <w:t xml:space="preserve"> </w:t>
      </w:r>
      <w:r>
        <w:t xml:space="preserve">aqueles que apresentam altos faturamentos, operam no limite do colapso financeiro. À vista disso,</w:t>
      </w:r>
      <w:r>
        <w:t xml:space="preserve"> </w:t>
      </w:r>
      <w:r>
        <w:t xml:space="preserve">a Union of European Football Associations (UEFA) introduz o regulamento de Financial Fair Play (FFP),</w:t>
      </w:r>
      <w:r>
        <w:t xml:space="preserve"> </w:t>
      </w:r>
      <w:r>
        <w:t xml:space="preserve">cujo objetivo é de proteger a viabilidade a longo prazo de clubes Europeus, por meio da disciplina e</w:t>
      </w:r>
      <w:r>
        <w:t xml:space="preserve"> </w:t>
      </w:r>
      <w:r>
        <w:t xml:space="preserve">racionalidade nas finanças dos clubes (UEFA, 2010).</w:t>
      </w:r>
    </w:p>
    <w:p>
      <w:pPr>
        <w:pStyle w:val="BodyText"/>
      </w:pPr>
      <w:r>
        <w:t xml:space="preserve">Os clubes que geraram as maiores receitas no ano de 2019 e 2020 são clubes participantes de torneios</w:t>
      </w:r>
      <w:r>
        <w:t xml:space="preserve"> </w:t>
      </w:r>
      <w:r>
        <w:t xml:space="preserve">organizados pela instituição, com destaque para o Barcelona, Real Madrid e Manchester United, times</w:t>
      </w:r>
      <w:r>
        <w:t xml:space="preserve"> </w:t>
      </w:r>
      <w:r>
        <w:t xml:space="preserve">que ocupam o primeiro, segundo e terceiro lugar, respectivamente, do</w:t>
      </w:r>
      <w:r>
        <w:t xml:space="preserve"> </w:t>
      </w:r>
      <w:r>
        <w:t xml:space="preserve">“</w:t>
      </w:r>
      <w:r>
        <w:t xml:space="preserve">Deloitte Football Money League</w:t>
      </w:r>
      <w:r>
        <w:t xml:space="preserve">”</w:t>
      </w:r>
      <w:r>
        <w:t xml:space="preserve"> </w:t>
      </w:r>
      <w:r>
        <w:t xml:space="preserve">(Deloitte, 2020 e Deloitte, 2021), mostrando a supremacia dos clubes participantes dos torneios</w:t>
      </w:r>
      <w:r>
        <w:t xml:space="preserve"> </w:t>
      </w:r>
      <w:r>
        <w:t xml:space="preserve">organizados pela instituição. No entanto, a ausência da torcida e as renegociações de direitos</w:t>
      </w:r>
      <w:r>
        <w:t xml:space="preserve"> </w:t>
      </w:r>
      <w:r>
        <w:t xml:space="preserve">televisivos, consequência da pandemia causado pelo Covid 19, causou uma redução de mais de dois</w:t>
      </w:r>
      <w:r>
        <w:t xml:space="preserve"> </w:t>
      </w:r>
      <w:r>
        <w:t xml:space="preserve">milhões de euros durante as temporadas de 2019/2021 e 2020/21 (Deloitte, 2021).</w:t>
      </w:r>
    </w:p>
    <w:p>
      <w:pPr>
        <w:pStyle w:val="BodyText"/>
      </w:pPr>
      <w:r>
        <w:t xml:space="preserve">A relevância do tema do presente trabalho fica ainda mais evidente quando se constata o crescimento</w:t>
      </w:r>
      <w:r>
        <w:t xml:space="preserve"> </w:t>
      </w:r>
      <w:r>
        <w:t xml:space="preserve">do volume de estudos relacionados à futebol (COLOCAR ALGUMA INFORMAÇÃO MOSTRANDO COMO ESTÁ CRESCENDO XXXX).</w:t>
      </w:r>
      <w:r>
        <w:t xml:space="preserve"> </w:t>
      </w:r>
      <w:r>
        <w:t xml:space="preserve">São inúmeros artigos que tratam dos mais diversos temas. Por exemplo, Hope (2003) objetiva encontrar</w:t>
      </w:r>
      <w:r>
        <w:t xml:space="preserve"> </w:t>
      </w:r>
      <w:r>
        <w:t xml:space="preserve">o momento correto para a demissão de um técnico, buscando maximizar a pontuação da equipe em uma liga.</w:t>
      </w:r>
      <w:r>
        <w:t xml:space="preserve"> </w:t>
      </w:r>
      <w:r>
        <w:t xml:space="preserve">Barros, Assaf e Araujo (2011) desenvolvem uma metodologia para media a eficiência de clubes de</w:t>
      </w:r>
      <w:r>
        <w:t xml:space="preserve"> </w:t>
      </w:r>
      <w:r>
        <w:t xml:space="preserve">futebol (modelo de fronteira estocástica usando a abordagem Bayesiana) e analisam a eficiência da</w:t>
      </w:r>
      <w:r>
        <w:t xml:space="preserve"> </w:t>
      </w:r>
      <w:r>
        <w:t xml:space="preserve">liga de futebol brasileira, comparando-a com outras ligas internacionais. Rohde e Breuer (2016)</w:t>
      </w:r>
      <w:r>
        <w:t xml:space="preserve"> </w:t>
      </w:r>
      <w:r>
        <w:t xml:space="preserve">examinam a influência dos investimentos e tipos de investidores no desempenho em campo e do valor</w:t>
      </w:r>
      <w:r>
        <w:t xml:space="preserve"> </w:t>
      </w:r>
      <w:r>
        <w:t xml:space="preserve">da marca nas fontes de receitas dos times de elite europeu. Já Nez, Oldra e Deparis (2020) avaliam a</w:t>
      </w:r>
      <w:r>
        <w:t xml:space="preserve"> </w:t>
      </w:r>
      <w:r>
        <w:t xml:space="preserve">influência de gastos com a formação de atletas no desempenho do clube.</w:t>
      </w:r>
    </w:p>
    <w:p>
      <w:pPr>
        <w:pStyle w:val="BodyText"/>
      </w:pPr>
      <w:r>
        <w:t xml:space="preserve">Ainda, diversos trabalhos relacionam a área financeira com o Futebol. Por exemplo, Duarte, Ribeiro e</w:t>
      </w:r>
      <w:r>
        <w:t xml:space="preserve"> </w:t>
      </w:r>
      <w:r>
        <w:t xml:space="preserve">Duarte (2020) examinam a situação dos indicadores econômicos e financeiros dos grandes clubes do Rio</w:t>
      </w:r>
      <w:r>
        <w:t xml:space="preserve"> </w:t>
      </w:r>
      <w:r>
        <w:t xml:space="preserve">de Janeiro e de São Paulo (Flamengo, Fluminense, Botafogo, Vasco, Palmeiras, São Paulo, Corinthians</w:t>
      </w:r>
      <w:r>
        <w:t xml:space="preserve"> </w:t>
      </w:r>
      <w:r>
        <w:t xml:space="preserve">e Santos) e verificam a hipótese de relação do sucesso do desempenho dentro de campo com os</w:t>
      </w:r>
      <w:r>
        <w:t xml:space="preserve"> </w:t>
      </w:r>
      <w:r>
        <w:t xml:space="preserve">desempenhos econômicos e financeiros. Acero et. al. (2017) avaliam a influência da estrutura de</w:t>
      </w:r>
      <w:r>
        <w:t xml:space="preserve"> </w:t>
      </w:r>
      <w:r>
        <w:t xml:space="preserve">propriedade dos clubes nos resultados financeiros por meio de um modelo de regressão. Além disso,</w:t>
      </w:r>
      <w:r>
        <w:t xml:space="preserve"> </w:t>
      </w:r>
      <w:r>
        <w:t xml:space="preserve">são inúmeros autores que focaram em analisar os efeitos do FPF na gestão do clube (Acero et. al.,</w:t>
      </w:r>
      <w:r>
        <w:t xml:space="preserve"> </w:t>
      </w:r>
      <w:r>
        <w:t xml:space="preserve">2017; Dimitropoulos et. al., 2016; Sass, 2016; Franck, 2014; Szymanski, 2014 e Madden, 2012).</w:t>
      </w:r>
    </w:p>
    <w:p>
      <w:pPr>
        <w:pStyle w:val="BodyText"/>
      </w:pPr>
      <w:r>
        <w:t xml:space="preserve">No entanto, apesar do significativo volume de trabalhos publicados no campo de pesquisa do presente</w:t>
      </w:r>
      <w:r>
        <w:t xml:space="preserve"> </w:t>
      </w:r>
      <w:r>
        <w:t xml:space="preserve">estudo, não foram encontradas evidências de artigos que abordem revisões da literatura relacionando</w:t>
      </w:r>
      <w:r>
        <w:t xml:space="preserve"> </w:t>
      </w:r>
      <w:r>
        <w:t xml:space="preserve">a área financeira e futebol. A revisão da literatura é um importante elemento em qualquer campo de</w:t>
      </w:r>
      <w:r>
        <w:t xml:space="preserve"> </w:t>
      </w:r>
      <w:r>
        <w:t xml:space="preserve">pesquisa e devido ao crescente número de publicações científicas, o método de análise bibliométrica</w:t>
      </w:r>
      <w:r>
        <w:t xml:space="preserve"> </w:t>
      </w:r>
      <w:r>
        <w:t xml:space="preserve">vem ganhando grande atenção (Goh e See, 2021).</w:t>
      </w:r>
    </w:p>
    <w:p>
      <w:pPr>
        <w:pStyle w:val="BodyText"/>
      </w:pPr>
      <w:r>
        <w:t xml:space="preserve">Diante desse contexto, o presente trabalho tem como objetivo desenvolver uma revisão de literatura</w:t>
      </w:r>
      <w:r>
        <w:t xml:space="preserve"> </w:t>
      </w:r>
      <w:r>
        <w:t xml:space="preserve">na área de finanças aplicadas ao futebol no período compreendido entre XXX e XXX, por meio de análise</w:t>
      </w:r>
      <w:r>
        <w:t xml:space="preserve"> </w:t>
      </w:r>
      <w:r>
        <w:t xml:space="preserve">bibliométrica. Assim, são analisados XXXX (colocar o que a gente analisa no trabalho).</w:t>
      </w:r>
    </w:p>
    <w:p>
      <w:pPr>
        <w:pStyle w:val="BodyText"/>
      </w:pPr>
      <w:r>
        <w:t xml:space="preserve">A contribuição deste trabalho está XXXXXXX</w:t>
      </w:r>
    </w:p>
    <w:p>
      <w:pPr>
        <w:pStyle w:val="BodyText"/>
      </w:pPr>
      <w:r>
        <w:t xml:space="preserve">This study is organized as follows: Section 2 provides a brief review related to the literature survey</w:t>
      </w:r>
      <w:r>
        <w:t xml:space="preserve"> </w:t>
      </w:r>
      <w:r>
        <w:t xml:space="preserve">of water services industry performance studies. Section 3 outlines the procedures for retrieving and</w:t>
      </w:r>
      <w:r>
        <w:t xml:space="preserve"> </w:t>
      </w:r>
      <w:r>
        <w:t xml:space="preserve">processing data and the research methodology. Section 4 presents the outcomes of bibliometric analysis</w:t>
      </w:r>
      <w:r>
        <w:t xml:space="preserve"> </w:t>
      </w:r>
      <w:r>
        <w:t xml:space="preserve">in the study. The current and future research hotspot, determinants of the</w:t>
      </w:r>
      <w:r>
        <w:t xml:space="preserve"> </w:t>
      </w:r>
      <w:r>
        <w:t xml:space="preserve">performance of water and sewage industry are included in Section5 while the concluding remarks and</w:t>
      </w:r>
      <w:r>
        <w:t xml:space="preserve"> </w:t>
      </w:r>
      <w:r>
        <w:t xml:space="preserve">roadmap for future researchare included in Section 6.</w:t>
      </w:r>
    </w:p>
    <w:bookmarkEnd w:id="20"/>
    <w:bookmarkStart w:id="21" w:name="literature-review"/>
    <w:p>
      <w:pPr>
        <w:pStyle w:val="Heading1"/>
      </w:pPr>
      <w:r>
        <w:t xml:space="preserve">2 LITERATURE REVIEW</w:t>
      </w:r>
    </w:p>
    <w:p>
      <w:pPr>
        <w:pStyle w:val="FirstParagraph"/>
      </w:pP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Buscar na base de dados os artigos que já realizaram revisão de literatura e comentar os principais</w:t>
      </w:r>
      <w:r>
        <w:rPr>
          <w:bCs/>
          <w:b/>
        </w:rPr>
        <w:t xml:space="preserve"> </w:t>
      </w:r>
      <w:r>
        <w:rPr>
          <w:bCs/>
          <w:b/>
        </w:rPr>
        <w:t xml:space="preserve">resultados de cada um.</w:t>
      </w:r>
    </w:p>
    <w:p>
      <w:pPr>
        <w:pStyle w:val="FirstParagraph"/>
      </w:pPr>
    </w:p>
    <w:bookmarkEnd w:id="21"/>
    <w:bookmarkStart w:id="25" w:name="method-and-data"/>
    <w:p>
      <w:pPr>
        <w:pStyle w:val="Heading1"/>
      </w:pPr>
      <w:r>
        <w:t xml:space="preserve">3 METHOD AND DATA</w:t>
      </w:r>
    </w:p>
    <w:bookmarkStart w:id="23" w:name="prisma-with-bibliometric-aproach"/>
    <w:p>
      <w:pPr>
        <w:pStyle w:val="Heading2"/>
      </w:pPr>
      <w:r>
        <w:t xml:space="preserve">3.1 Prisma with Bibliometric Aproach</w:t>
      </w:r>
    </w:p>
    <w:p>
      <w:pPr>
        <w:pStyle w:val="FirstParagraph"/>
      </w:pPr>
      <w:r>
        <w:t xml:space="preserve">Com a finalidade de estruturar um mapeamento da produção científica acerca de finanças nos clubes de</w:t>
      </w:r>
      <w:r>
        <w:t xml:space="preserve"> </w:t>
      </w:r>
      <w:r>
        <w:t xml:space="preserve">futebol, o presente artigo empregou uma abordagem quantitativa de revisão de literatura a partir do</w:t>
      </w:r>
      <w:r>
        <w:t xml:space="preserve"> </w:t>
      </w:r>
      <w:r>
        <w:t xml:space="preserve">cálculo de indicadores bibliométricos.</w:t>
      </w:r>
    </w:p>
    <w:p>
      <w:pPr>
        <w:pStyle w:val="BodyText"/>
      </w:pPr>
      <w:r>
        <w:t xml:space="preserve">Assim como expresso por</w:t>
      </w:r>
      <w:r>
        <w:t xml:space="preserve"> </w:t>
      </w:r>
      <w:r>
        <w:rPr>
          <w:bCs/>
          <w:b/>
        </w:rPr>
        <w:t xml:space="preserve">(1)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(2)</w:t>
      </w:r>
      <w:r>
        <w:t xml:space="preserve">, este procedimento permite identificar padrões e revelar a</w:t>
      </w:r>
      <w:r>
        <w:t xml:space="preserve"> </w:t>
      </w:r>
      <w:r>
        <w:t xml:space="preserve">dinâmica da produção científica ao avaliar influências e semelhanças entre temas, autores,</w:t>
      </w:r>
      <w:r>
        <w:t xml:space="preserve"> </w:t>
      </w:r>
      <w:r>
        <w:t xml:space="preserve">documentos, periódicos e afiliações relacionadas e trabalhos publicados em um determinado campo</w:t>
      </w:r>
      <w:r>
        <w:t xml:space="preserve"> </w:t>
      </w:r>
      <w:r>
        <w:t xml:space="preserve">científico. Para tanto, foram adotadas todas as etapas do processo PRISMA que, por sua vez, permite</w:t>
      </w:r>
      <w:r>
        <w:t xml:space="preserve"> </w:t>
      </w:r>
      <w:r>
        <w:t xml:space="preserve">selecionar um banco de dados bibliométricos de um determinado campo científico de maneira</w:t>
      </w:r>
      <w:r>
        <w:t xml:space="preserve"> </w:t>
      </w:r>
      <w:r>
        <w:t xml:space="preserve">estruturada e rigorosa, atenuando possíveis viéses dos autores e viabilizando, assim, o mapeamento</w:t>
      </w:r>
      <w:r>
        <w:t xml:space="preserve"> </w:t>
      </w:r>
      <w:r>
        <w:t xml:space="preserve">científico</w:t>
      </w:r>
      <w:r>
        <w:t xml:space="preserve"> </w:t>
      </w:r>
      <w:r>
        <w:rPr>
          <w:bCs/>
          <w:b/>
        </w:rPr>
        <w:t xml:space="preserve">(3)</w:t>
      </w:r>
      <w:r>
        <w:t xml:space="preserve">.</w:t>
      </w:r>
    </w:p>
    <w:p>
      <w:pPr>
        <w:pStyle w:val="BodyText"/>
      </w:pPr>
      <w:r>
        <w:t xml:space="preserve">As etapas do processo PRISMA são apresentadas para o contexto da presente pesquisa na Figura</w:t>
      </w:r>
      <w:r>
        <w:t xml:space="preserve"> </w:t>
      </w:r>
      <w:r>
        <w:rPr>
          <w:bCs/>
          <w:b/>
        </w:rPr>
        <w:t xml:space="preserve">3.1</w:t>
      </w:r>
      <w:r>
        <w:t xml:space="preserve">.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3789202"/>
            <wp:effectExtent b="0" l="0" r="0" t="0"/>
            <wp:docPr descr="Figure 3.1 – PRISMA flowchart" title="" id="1" name="Picture"/>
            <a:graphic>
              <a:graphicData uri="http://schemas.openxmlformats.org/drawingml/2006/picture">
                <pic:pic>
                  <pic:nvPicPr>
                    <pic:cNvPr descr="../imagens/prism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 – PRISMA flowchart</w:t>
      </w:r>
    </w:p>
    <w:p>
      <w:pPr>
        <w:pStyle w:val="BodyText"/>
      </w:pPr>
    </w:p>
    <w:p>
      <w:pPr>
        <w:pStyle w:val="BodyText"/>
      </w:pPr>
      <w:r>
        <w:t xml:space="preserve">Na fase de identificação foram buscados e coletados artigos nas duas mais completas bases de dados</w:t>
      </w:r>
      <w:r>
        <w:t xml:space="preserve"> </w:t>
      </w:r>
      <w:r>
        <w:t xml:space="preserve">científicos disponíveis, Web of Science (WoS) da Clarivate e SCOPUS da Elsevier. Ressalta-se que é</w:t>
      </w:r>
      <w:r>
        <w:t xml:space="preserve"> </w:t>
      </w:r>
      <w:r>
        <w:t xml:space="preserve">possível afirmar que ambas são as principais bases de dados científicos, no contexto de uma análise</w:t>
      </w:r>
      <w:r>
        <w:t xml:space="preserve"> </w:t>
      </w:r>
      <w:r>
        <w:t xml:space="preserve">bibliométrica, visto que abarcam a maior parte dos periódicos científicos revisados por pares além</w:t>
      </w:r>
      <w:r>
        <w:t xml:space="preserve"> </w:t>
      </w:r>
      <w:r>
        <w:t xml:space="preserve">de fornecer um conjunto de metadados necessários aos cálculos dos indicadores bibliométricos (</w:t>
      </w:r>
      <w:r>
        <w:rPr>
          <w:bCs/>
          <w:b/>
        </w:rPr>
        <w:t xml:space="preserve">4</w:t>
      </w:r>
      <w:r>
        <w:t xml:space="preserve">).</w:t>
      </w:r>
    </w:p>
    <w:p>
      <w:pPr>
        <w:pStyle w:val="BodyText"/>
      </w:pPr>
      <w:r>
        <w:t xml:space="preserve">A coleta de dados ocorreu em 05-24-2021 em ambas as bases a partir da aplicação da</w:t>
      </w:r>
      <w:r>
        <w:t xml:space="preserve"> </w:t>
      </w:r>
      <w:r>
        <w:t xml:space="preserve">expressão booleana</w:t>
      </w:r>
      <w:r>
        <w:t xml:space="preserve"> </w:t>
      </w:r>
      <w:r>
        <w:t xml:space="preserve">“</w:t>
      </w:r>
      <w:r>
        <w:t xml:space="preserve">football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soccer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finance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financial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accounting</w:t>
      </w:r>
      <w:r>
        <w:t xml:space="preserve">”</w:t>
      </w:r>
      <w:r>
        <w:t xml:space="preserve"> </w:t>
      </w:r>
      <w:r>
        <w:t xml:space="preserve">no tópico,</w:t>
      </w:r>
      <w:r>
        <w:t xml:space="preserve"> </w:t>
      </w:r>
      <w:r>
        <w:t xml:space="preserve">isto é, títulos, resumos e palavras-chave, em ambas</w:t>
      </w:r>
      <w:r>
        <w:t xml:space="preserve"> </w:t>
      </w:r>
      <w:r>
        <w:t xml:space="preserve">as bases de dados. Portanto, nesta fase, foram identificados 830 documentos na base de dados SCOPUS</w:t>
      </w:r>
      <w:r>
        <w:t xml:space="preserve"> </w:t>
      </w:r>
      <w:r>
        <w:t xml:space="preserve">e 711 documentos na base de dados WoS e, ao juntar ambas as bases de dados removendo documentos</w:t>
      </w:r>
      <w:r>
        <w:t xml:space="preserve"> </w:t>
      </w:r>
      <w:r>
        <w:t xml:space="preserve">duplicados, chegou-se a uma amostra de 1041 documentos.</w:t>
      </w:r>
    </w:p>
    <w:p>
      <w:pPr>
        <w:pStyle w:val="BodyText"/>
      </w:pPr>
      <w:r>
        <w:t xml:space="preserve">Por sua vez, na fase de triagem, os documentos foram restritos à artigos científicos revisados por</w:t>
      </w:r>
      <w:r>
        <w:t xml:space="preserve"> </w:t>
      </w:r>
      <w:r>
        <w:t xml:space="preserve">pares e publicados em periódicos indexados e na língua inglesa até o ano de 2020, sem restrição de</w:t>
      </w:r>
      <w:r>
        <w:t xml:space="preserve"> </w:t>
      </w:r>
      <w:r>
        <w:t xml:space="preserve">início do período de publicação. Tais medidas</w:t>
      </w:r>
      <w:r>
        <w:t xml:space="preserve"> </w:t>
      </w:r>
      <w:r>
        <w:t xml:space="preserve">cumprem a evitar possíveis problemas de ambiguidade e/ou tradução de conceitos fundamentais,</w:t>
      </w:r>
      <w:r>
        <w:t xml:space="preserve"> </w:t>
      </w:r>
      <w:r>
        <w:t xml:space="preserve">mantendo a qualidade dos artigos avaliados, assim, ao todo chegou-se à 1013 artigos.</w:t>
      </w:r>
    </w:p>
    <w:p>
      <w:pPr>
        <w:pStyle w:val="BodyText"/>
      </w:pPr>
      <w:r>
        <w:t xml:space="preserve">Por fim, na fase de eligibilidade, uma extensa revisão dos artigos até então selecionados foi</w:t>
      </w:r>
      <w:r>
        <w:t xml:space="preserve"> </w:t>
      </w:r>
      <w:r>
        <w:t xml:space="preserve">empregada a partir de uma série de critérios técnicos. Foram excluídos, principalmente, artigos cujo</w:t>
      </w:r>
      <w:r>
        <w:t xml:space="preserve"> </w:t>
      </w:r>
      <w:r>
        <w:t xml:space="preserve">foco advém principalmente de questões médicas relacionadas aos atletas dos clubes de futebol, tais como,</w:t>
      </w:r>
      <w:r>
        <w:t xml:space="preserve"> </w:t>
      </w:r>
      <w:r>
        <w:t xml:space="preserve">injury, knee, concussion, epidemiology e outros. Desta forma, alcançou-se uma amostra de 373</w:t>
      </w:r>
      <w:r>
        <w:t xml:space="preserve"> </w:t>
      </w:r>
      <w:r>
        <w:t xml:space="preserve">artigos de modo que todos foram incluídos na etapa posterior de, de inclusão, para cálculo de indicadores</w:t>
      </w:r>
      <w:r>
        <w:t xml:space="preserve"> </w:t>
      </w:r>
      <w:r>
        <w:t xml:space="preserve">bibliométricos e análise.</w:t>
      </w:r>
    </w:p>
    <w:p>
      <w:pPr>
        <w:pStyle w:val="BodyText"/>
      </w:pPr>
      <w:r>
        <w:t xml:space="preserve">Ressalta-se ainda que todos os indicadores bibliométricos foram calculados a partir do software R,</w:t>
      </w:r>
      <w:r>
        <w:t xml:space="preserve"> </w:t>
      </w:r>
      <w:r>
        <w:t xml:space="preserve">mais especificamente, o pacote Bibliometrix</w:t>
      </w:r>
      <w:r>
        <w:t xml:space="preserve"> </w:t>
      </w:r>
      <w:r>
        <w:rPr>
          <w:bCs/>
          <w:b/>
        </w:rPr>
        <w:t xml:space="preserve">(4)</w:t>
      </w:r>
      <w:r>
        <w:t xml:space="preserve">. Foram calculados indicadores bibliométricos</w:t>
      </w:r>
      <w:r>
        <w:t xml:space="preserve"> </w:t>
      </w:r>
      <w:r>
        <w:t xml:space="preserve">para os temas, autores, artigos, periódicos, afiliações e países dos autores que publicaram no tema.</w:t>
      </w:r>
      <w:r>
        <w:t xml:space="preserve"> </w:t>
      </w:r>
      <w:r>
        <w:t xml:space="preserve">No caso da análise dos temas foram mensuradas as ocorrências ao longo do tempo e, além disso, foi</w:t>
      </w:r>
      <w:r>
        <w:t xml:space="preserve"> </w:t>
      </w:r>
      <w:r>
        <w:t xml:space="preserve">estruturado um mapa temático. Em ambos os casos, o objetivo é identificar tendências de</w:t>
      </w:r>
      <w:r>
        <w:t xml:space="preserve"> </w:t>
      </w:r>
      <w:r>
        <w:t xml:space="preserve">desenvolvimento de pesquisas. Por sua vez, os autores foram avaliados em termos de produtividade,</w:t>
      </w:r>
      <w:r>
        <w:t xml:space="preserve"> </w:t>
      </w:r>
      <w:r>
        <w:t xml:space="preserve">impacto das publicações e rede de colaboração.</w:t>
      </w:r>
    </w:p>
    <w:p>
      <w:pPr>
        <w:pStyle w:val="BodyText"/>
      </w:pPr>
      <w:r>
        <w:t xml:space="preserve">Os artigos publicados foram analisados em termos de produtividade. Por seu turno, os principais</w:t>
      </w:r>
      <w:r>
        <w:t xml:space="preserve"> </w:t>
      </w:r>
      <w:r>
        <w:t xml:space="preserve">periódicos no tema são avaliados em termos de produtividade ao longo do ano, assim como análise de</w:t>
      </w:r>
      <w:r>
        <w:t xml:space="preserve"> </w:t>
      </w:r>
      <w:r>
        <w:t xml:space="preserve">impacto das publicações em cada períodico. Por fim, as afiliações e os países relacionadas aos autores</w:t>
      </w:r>
      <w:r>
        <w:t xml:space="preserve"> </w:t>
      </w:r>
      <w:r>
        <w:t xml:space="preserve">que publicaram artigos no tema foram avaliados em termos de produtividade e rede de colaboração.</w:t>
      </w:r>
    </w:p>
    <w:bookmarkEnd w:id="23"/>
    <w:bookmarkStart w:id="24" w:name="data"/>
    <w:p>
      <w:pPr>
        <w:pStyle w:val="Heading2"/>
      </w:pPr>
      <w:r>
        <w:t xml:space="preserve">3.2 Data</w:t>
      </w:r>
    </w:p>
    <w:p>
      <w:pPr>
        <w:pStyle w:val="FirstParagraph"/>
      </w:pPr>
      <w:r>
        <w:t xml:space="preserve">As principais informações a respeito da amostra de artigos obtida a partir da aplicação de todos os</w:t>
      </w:r>
      <w:r>
        <w:t xml:space="preserve"> </w:t>
      </w:r>
      <w:r>
        <w:t xml:space="preserve">processos do PRISMA, são apresentadas no Quadro 3.1, abaixo:</w:t>
      </w:r>
    </w:p>
    <w:p>
      <w:pPr>
        <w:pStyle w:val="BodyText"/>
      </w:pP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Results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Timespan</w:t>
            </w:r>
          </w:p>
        </w:tc>
        <w:tc>
          <w:p>
            <w:pPr>
              <w:pStyle w:val="Compact"/>
              <w:jc w:val="left"/>
            </w:pPr>
            <w:r>
              <w:t xml:space="preserve">1993:2020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Sources (Journals, Books, etc)</w:t>
            </w:r>
          </w:p>
        </w:tc>
        <w:tc>
          <w:p>
            <w:pPr>
              <w:pStyle w:val="Compact"/>
              <w:jc w:val="lef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Documents</w:t>
            </w:r>
          </w:p>
        </w:tc>
        <w:tc>
          <w:p>
            <w:pPr>
              <w:pStyle w:val="Compact"/>
              <w:jc w:val="left"/>
            </w:pPr>
            <w:r>
              <w:t xml:space="preserve">373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 years from publication</w:t>
            </w:r>
          </w:p>
        </w:tc>
        <w:tc>
          <w:p>
            <w:pPr>
              <w:pStyle w:val="Compact"/>
              <w:jc w:val="left"/>
            </w:pPr>
            <w:r>
              <w:t xml:space="preserve">5.61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 citations per documents</w:t>
            </w:r>
          </w:p>
        </w:tc>
        <w:tc>
          <w:p>
            <w:pPr>
              <w:pStyle w:val="Compact"/>
              <w:jc w:val="left"/>
            </w:pPr>
            <w:r>
              <w:t xml:space="preserve">15.38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 citations per year per doc</w:t>
            </w:r>
          </w:p>
        </w:tc>
        <w:tc>
          <w:p>
            <w:pPr>
              <w:pStyle w:val="Compact"/>
              <w:jc w:val="left"/>
            </w:pPr>
            <w:r>
              <w:t xml:space="preserve">1.696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References</w:t>
            </w:r>
          </w:p>
        </w:tc>
        <w:tc>
          <w:p>
            <w:pPr>
              <w:pStyle w:val="Compact"/>
              <w:jc w:val="left"/>
            </w:pPr>
            <w:r>
              <w:t xml:space="preserve">14692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Keywords Plus (ID)</w:t>
            </w:r>
          </w:p>
        </w:tc>
        <w:tc>
          <w:p>
            <w:pPr>
              <w:pStyle w:val="Compact"/>
              <w:jc w:val="left"/>
            </w:pPr>
            <w:r>
              <w:t xml:space="preserve">1332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Author’s Keywords (DE)</w:t>
            </w:r>
          </w:p>
        </w:tc>
        <w:tc>
          <w:p>
            <w:pPr>
              <w:pStyle w:val="Compact"/>
              <w:jc w:val="left"/>
            </w:pPr>
            <w:r>
              <w:t xml:space="preserve">1395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Authors</w:t>
            </w:r>
          </w:p>
        </w:tc>
        <w:tc>
          <w:p>
            <w:pPr>
              <w:pStyle w:val="Compact"/>
              <w:jc w:val="left"/>
            </w:pPr>
            <w:r>
              <w:t xml:space="preserve">933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Authors of single-authored documents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Authors of multi-authored documents</w:t>
            </w:r>
          </w:p>
        </w:tc>
        <w:tc>
          <w:p>
            <w:pPr>
              <w:pStyle w:val="Compact"/>
              <w:jc w:val="left"/>
            </w:pPr>
            <w:r>
              <w:t xml:space="preserve">866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Single-authored documents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Documents per Author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Authors per Document</w:t>
            </w:r>
          </w:p>
        </w:tc>
        <w:tc>
          <w:p>
            <w:pPr>
              <w:pStyle w:val="Compact"/>
              <w:jc w:val="lef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Collaboration Index</w:t>
            </w:r>
          </w:p>
        </w:tc>
        <w:tc>
          <w:p>
            <w:pPr>
              <w:pStyle w:val="Compact"/>
              <w:jc w:val="left"/>
            </w:pPr>
            <w:r>
              <w:t xml:space="preserve">2.88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</w:p>
    <w:p>
      <w:pPr>
        <w:pStyle w:val="BodyText"/>
      </w:pPr>
      <w:r>
        <w:t xml:space="preserve">Ao todo foram publicados 373 artigos científicos revisados por pares em 194 diferentes periódicos</w:t>
      </w:r>
      <w:r>
        <w:t xml:space="preserve"> </w:t>
      </w:r>
      <w:r>
        <w:t xml:space="preserve">científicos indexados, ao longo dos anos de 1993 à 2000. Em média, cada artigo recebeu 15.38 citações</w:t>
      </w:r>
      <w:r>
        <w:t xml:space="preserve"> </w:t>
      </w:r>
      <w:r>
        <w:t xml:space="preserve">totais, cerca de 1.7 citações em cada ano, com um prazo médio de recebimento de citações de 5.61</w:t>
      </w:r>
      <w:r>
        <w:t xml:space="preserve"> </w:t>
      </w:r>
      <w:r>
        <w:t xml:space="preserve">anos. Esta amostra de 373 artigos citou ao todo 14,692 diferentes referências, empregando 1,395</w:t>
      </w:r>
      <w:r>
        <w:t xml:space="preserve"> </w:t>
      </w:r>
      <w:r>
        <w:t xml:space="preserve">palavras-chave de autores e 1,332 palavras-chave definidas pelos periódicos.</w:t>
      </w:r>
    </w:p>
    <w:p>
      <w:pPr>
        <w:pStyle w:val="BodyText"/>
      </w:pPr>
      <w:r>
        <w:t xml:space="preserve">Foram identificados 933 diferentes autores, sendo que, 67 autores publicaram artigos sem coautoria</w:t>
      </w:r>
      <w:r>
        <w:t xml:space="preserve"> </w:t>
      </w:r>
      <w:r>
        <w:t xml:space="preserve">e os demais 866 autores publicaram artigos com outros autores em coautoria. Neste sentido, foram</w:t>
      </w:r>
      <w:r>
        <w:t xml:space="preserve"> </w:t>
      </w:r>
      <w:r>
        <w:t xml:space="preserve">publicados 72 artigos de coautoria única com uma média de 2.5 autores por artigo, gerando um índice</w:t>
      </w:r>
      <w:r>
        <w:t xml:space="preserve"> </w:t>
      </w:r>
      <w:r>
        <w:t xml:space="preserve">de colaboração de 2.88 autores por artigos.</w:t>
      </w:r>
    </w:p>
    <w:bookmarkEnd w:id="24"/>
    <w:bookmarkEnd w:id="25"/>
    <w:bookmarkStart w:id="41" w:name="results"/>
    <w:p>
      <w:pPr>
        <w:pStyle w:val="Heading1"/>
      </w:pPr>
      <w:r>
        <w:t xml:space="preserve">Results</w:t>
      </w:r>
    </w:p>
    <w:bookmarkStart w:id="28" w:name="themes"/>
    <w:p>
      <w:pPr>
        <w:pStyle w:val="Heading2"/>
      </w:pPr>
      <w:r>
        <w:t xml:space="preserve">Themes</w:t>
      </w:r>
    </w:p>
    <w:p>
      <w:pPr>
        <w:pStyle w:val="FirstParagraph"/>
      </w:pPr>
      <w:r>
        <w:t xml:space="preserve">Na Figura x abaixo é apresentado o mapa temático, conforme procedimento</w:t>
      </w:r>
      <w:r>
        <w:t xml:space="preserve"> </w:t>
      </w:r>
      <w:r>
        <w:t xml:space="preserve">organizado por [cobbo], estruturado com base nas keywords empregadas pelos autores</w:t>
      </w:r>
      <w:r>
        <w:t xml:space="preserve"> </w:t>
      </w:r>
      <w:r>
        <w:t xml:space="preserve">em cada um dos artigos selecionados, ao mesmo passo, na Figura 4.2 são apresentadas</w:t>
      </w:r>
      <w:r>
        <w:t xml:space="preserve"> </w:t>
      </w:r>
      <w:r>
        <w:t xml:space="preserve">as somas culmulativas das keywords com maior tendência atual de crescimento.</w:t>
      </w:r>
    </w:p>
    <w:p>
      <w:pPr>
        <w:pStyle w:val="BodyText"/>
      </w:pPr>
      <w:r>
        <w:t xml:space="preserve">Cumpre ressaltar que ambas as análises, quando associadas, possuem o potencial de</w:t>
      </w:r>
      <w:r>
        <w:t xml:space="preserve"> </w:t>
      </w:r>
      <w:r>
        <w:t xml:space="preserve">identificar os temas mais desenvolvidos, trabalhados de maneira conjunta com maior</w:t>
      </w:r>
      <w:r>
        <w:t xml:space="preserve"> </w:t>
      </w:r>
      <w:r>
        <w:t xml:space="preserve">maior frequência e, portanto, que representam forte tendência de aplicação em um</w:t>
      </w:r>
      <w:r>
        <w:t xml:space="preserve"> </w:t>
      </w:r>
      <w:r>
        <w:t xml:space="preserve">determinado campo de análise.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4.1 – Thematic Map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 – Thematic Map</w:t>
      </w:r>
    </w:p>
    <w:p>
      <w:pPr>
        <w:pStyle w:val="BodyText"/>
      </w:pPr>
      <w:r>
        <w:t xml:space="preserve">Pode-se observar a partir da análise do mapa temático da Figura 4.1 que, atualmente,</w:t>
      </w:r>
      <w:r>
        <w:t xml:space="preserve"> </w:t>
      </w:r>
      <w:r>
        <w:t xml:space="preserve">o cluster de temas relacionados à impactos de modelos de negócios nos clubes de</w:t>
      </w:r>
      <w:r>
        <w:t xml:space="preserve"> </w:t>
      </w:r>
      <w:r>
        <w:t xml:space="preserve">futebol são os mais desenvolvidos, ao medirmos pelas métricas de densidade e</w:t>
      </w:r>
      <w:r>
        <w:t xml:space="preserve"> </w:t>
      </w:r>
      <w:r>
        <w:t xml:space="preserve">centralidade. Não obstante, ao observar a tendência acelerada de crescimento dos</w:t>
      </w:r>
      <w:r>
        <w:t xml:space="preserve"> </w:t>
      </w:r>
      <w:r>
        <w:t xml:space="preserve">temas relacionados à performance, Figura 4.2, e a posição do cluster de temas</w:t>
      </w:r>
      <w:r>
        <w:t xml:space="preserve"> </w:t>
      </w:r>
      <w:r>
        <w:t xml:space="preserve">que busca relacionar aspectos financeiros dos clubes à performance de atletas,</w:t>
      </w:r>
      <w:r>
        <w:t xml:space="preserve"> </w:t>
      </w:r>
      <w:r>
        <w:t xml:space="preserve">pode-se afirmar que este tende a desempenhar um importante tema de pesquisa no</w:t>
      </w:r>
      <w:r>
        <w:t xml:space="preserve"> </w:t>
      </w:r>
      <w:r>
        <w:t xml:space="preserve">futuro, apoiando o desenvolvimento do campo de pesquisa.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4.2 – Word growth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4.2 – Word growth</w:t>
      </w:r>
    </w:p>
    <w:p>
      <w:pPr>
        <w:pStyle w:val="BodyText"/>
      </w:pPr>
      <w:r>
        <w:t xml:space="preserve">De outro lado, em menor ritmo de crescimento quando analisadas as tendências de</w:t>
      </w:r>
      <w:r>
        <w:t xml:space="preserve"> </w:t>
      </w:r>
      <w:r>
        <w:t xml:space="preserve">crescimento da Figura 4.2, e com baixos níveis de centralidade e, em alguns casos, baixos níveis</w:t>
      </w:r>
      <w:r>
        <w:t xml:space="preserve"> </w:t>
      </w:r>
      <w:r>
        <w:t xml:space="preserve">de densidade quando analisado o mapa temático, os clusters de temas relacionados</w:t>
      </w:r>
      <w:r>
        <w:t xml:space="preserve"> </w:t>
      </w:r>
      <w:r>
        <w:t xml:space="preserve">à análises do mercado dos clubes de futebol se colocam como temas transversais,</w:t>
      </w:r>
      <w:r>
        <w:t xml:space="preserve"> </w:t>
      </w:r>
      <w:r>
        <w:t xml:space="preserve">portanto, mais nichados e generalistas. Pode-se inferir assim, certa tendência de</w:t>
      </w:r>
      <w:r>
        <w:t xml:space="preserve"> </w:t>
      </w:r>
      <w:r>
        <w:t xml:space="preserve">declínio de desenvolvimentos teórico ou de aplicações com este foco.</w:t>
      </w:r>
    </w:p>
    <w:bookmarkEnd w:id="28"/>
    <w:bookmarkStart w:id="31" w:name="authors-analysis"/>
    <w:p>
      <w:pPr>
        <w:pStyle w:val="Heading2"/>
      </w:pPr>
      <w:r>
        <w:t xml:space="preserve">Authors Analysis</w:t>
      </w:r>
    </w:p>
    <w:p>
      <w:pPr>
        <w:pStyle w:val="FirstParagraph"/>
      </w:pPr>
      <w:r>
        <w:t xml:space="preserve">ANÁLISE DE PRODUTIVIDADE</w:t>
      </w:r>
    </w:p>
    <w:p>
      <w:pPr>
        <w:pStyle w:val="BodyText"/>
      </w:pPr>
      <w:r>
        <w:t xml:space="preserve">Em primeiro lugar, para se ter uma visão geral da produtividades dos</w:t>
      </w:r>
      <w:r>
        <w:t xml:space="preserve"> </w:t>
      </w:r>
      <w:r>
        <w:t xml:space="preserve">autores neste campo de estudo testou-se o ajuste a lei de lotka.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4.3 – Scientific Productivity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4.3 – Scientific Productivity</w:t>
      </w:r>
    </w:p>
    <w:p>
      <w:pPr>
        <w:pStyle w:val="BodyText"/>
      </w:pPr>
      <w:r>
        <w:t xml:space="preserve">A partir da aplicação do teste de duas amostras de Kolmogorov-Smirnoff</w:t>
      </w:r>
      <w:r>
        <w:t xml:space="preserve"> </w:t>
      </w:r>
      <w:r>
        <w:t xml:space="preserve">calculou-se um p-valor da ordem de 0,15, atestando que não há diferença</w:t>
      </w:r>
      <w:r>
        <w:t xml:space="preserve"> </w:t>
      </w:r>
      <w:r>
        <w:t xml:space="preserve">significativa entre as distribuições de Lotka observada e teórica.</w:t>
      </w:r>
    </w:p>
    <w:p>
      <w:pPr>
        <w:pStyle w:val="BodyText"/>
      </w:pPr>
      <w:r>
        <w:t xml:space="preserve">Já na Tabela a seguir, pode-se observar o impacto para a literatura dos</w:t>
      </w:r>
      <w:r>
        <w:t xml:space="preserve"> </w:t>
      </w:r>
      <w:r>
        <w:t xml:space="preserve">autores mais produtivos a partir dos indicadores…</w:t>
      </w:r>
    </w:p>
    <w:p>
      <w:pPr>
        <w:pStyle w:val="BodyText"/>
      </w:pPr>
      <w:r>
        <w:t xml:space="preserve">ANÁLISE DE IMPACTO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Authors</w:t>
            </w:r>
          </w:p>
        </w:tc>
        <w:tc>
          <w:p>
            <w:pPr>
              <w:pStyle w:val="Compact"/>
              <w:jc w:val="center"/>
            </w:pPr>
            <w:r>
              <w:t xml:space="preserve">H-Index</w:t>
            </w:r>
          </w:p>
        </w:tc>
        <w:tc>
          <w:p>
            <w:pPr>
              <w:pStyle w:val="Compact"/>
              <w:jc w:val="center"/>
            </w:pPr>
            <w:r>
              <w:t xml:space="preserve">Documents</w:t>
            </w:r>
          </w:p>
        </w:tc>
        <w:tc>
          <w:p>
            <w:pPr>
              <w:pStyle w:val="Compact"/>
              <w:jc w:val="center"/>
            </w:pPr>
            <w:r>
              <w:t xml:space="preserve">Documents Fractionalized</w:t>
            </w:r>
          </w:p>
        </w:tc>
        <w:tc>
          <w:p>
            <w:pPr>
              <w:pStyle w:val="Compact"/>
              <w:jc w:val="center"/>
            </w:pPr>
            <w:r>
              <w:t xml:space="preserve">Local Citations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Breuer C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2.67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Dimitropoulos P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Morrow S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2.73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Barajas 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2.33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Plumley D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1.87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Scelles N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Wilson R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Anagnostopoulos C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Andreff W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2.67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Carlsson-Wall M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pStyle w:val="BodyText"/>
      </w:pPr>
      <w:r>
        <w:t xml:space="preserve">Realizar avaliações gerais.</w:t>
      </w:r>
    </w:p>
    <w:p>
      <w:pPr>
        <w:pStyle w:val="BodyText"/>
      </w:pPr>
      <w:r>
        <w:t xml:space="preserve">ANÁLISE DE COLABORAÇÃO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4.6 – Authors Collaboration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4.6 – Authors Collaboration</w:t>
      </w:r>
    </w:p>
    <w:p>
      <w:pPr>
        <w:pStyle w:val="BodyText"/>
      </w:pPr>
      <w:r>
        <w:t xml:space="preserve">sadasdasd</w:t>
      </w:r>
    </w:p>
    <w:bookmarkEnd w:id="31"/>
    <w:bookmarkStart w:id="33" w:name="documents-analysis"/>
    <w:p>
      <w:pPr>
        <w:pStyle w:val="Heading2"/>
      </w:pPr>
      <w:r>
        <w:t xml:space="preserve">Documents Analysis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068"/>
        <w:gridCol w:w="2140"/>
        <w:gridCol w:w="356"/>
        <w:gridCol w:w="1141"/>
        <w:gridCol w:w="1212"/>
      </w:tblGrid>
      <w:tr>
        <w:tc>
          <w:p>
            <w:pPr>
              <w:pStyle w:val="Compact"/>
              <w:jc w:val="left"/>
            </w:pPr>
            <w:r>
              <w:t xml:space="preserve">Papers</w:t>
            </w:r>
          </w:p>
        </w:tc>
        <w:tc>
          <w:p>
            <w:pPr>
              <w:pStyle w:val="Compact"/>
              <w:jc w:val="left"/>
            </w:pPr>
            <w:r>
              <w:t xml:space="preserve">DOI</w:t>
            </w:r>
          </w:p>
        </w:tc>
        <w:tc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Local Citations</w:t>
            </w:r>
          </w:p>
        </w:tc>
        <w:tc>
          <w:p>
            <w:pPr>
              <w:pStyle w:val="Compact"/>
              <w:jc w:val="right"/>
            </w:pPr>
            <w:r>
              <w:t xml:space="preserve">Global Citations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BARAJAS A, 2010, INT J SPORT FINANC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STORM RK, 2012, EUR SPORT MANAG Q</w:t>
            </w:r>
          </w:p>
        </w:tc>
        <w:tc>
          <w:p>
            <w:pPr>
              <w:pStyle w:val="Compact"/>
              <w:jc w:val="left"/>
            </w:pPr>
            <w:r>
              <w:t xml:space="preserve">10.1080/16184742.2012.670660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FRANCK E, 2014, INT J SPORT FINANC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SZYMANSKI S, 2014, INT J SPORT FINANC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MADDEN P, 2015, J SPORT ECON</w:t>
            </w:r>
          </w:p>
        </w:tc>
        <w:tc>
          <w:p>
            <w:pPr>
              <w:pStyle w:val="Compact"/>
              <w:jc w:val="left"/>
            </w:pPr>
            <w:r>
              <w:t xml:space="preserve">10.1177/1527002512465759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DIMITROPOULOS P, 2016, EUR SPORT MANAG Q</w:t>
            </w:r>
          </w:p>
        </w:tc>
        <w:tc>
          <w:p>
            <w:pPr>
              <w:pStyle w:val="Compact"/>
              <w:jc w:val="left"/>
            </w:pPr>
            <w:r>
              <w:t xml:space="preserve">10.1080/16184742.2016.1164213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SASS M, 2016, J SPORT ECON</w:t>
            </w:r>
          </w:p>
        </w:tc>
        <w:tc>
          <w:p>
            <w:pPr>
              <w:pStyle w:val="Compact"/>
              <w:jc w:val="left"/>
            </w:pPr>
            <w:r>
              <w:t xml:space="preserve">10.1177/1527002514526412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DIMITROPOULOS PE, 2012, INT J SPORT FINANC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DIMITROPOULOS P, 2011, EUR SPORT MANAG Q</w:t>
            </w:r>
          </w:p>
        </w:tc>
        <w:tc>
          <w:p>
            <w:pPr>
              <w:pStyle w:val="Compact"/>
              <w:jc w:val="left"/>
            </w:pPr>
            <w:r>
              <w:t xml:space="preserve">10.1080/16184742.2011.624108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ASCARI G, 2007, J SPORT ECON</w:t>
            </w:r>
          </w:p>
        </w:tc>
        <w:tc>
          <w:p>
            <w:pPr>
              <w:pStyle w:val="Compact"/>
              <w:jc w:val="left"/>
            </w:pPr>
            <w:r>
              <w:t xml:space="preserve">10.1177/1527002506292582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</w:tbl>
    <w:p>
      <w:pPr>
        <w:pStyle w:val="BodyText"/>
      </w:pPr>
      <w:r>
        <w:t xml:space="preserve">Mapa historigrafico: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4.7 – Historiograph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4.7 – Historiograph</w:t>
      </w:r>
    </w:p>
    <w:bookmarkEnd w:id="33"/>
    <w:bookmarkStart w:id="35" w:name="sources-analysis"/>
    <w:p>
      <w:pPr>
        <w:pStyle w:val="Heading2"/>
      </w:pPr>
      <w:r>
        <w:t xml:space="preserve">Sources Analysis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4.8 – Sources Dynamics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4.8 – Sources Dynamics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Sources</w:t>
            </w:r>
          </w:p>
        </w:tc>
        <w:tc>
          <w:p>
            <w:pPr>
              <w:pStyle w:val="Compact"/>
              <w:jc w:val="right"/>
            </w:pPr>
            <w:r>
              <w:t xml:space="preserve">H_Index</w:t>
            </w:r>
          </w:p>
        </w:tc>
        <w:tc>
          <w:p>
            <w:pPr>
              <w:pStyle w:val="Compact"/>
              <w:jc w:val="right"/>
            </w:pPr>
            <w:r>
              <w:t xml:space="preserve">G_Index</w:t>
            </w:r>
          </w:p>
        </w:tc>
        <w:tc>
          <w:p>
            <w:pPr>
              <w:pStyle w:val="Compact"/>
              <w:jc w:val="right"/>
            </w:pPr>
            <w:r>
              <w:t xml:space="preserve">M_Index</w:t>
            </w:r>
          </w:p>
        </w:tc>
        <w:tc>
          <w:p>
            <w:pPr>
              <w:pStyle w:val="Compact"/>
              <w:jc w:val="right"/>
            </w:pPr>
            <w:r>
              <w:t xml:space="preserve">Documents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APPLIED ECONOMICS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 SPORT MANAGEMENT QUARTERLY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INTERNATIONAL JOURNAL OF FINANCIAL STUDIES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INTERNATIONAL JOURNAL OF SPORT FINANCE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INTERNATIONAL JOURNAL OF SPORTS MARKETING &amp; SPONSORSHIP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JOURNAL OF SPORTS ECONOMICS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JOURNAL OF SPORTS SCIENCES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JOURNAL OF STRENGTH AND CONDITIONING RESEARCH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SPORT BUSINESS AND MANAGEMENT-AN INTERNATIONAL JOURNAL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SUSTAINABILITY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bookmarkEnd w:id="35"/>
    <w:bookmarkStart w:id="37" w:name="affiliation-analysis"/>
    <w:p>
      <w:pPr>
        <w:pStyle w:val="Heading2"/>
      </w:pPr>
      <w:r>
        <w:t xml:space="preserve">Affiliation Analysis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Affiliations</w:t>
            </w:r>
          </w:p>
        </w:tc>
        <w:tc>
          <w:p>
            <w:pPr>
              <w:pStyle w:val="Compact"/>
              <w:jc w:val="right"/>
            </w:pPr>
            <w:r>
              <w:t xml:space="preserve">Documents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SHEFFIELD HALLAM UNIV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UNIV VIGO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 SPORT UNIV COLOGNE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UNIV MICHIGAN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UNIV STIRLING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UNIV PELOPONNESE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COVENTRY UNIV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LIVERPOOL JOHN MOORES UNIV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MOLDE UNIV COLL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UNIV LONDON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4.9 – Affiliations Collaboration Network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4.9 – Affiliations Collaboration Network</w:t>
      </w:r>
    </w:p>
    <w:bookmarkEnd w:id="37"/>
    <w:bookmarkStart w:id="40" w:name="countries-analysis"/>
    <w:p>
      <w:pPr>
        <w:pStyle w:val="Heading2"/>
      </w:pPr>
      <w:r>
        <w:t xml:space="preserve">Countries Analysis</w:t>
      </w:r>
    </w:p>
    <w:p>
      <w:pPr>
        <w:pStyle w:val="FirstParagraph"/>
      </w:pPr>
      <w:r>
        <w:t xml:space="preserve">Countries</w:t>
      </w:r>
    </w:p>
    <w:p>
      <w:pPr>
        <w:pStyle w:val="BodyText"/>
      </w:pPr>
      <w:r>
        <w:t xml:space="preserve">Documents</w:t>
      </w:r>
    </w:p>
    <w:p>
      <w:pPr>
        <w:pStyle w:val="BodyText"/>
      </w:pPr>
      <w:r>
        <w:t xml:space="preserve">USA</w:t>
      </w:r>
    </w:p>
    <w:p>
      <w:pPr>
        <w:pStyle w:val="BodyText"/>
      </w:pPr>
      <w:r>
        <w:t xml:space="preserve">90</w:t>
      </w:r>
    </w:p>
    <w:p>
      <w:pPr>
        <w:pStyle w:val="BodyText"/>
      </w:pPr>
      <w:r>
        <w:t xml:space="preserve">UNITED KINGDOM</w:t>
      </w:r>
    </w:p>
    <w:p>
      <w:pPr>
        <w:pStyle w:val="BodyText"/>
      </w:pPr>
      <w:r>
        <w:t xml:space="preserve">57</w:t>
      </w:r>
    </w:p>
    <w:p>
      <w:pPr>
        <w:pStyle w:val="BodyText"/>
      </w:pPr>
      <w:r>
        <w:t xml:space="preserve">GERMANY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t xml:space="preserve">AUSTRALIA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SPAIN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ITALY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FRANCE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GREECE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NORWAY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CANADA</w:t>
      </w:r>
    </w:p>
    <w:p>
      <w:pPr>
        <w:pStyle w:val="BodyText"/>
      </w:pPr>
      <w:r>
        <w:t xml:space="preserve">6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4.10 – Countries Collaboration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4.10 – Countries Collaboration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4.3 – Countries collaboration Network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4.3 – Countries collaboration Network</w:t>
      </w:r>
    </w:p>
    <w:bookmarkEnd w:id="40"/>
    <w:bookmarkEnd w:id="41"/>
    <w:bookmarkStart w:id="42" w:name="conclusões"/>
    <w:p>
      <w:pPr>
        <w:pStyle w:val="Heading1"/>
      </w:pPr>
      <w:r>
        <w:t xml:space="preserve">CONCLUSÕES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BIBLIOMÉTRICA DE GESTÃO ESPORTIVA</dc:title>
  <dc:creator>Autores: Prof. Marcelo Fonseca, Wilson Nakamura, Giancarlo, José Marcos, Victor Valerio</dc:creator>
  <cp:keywords/>
  <dcterms:created xsi:type="dcterms:W3CDTF">2021-10-14T19:24:51Z</dcterms:created>
  <dcterms:modified xsi:type="dcterms:W3CDTF">2021-10-14T19:24:51Z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Última atualização: data</vt:lpwstr>
  </property>
  <property fmtid="{D5CDD505-2E9C-101B-9397-08002B2CF9AE}" pid="3" name="output">
    <vt:lpwstr>word_document</vt:lpwstr>
  </property>
  <property fmtid="{D5CDD505-2E9C-101B-9397-08002B2CF9AE}" pid="4" name="subtitle">
    <vt:lpwstr>Pesquisa em Finanças</vt:lpwstr>
  </property>
</Properties>
</file>