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36144" w14:textId="506C32FD" w:rsidR="00670DA3" w:rsidRDefault="00670DA3" w:rsidP="00670DA3">
      <w:pPr>
        <w:jc w:val="both"/>
      </w:pPr>
      <w:r>
        <w:t># INTRODUÇÃO</w:t>
      </w:r>
    </w:p>
    <w:p w14:paraId="68A0CD9E" w14:textId="74A9FFF6" w:rsidR="00670DA3" w:rsidRDefault="00670DA3" w:rsidP="00670DA3">
      <w:pPr>
        <w:jc w:val="both"/>
      </w:pPr>
      <w:r>
        <w:t>## Estrutura da Apostila</w:t>
      </w:r>
    </w:p>
    <w:p w14:paraId="4A45034D" w14:textId="066BF7D0" w:rsidR="00670DA3" w:rsidRDefault="00670DA3" w:rsidP="00670DA3">
      <w:pPr>
        <w:jc w:val="both"/>
      </w:pPr>
      <w:r>
        <w:t xml:space="preserve">Este </w:t>
      </w:r>
      <w:r>
        <w:t>material</w:t>
      </w:r>
      <w:r>
        <w:t xml:space="preserve"> é composto por quatro capítulos, além </w:t>
      </w:r>
      <w:r>
        <w:t>desta introdução</w:t>
      </w:r>
      <w:r>
        <w:t xml:space="preserve">. Enquanto a primeira seção do Capítulo 1 dedica-se à contextualização da economia do hidrogênio no cenário </w:t>
      </w:r>
      <w:proofErr w:type="gramStart"/>
      <w:r>
        <w:t>global</w:t>
      </w:r>
      <w:r>
        <w:t xml:space="preserve"> </w:t>
      </w:r>
      <w:r>
        <w:t>,</w:t>
      </w:r>
      <w:r>
        <w:t>abordando</w:t>
      </w:r>
      <w:proofErr w:type="gramEnd"/>
      <w:r>
        <w:t xml:space="preserve"> </w:t>
      </w:r>
      <w:r>
        <w:t xml:space="preserve">as </w:t>
      </w:r>
      <w:r>
        <w:t>motivações econômicas, ambientais e estratégicas</w:t>
      </w:r>
      <w:r>
        <w:t xml:space="preserve">, </w:t>
      </w:r>
      <w:r>
        <w:t>esta segunda seção tem por objetivo apresentar ao leitor a estrutura do</w:t>
      </w:r>
      <w:r>
        <w:t xml:space="preserve"> documento</w:t>
      </w:r>
      <w:r>
        <w:t>, bem como esclarecer a lógica pedagógica adotada ao longo dos capítulos, em especial no que se refere ao uso de marcadores de destaque.</w:t>
      </w:r>
    </w:p>
    <w:p w14:paraId="12F47918" w14:textId="77777777" w:rsidR="002417A7" w:rsidRDefault="00670DA3" w:rsidP="00670DA3">
      <w:pPr>
        <w:jc w:val="both"/>
      </w:pPr>
      <w:r>
        <w:t xml:space="preserve">O Capítulo 2 é dedicado à apresentação dos princípios básicos de finanças, que constituem o arcabouço conceitual necessário para a análise de viabilidade financeira de projetos de produção de hidrogênio verde. Esses princípios são fundamentais, pois fornecem o vocabulário e a lógica econômica que sustentam as técnicas de avaliação financeira empregadas em projetos de engenharia. </w:t>
      </w:r>
    </w:p>
    <w:p w14:paraId="13ACFD64" w14:textId="1C2001DF" w:rsidR="00670DA3" w:rsidRDefault="00670DA3" w:rsidP="00670DA3">
      <w:pPr>
        <w:jc w:val="both"/>
      </w:pPr>
      <w:r>
        <w:t>Cumpre ressaltar que este capítulo não possui a pretensão de esgotar os temas da análise de viabilidade financeira, tampouco de aprofundar exaustivamente cada tópico apresentado. O objetivo é, antes, introduzir os conceitos amplamente utilizados na literatura e na prática profissional, servindo como uma base conceitual sólida para os capítulos subsequentes.</w:t>
      </w:r>
    </w:p>
    <w:p w14:paraId="7DC15DA4" w14:textId="317F81AE" w:rsidR="00670DA3" w:rsidRDefault="00670DA3" w:rsidP="00670DA3">
      <w:pPr>
        <w:jc w:val="both"/>
      </w:pPr>
      <w:r>
        <w:t>Espera-se que, ao final do Capítulo 2, o leitor esteja familiarizado com o vocabulário essencial de finanças, sendo inclusive recomendada a construção de um dicionário próprio de conceitos, a fim de consolidar o aprendizado e facilitar consultas futuras. Com o intuito de tornar a leitura mais clara e orientada, esse capítulo utiliza marcadores específicos para destacar conteúdos relevantes. A interpretação desses marcadores deve seguir a lógica descrita a seguir.</w:t>
      </w:r>
    </w:p>
    <w:p w14:paraId="7E325B94" w14:textId="77777777" w:rsidR="00670DA3" w:rsidRDefault="00670DA3" w:rsidP="00670DA3">
      <w:pPr>
        <w:jc w:val="both"/>
      </w:pPr>
      <w:proofErr w:type="gramStart"/>
      <w:r>
        <w:t>:::</w:t>
      </w:r>
      <w:proofErr w:type="gramEnd"/>
      <w:r>
        <w:t xml:space="preserve"> </w:t>
      </w:r>
      <w:proofErr w:type="gramStart"/>
      <w:r>
        <w:t>{.conceito</w:t>
      </w:r>
      <w:proofErr w:type="gramEnd"/>
      <w:r>
        <w:t>}</w:t>
      </w:r>
    </w:p>
    <w:p w14:paraId="6CF03878" w14:textId="77777777" w:rsidR="00670DA3" w:rsidRDefault="00670DA3" w:rsidP="00670DA3">
      <w:pPr>
        <w:jc w:val="both"/>
      </w:pPr>
      <w:r>
        <w:t>CONCEITO DE FINANÇAS</w:t>
      </w:r>
    </w:p>
    <w:p w14:paraId="56B34F99" w14:textId="77777777" w:rsidR="00670DA3" w:rsidRDefault="00670DA3" w:rsidP="00670DA3">
      <w:pPr>
        <w:jc w:val="both"/>
      </w:pPr>
      <w:r>
        <w:t>Este bloco é utilizado para apresentar definições e conceitos fundamentais necessários à compreensão da análise de viabilidade financeira.</w:t>
      </w:r>
    </w:p>
    <w:p w14:paraId="38019219" w14:textId="77777777" w:rsidR="00670DA3" w:rsidRDefault="00670DA3" w:rsidP="00670DA3">
      <w:pPr>
        <w:jc w:val="both"/>
      </w:pPr>
      <w:r>
        <w:t>:::</w:t>
      </w:r>
    </w:p>
    <w:p w14:paraId="2F4EAA0A" w14:textId="77777777" w:rsidR="00670DA3" w:rsidRDefault="00670DA3" w:rsidP="00670DA3">
      <w:pPr>
        <w:jc w:val="both"/>
      </w:pPr>
    </w:p>
    <w:p w14:paraId="77DE1D1E" w14:textId="77777777" w:rsidR="00670DA3" w:rsidRDefault="00670DA3" w:rsidP="00670DA3">
      <w:pPr>
        <w:jc w:val="both"/>
      </w:pPr>
      <w:proofErr w:type="gramStart"/>
      <w:r>
        <w:t>:::</w:t>
      </w:r>
      <w:proofErr w:type="gramEnd"/>
      <w:r>
        <w:t xml:space="preserve"> </w:t>
      </w:r>
      <w:proofErr w:type="gramStart"/>
      <w:r>
        <w:t>{.aplicacao</w:t>
      </w:r>
      <w:proofErr w:type="gramEnd"/>
      <w:r>
        <w:t>}</w:t>
      </w:r>
    </w:p>
    <w:p w14:paraId="1F0FFFC9" w14:textId="77777777" w:rsidR="00670DA3" w:rsidRDefault="00670DA3" w:rsidP="00670DA3">
      <w:pPr>
        <w:jc w:val="both"/>
      </w:pPr>
      <w:r>
        <w:rPr>
          <w:rFonts w:ascii="Segoe UI Emoji" w:hAnsi="Segoe UI Emoji" w:cs="Segoe UI Emoji"/>
        </w:rPr>
        <w:t>💡</w:t>
      </w:r>
      <w:r>
        <w:t xml:space="preserve"> APLICAÇÃO EM PROJETOS DE $H</w:t>
      </w:r>
      <w:proofErr w:type="gramStart"/>
      <w:r>
        <w:t>_{2}$</w:t>
      </w:r>
      <w:proofErr w:type="gramEnd"/>
    </w:p>
    <w:p w14:paraId="43D48D79" w14:textId="77777777" w:rsidR="00670DA3" w:rsidRDefault="00670DA3" w:rsidP="00670DA3">
      <w:pPr>
        <w:jc w:val="both"/>
      </w:pPr>
      <w:r>
        <w:t>Este bloco aparece sempre de forma subsequente ao bloco de conceito e tem por finalidade estabelecer a ligação entre o conceito financeiro apresentado e sua aplicação em projetos de produção de hidrogênio.</w:t>
      </w:r>
    </w:p>
    <w:p w14:paraId="6F28ED99" w14:textId="5DDE3AB8" w:rsidR="00670DA3" w:rsidRDefault="00670DA3" w:rsidP="00670DA3">
      <w:pPr>
        <w:jc w:val="both"/>
      </w:pPr>
      <w:r>
        <w:lastRenderedPageBreak/>
        <w:t>:::</w:t>
      </w:r>
    </w:p>
    <w:p w14:paraId="102FFFF8" w14:textId="77777777" w:rsidR="00670DA3" w:rsidRDefault="00670DA3" w:rsidP="00670DA3">
      <w:pPr>
        <w:jc w:val="both"/>
      </w:pPr>
      <w:proofErr w:type="gramStart"/>
      <w:r>
        <w:t>:::</w:t>
      </w:r>
      <w:proofErr w:type="gramEnd"/>
      <w:r>
        <w:t xml:space="preserve"> </w:t>
      </w:r>
      <w:proofErr w:type="gramStart"/>
      <w:r>
        <w:t>{.cuidado</w:t>
      </w:r>
      <w:proofErr w:type="gramEnd"/>
      <w:r>
        <w:t>}</w:t>
      </w:r>
    </w:p>
    <w:p w14:paraId="1C7B8A76" w14:textId="77777777" w:rsidR="00670DA3" w:rsidRDefault="00670DA3" w:rsidP="00670DA3">
      <w:pPr>
        <w:jc w:val="both"/>
      </w:pPr>
      <w:r>
        <w:rPr>
          <w:rFonts w:ascii="Segoe UI Emoji" w:hAnsi="Segoe UI Emoji" w:cs="Segoe UI Emoji"/>
        </w:rPr>
        <w:t>⚠️</w:t>
      </w:r>
      <w:r>
        <w:t xml:space="preserve"> CUIDADO</w:t>
      </w:r>
    </w:p>
    <w:p w14:paraId="4A7BA1A4" w14:textId="77777777" w:rsidR="00670DA3" w:rsidRDefault="00670DA3" w:rsidP="00670DA3">
      <w:pPr>
        <w:jc w:val="both"/>
      </w:pPr>
      <w:r>
        <w:t>Este bloco é empregado para alertar o leitor sobre erros conceituais ou práticas inadequadas frequentemente observadas em avaliações de viabilidade financeira e que não devem ser reproduzidas em projetos reais.</w:t>
      </w:r>
    </w:p>
    <w:p w14:paraId="64B82937" w14:textId="7CDA4D8E" w:rsidR="00670DA3" w:rsidRDefault="00670DA3" w:rsidP="00670DA3">
      <w:pPr>
        <w:jc w:val="both"/>
      </w:pPr>
      <w:r>
        <w:t>:::</w:t>
      </w:r>
    </w:p>
    <w:p w14:paraId="3813B3D2" w14:textId="2BD3F13C" w:rsidR="00670DA3" w:rsidRDefault="00670DA3" w:rsidP="00670DA3">
      <w:pPr>
        <w:jc w:val="both"/>
      </w:pPr>
      <w:r>
        <w:t>A partir dos conceitos de finanças apresentados no Capítulo 2 e de suas respectivas associações com projetos de hidrogênio, o Capítulo 3 tem como objetivo apresentar um panorama atual do estado da arte do mercado de hidrogênio. Esse panorama é construído sob duas perspectivas complementares: a da demanda, relacionada aos principais usos do hidrogênio, e a da oferta, associada às diferentes rotas tecnológicas de produção, com ênfase no hidrogênio de baixo carbono.</w:t>
      </w:r>
    </w:p>
    <w:p w14:paraId="3E4BB87A" w14:textId="66E64AE4" w:rsidR="00670DA3" w:rsidRDefault="00670DA3" w:rsidP="00670DA3">
      <w:pPr>
        <w:jc w:val="both"/>
      </w:pPr>
      <w:r>
        <w:t>Por fim, o Capítulo 4 é dedicado à apresentação de estudos de caso de avaliação de viabilidade financeira, utilizando os parâmetros e conceitos discutidos nos capítulos anteriores. É importante destacar que esses estudos de caso possuem caráter didático e simplificado e não devem ser utilizados diretamente como suporte à tomada de decisão em projetos reais. Seu objetivo é orientar o leitor quanto à estrutura lógica de uma avaliação de viabilidade financeira, servindo como referência inicial para análises mais completas e detalhadas. Nesse capítulo, também são introduzidos aspectos práticos de implementação computacional, com destaque para o uso de planilhas eletrônicas (Excel) como ferramenta de apoio à análise.</w:t>
      </w:r>
    </w:p>
    <w:p w14:paraId="3BB0AB7F" w14:textId="09DB078F" w:rsidR="00670DA3" w:rsidRDefault="00670DA3" w:rsidP="00670DA3">
      <w:pPr>
        <w:jc w:val="both"/>
      </w:pPr>
      <w:r>
        <w:t># PRINCÍPIOS DE FINANÇAS</w:t>
      </w:r>
    </w:p>
    <w:p w14:paraId="140252E6" w14:textId="3A7646BC" w:rsidR="00670DA3" w:rsidRDefault="00670DA3" w:rsidP="00670DA3">
      <w:pPr>
        <w:jc w:val="both"/>
      </w:pPr>
      <w:r>
        <w:t xml:space="preserve">A análise de viabilidade financeira constitui um componente indissociável do processo de concepção, avaliação e implementação de projetos de engenharia. Ainda que um empreendimento apresente plena viabilidade técnica, contando com disponibilidade de tecnologias adequadas, domínio dos processos produtivos e conformidade com critérios normativos e operacionais, sua materialização concreta depende, em maior medida, da comprovação de sua viabilidade financeira. </w:t>
      </w:r>
    </w:p>
    <w:p w14:paraId="1636E259" w14:textId="66846A52" w:rsidR="00670DA3" w:rsidRDefault="00670DA3" w:rsidP="00670DA3">
      <w:pPr>
        <w:jc w:val="both"/>
      </w:pPr>
      <w:r>
        <w:t>Nesse sentido, pode-se afirmar que a viabilidade técnica seja condição necessária, mas não condição suficiente para a implementação de um projeto de engenharia, uma vez que a decisão de implementação do empreendimento está condicionada à capacidade desse de remunerar adequadamente o recurso monetário empregado, compatibilizando retorno esperado e respectivo nível de risco.</w:t>
      </w:r>
    </w:p>
    <w:p w14:paraId="66A619D3" w14:textId="00EFB0CC" w:rsidR="00670DA3" w:rsidRDefault="00670DA3" w:rsidP="00670DA3">
      <w:pPr>
        <w:jc w:val="both"/>
      </w:pPr>
      <w:r>
        <w:lastRenderedPageBreak/>
        <w:t xml:space="preserve">É também relevante ressaltar que a análise de viabilidade financeira não deve ser compreendida apenas como um instrumento de verificação ex post da atratividade de um projeto previamente definido. </w:t>
      </w:r>
    </w:p>
    <w:p w14:paraId="75E73612" w14:textId="065E2FE5" w:rsidR="00670DA3" w:rsidRDefault="00670DA3" w:rsidP="00670DA3">
      <w:pPr>
        <w:jc w:val="both"/>
      </w:pPr>
      <w:r>
        <w:t xml:space="preserve">Ao contrário, a análise de viabilidade financeira constitui ferramenta analítica que deve exercer influência direta sobre o processo de tomada de decisão técnica, muitas vezes sendo responsável pela reformulação do próprio projeto de engenharia. Resultados financeiros insatisfatórios podem motivar ajustes na escala de produção, na escolha tecnológica, na configuração operacional ou na estratégia de suprimento de insumos, com o objetivo de aprimorar simultaneamente o desempenho técnico e econômico do empreendimento. </w:t>
      </w:r>
    </w:p>
    <w:p w14:paraId="5043A24A" w14:textId="666016FE" w:rsidR="00670DA3" w:rsidRDefault="00670DA3" w:rsidP="00670DA3">
      <w:pPr>
        <w:jc w:val="both"/>
      </w:pPr>
      <w:r>
        <w:t>Em virtude dessa interação necessária entre decisões de natureza técnica e financeira, consolidou-se na literatura o conceito de engenharia econômica, entendido como o campo do conhecimento dedicado à aplicação sistemática de técnicas de análise financeira à avaliação de projetos de engenharia.</w:t>
      </w:r>
    </w:p>
    <w:p w14:paraId="52D8853F" w14:textId="0F5EF975" w:rsidR="00670DA3" w:rsidRDefault="00670DA3" w:rsidP="00670DA3">
      <w:pPr>
        <w:jc w:val="both"/>
      </w:pPr>
      <w:r>
        <w:t>Adicionalmente, assim como os projetos de engenharia são desenvolvidos com elevado grau de rigor técnico, apoiados em princípios científicos e procedimentos estruturados, as análises financeiras devem ser conduzidas com equivalente rigor metodológico. A avaliação da viabilidade financeira de um projeto não se restringe à estimação simplificada de custos e receitas, mas envolve definição criteriosa de premissas econômicas amplamente reconhecidos na literatura especializada.</w:t>
      </w:r>
    </w:p>
    <w:p w14:paraId="577CB4AD" w14:textId="77777777" w:rsidR="00670DA3" w:rsidRDefault="00670DA3" w:rsidP="00670DA3">
      <w:pPr>
        <w:jc w:val="both"/>
      </w:pPr>
      <w:r>
        <w:t xml:space="preserve">Nesse contexto, o presente capítulo tem por finalidade introduzir de forma sistemática os fundamentos conceituais da análise de viabilidade financeira de projetos de engenharia, apresentando os principais instrumentos utilizados no processo de avaliação financeira de investimentos de projetos de engenharia. </w:t>
      </w:r>
    </w:p>
    <w:p w14:paraId="662C352D" w14:textId="77777777" w:rsidR="00670DA3" w:rsidRDefault="00670DA3" w:rsidP="00670DA3">
      <w:pPr>
        <w:jc w:val="both"/>
      </w:pPr>
    </w:p>
    <w:p w14:paraId="41D7E9C1" w14:textId="4994B64D" w:rsidR="00670DA3" w:rsidRDefault="00670DA3" w:rsidP="00670DA3">
      <w:pPr>
        <w:jc w:val="both"/>
      </w:pPr>
      <w:r>
        <w:t>Por se tratar de uma apostila de caráter aplicado, os conceitos apresentados ao longo deste capítulo na medida do possível serão associados a projetos de produção de hidrogênio de baixo carbono, com ênfase em sistemas baseados na eletrólise da água. Espera-se que, ao término deste capítulo, o leitor esteja capacitado a compreender e aplicar, de forma estruturada e tecnicamente consistente, os conceitos fundamentais da análise de viabilidade financeira no contexto de projetos de produção de hidrogênio de baixo carbono.</w:t>
      </w:r>
    </w:p>
    <w:p w14:paraId="1D85C00C" w14:textId="692275AC" w:rsidR="00670DA3" w:rsidRDefault="00670DA3" w:rsidP="00670DA3">
      <w:pPr>
        <w:jc w:val="both"/>
      </w:pPr>
      <w:r>
        <w:t>## Os X Princípios Básicos</w:t>
      </w:r>
    </w:p>
    <w:p w14:paraId="459B490F" w14:textId="6A092F2F" w:rsidR="00670DA3" w:rsidRDefault="00670DA3" w:rsidP="00670DA3">
      <w:pPr>
        <w:jc w:val="both"/>
      </w:pPr>
      <w:r>
        <w:t>**Princípio 01 - O Dinheiro Muda de Valor ao Longo do Tempo**</w:t>
      </w:r>
    </w:p>
    <w:p w14:paraId="6DD3C8CE" w14:textId="7D6406E5" w:rsidR="00670DA3" w:rsidRDefault="00670DA3" w:rsidP="00670DA3">
      <w:pPr>
        <w:jc w:val="both"/>
      </w:pPr>
      <w:r>
        <w:t xml:space="preserve">A base conceitual da análise de viabilidade financeira de projetos fundamenta-se em um princípio elementar que orienta o conjunto de técnicas desenvolvidas neste capítulo: **o dinheiro muda de valor ao longo do tempo**. </w:t>
      </w:r>
    </w:p>
    <w:p w14:paraId="49DD69D4" w14:textId="016983D2" w:rsidR="00670DA3" w:rsidRDefault="00670DA3" w:rsidP="00670DA3">
      <w:pPr>
        <w:jc w:val="both"/>
      </w:pPr>
      <w:r>
        <w:lastRenderedPageBreak/>
        <w:t xml:space="preserve">Como consequência lógica imediata, tem-se que quantias monetárias expressas em diferentes </w:t>
      </w:r>
      <w:proofErr w:type="gramStart"/>
      <w:r>
        <w:t>períodos de tempo</w:t>
      </w:r>
      <w:proofErr w:type="gramEnd"/>
      <w:r>
        <w:t xml:space="preserve"> não são diretamente comparáveis. Para que tal comparação seja possível, torna-se necessário realizar um procedimento de correção do valor do dinheiro, de modo a expressar todas as quantias monetárias em uma mesma referência temporal.</w:t>
      </w:r>
    </w:p>
    <w:p w14:paraId="682D6378" w14:textId="47F2AFE2" w:rsidR="00670DA3" w:rsidRDefault="00670DA3" w:rsidP="00670DA3">
      <w:pPr>
        <w:jc w:val="both"/>
      </w:pPr>
      <w:r>
        <w:t>Existem diversas razões que explicam por que uma unidade monetária não preserva seu valor ao longo do tempo. Uma das explicações mais recorrentes na literatura econômica é o fenômeno da inflação, compreendido como o aumento generalizado e persistente do nível de preços da economia. À medida que os preços de bens e serviços se elevam ao longo do tempo, o poder de compra associado a uma mesma unidade monetária se reduz. Essa perda de poder de compra constitui, portanto, uma das formas pelas quais se manifesta a alteração do valor do dinheiro ao longo do tempo.</w:t>
      </w:r>
    </w:p>
    <w:p w14:paraId="34214A91" w14:textId="44524B77" w:rsidR="00670DA3" w:rsidRDefault="00670DA3" w:rsidP="00670DA3">
      <w:pPr>
        <w:jc w:val="both"/>
      </w:pPr>
      <w:r>
        <w:t xml:space="preserve">Cumpre ressaltar que, no contexto brasileiro, as taxas de inflação assumem relevância significativa. Na Figura \@ref(fig:ipca), são apresentadas as taxas anuais recentes de inflação, medidas pelo Índice de Preços ao Consumidor Amplo (IPCA), indicador que monitora a variação de preços de uma cesta de bens e serviços representativa do consumo das famílias brasileiras com renda mensal compreendida entre 1 e 40 </w:t>
      </w:r>
      <w:proofErr w:type="gramStart"/>
      <w:r>
        <w:t>salários mínimos</w:t>
      </w:r>
      <w:proofErr w:type="gramEnd"/>
      <w:r>
        <w:t>.</w:t>
      </w:r>
    </w:p>
    <w:p w14:paraId="39024FCE" w14:textId="08254446" w:rsidR="00670DA3" w:rsidRDefault="00670DA3" w:rsidP="00670DA3">
      <w:pPr>
        <w:jc w:val="both"/>
      </w:pPr>
      <w:r w:rsidRPr="00670DA3">
        <w:rPr>
          <w:highlight w:val="yellow"/>
        </w:rPr>
        <w:t>GRÁFICO</w:t>
      </w:r>
    </w:p>
    <w:p w14:paraId="28BC6A2E" w14:textId="77777777" w:rsidR="00670DA3" w:rsidRDefault="00670DA3" w:rsidP="00670DA3">
      <w:pPr>
        <w:jc w:val="both"/>
      </w:pPr>
      <w:r>
        <w:t>A análise desse índice permite interpretar o quanto uma unidade monetária perdeu poder de compra de um período para outro, evidenciando, em números, a variação do valor do dinheiro ao longo do tempo.</w:t>
      </w:r>
    </w:p>
    <w:p w14:paraId="5F42201B" w14:textId="77777777" w:rsidR="00670DA3" w:rsidRDefault="00670DA3" w:rsidP="00670DA3">
      <w:pPr>
        <w:jc w:val="both"/>
      </w:pPr>
    </w:p>
    <w:p w14:paraId="6F9B39EC" w14:textId="18B8DFD0" w:rsidR="00670DA3" w:rsidRDefault="00670DA3" w:rsidP="00670DA3">
      <w:pPr>
        <w:jc w:val="both"/>
      </w:pPr>
      <w:r>
        <w:t>Entretanto, a inflação não é a única razão pela qual considera-se a variação do valor do dinheiro ao longo do tempo. Existe também uma explicação de natureza comportamental, relacionada às preferências intertemporais dos agentes econômicos. Em termos gerais, a possibilidade de consumir ou adquirir bens no presente é, ceteris paribus</w:t>
      </w:r>
      <w:proofErr w:type="gramStart"/>
      <w:r>
        <w:t>^[</w:t>
      </w:r>
      <w:proofErr w:type="gramEnd"/>
      <w:r>
        <w:t xml:space="preserve">Expressão latina que significa “mantidas constantes todas as demais condições”. Esta expressão é muito utilizada em economia para indicar o efeito de uma variável analisada isoladamente, assumindo que todas as demais variáveis permanecem inalteradas], preferível à postergação do consumo para o futuro. </w:t>
      </w:r>
    </w:p>
    <w:p w14:paraId="6777761C" w14:textId="076EF2C0" w:rsidR="00670DA3" w:rsidRDefault="00670DA3" w:rsidP="00670DA3">
      <w:pPr>
        <w:jc w:val="both"/>
      </w:pPr>
      <w:r>
        <w:t>Dessa forma, postergar o uso de uma unidade monetária no presente implica um sacrifício, o qual deve ser compensado por um valor adicional no futuro. Esse mecanismo de compensação está na origem do conceito de remuneração do capital ao longo do tempo.</w:t>
      </w:r>
    </w:p>
    <w:p w14:paraId="732C4D06" w14:textId="46636E77" w:rsidR="00670DA3" w:rsidRDefault="00670DA3" w:rsidP="00670DA3">
      <w:pPr>
        <w:jc w:val="both"/>
      </w:pPr>
      <w:r>
        <w:lastRenderedPageBreak/>
        <w:t>Seja em razão da variação do nível geral de preços — associada à inflação —, seja em decorrência da recompensa exigida pelos agentes econômicos para postergar o consumo — associada às preferências intertemporais —, torna-se necessário corrigir os valores monetários de um fluxo de caixa antes de proceder à sua análise econômica. Essa correção é realizada por meio da aplicação de uma taxa de juros, que permite expressar valores monetários observados em diferentes períodos em uma base temporal comum.</w:t>
      </w:r>
    </w:p>
    <w:p w14:paraId="12B45DF5" w14:textId="6F91A657" w:rsidR="00670DA3" w:rsidRDefault="00670DA3" w:rsidP="00670DA3">
      <w:pPr>
        <w:jc w:val="both"/>
      </w:pPr>
      <w:r>
        <w:t>Deste modo, a partir dessas considerações, emergem alguns dos conceitos fundamentais que compõem o vocabulário básico da análise de viabilidade financeira, os quais serão recorrentes ao longo deste capítulo.</w:t>
      </w:r>
    </w:p>
    <w:p w14:paraId="2C854457" w14:textId="77777777" w:rsidR="00670DA3" w:rsidRDefault="00670DA3" w:rsidP="00670DA3">
      <w:pPr>
        <w:jc w:val="both"/>
      </w:pPr>
      <w:proofErr w:type="gramStart"/>
      <w:r>
        <w:t>:::</w:t>
      </w:r>
      <w:proofErr w:type="gramEnd"/>
      <w:r>
        <w:t xml:space="preserve"> </w:t>
      </w:r>
      <w:proofErr w:type="gramStart"/>
      <w:r>
        <w:t>{.associacao</w:t>
      </w:r>
      <w:proofErr w:type="gramEnd"/>
      <w:r>
        <w:t>}</w:t>
      </w:r>
    </w:p>
    <w:p w14:paraId="0F9B8A43" w14:textId="77777777" w:rsidR="00670DA3" w:rsidRDefault="00670DA3" w:rsidP="00670DA3">
      <w:pPr>
        <w:jc w:val="both"/>
      </w:pPr>
      <w:r>
        <w:rPr>
          <w:rFonts w:ascii="Segoe UI Emoji" w:hAnsi="Segoe UI Emoji" w:cs="Segoe UI Emoji"/>
        </w:rPr>
        <w:t>⚠️</w:t>
      </w:r>
      <w:r>
        <w:t xml:space="preserve"> **CONCEITO: FLUXO DE CAIXA**  </w:t>
      </w:r>
    </w:p>
    <w:p w14:paraId="19071D24" w14:textId="6AE5B844" w:rsidR="00670DA3" w:rsidRDefault="00670DA3" w:rsidP="00670DA3">
      <w:pPr>
        <w:jc w:val="both"/>
      </w:pPr>
      <w:r>
        <w:t>Conjunto de entradas e saídas de recursos monetários estimadas para diferentes momentos do tempo, associadas ao projeto.</w:t>
      </w:r>
    </w:p>
    <w:p w14:paraId="40F5BFD3" w14:textId="77777777" w:rsidR="00670DA3" w:rsidRDefault="00670DA3" w:rsidP="00670DA3">
      <w:pPr>
        <w:jc w:val="both"/>
      </w:pPr>
      <w:r>
        <w:rPr>
          <w:rFonts w:ascii="Segoe UI Emoji" w:hAnsi="Segoe UI Emoji" w:cs="Segoe UI Emoji"/>
        </w:rPr>
        <w:t>💡</w:t>
      </w:r>
      <w:r>
        <w:t xml:space="preserve"> **ASSOCIAÇÃO DO FLUXO DE CAIXA A PROJETOS DE $H</w:t>
      </w:r>
      <w:proofErr w:type="gramStart"/>
      <w:r>
        <w:t>_{2}$</w:t>
      </w:r>
      <w:proofErr w:type="gramEnd"/>
      <w:r>
        <w:t xml:space="preserve">**  </w:t>
      </w:r>
    </w:p>
    <w:p w14:paraId="2ECCE203" w14:textId="77777777" w:rsidR="00670DA3" w:rsidRDefault="00670DA3" w:rsidP="00670DA3">
      <w:pPr>
        <w:jc w:val="both"/>
      </w:pPr>
      <w:r>
        <w:t xml:space="preserve">às etapas de implantação, operação e desativação </w:t>
      </w:r>
    </w:p>
    <w:p w14:paraId="05A8E54C" w14:textId="77777777" w:rsidR="00670DA3" w:rsidRDefault="00670DA3" w:rsidP="00670DA3">
      <w:pPr>
        <w:jc w:val="both"/>
      </w:pPr>
    </w:p>
    <w:p w14:paraId="3B7136B4" w14:textId="77777777" w:rsidR="00670DA3" w:rsidRDefault="00670DA3" w:rsidP="00670DA3">
      <w:pPr>
        <w:jc w:val="both"/>
      </w:pPr>
      <w:r>
        <w:rPr>
          <w:rFonts w:ascii="Segoe UI Emoji" w:hAnsi="Segoe UI Emoji" w:cs="Segoe UI Emoji"/>
        </w:rPr>
        <w:t>⚠️</w:t>
      </w:r>
      <w:r>
        <w:t xml:space="preserve"> **CONCEITO: VIDA ÚTIL DO PROJETO**  </w:t>
      </w:r>
    </w:p>
    <w:p w14:paraId="74AE24FC" w14:textId="41A75303" w:rsidR="00670DA3" w:rsidRDefault="00670DA3" w:rsidP="00670DA3">
      <w:pPr>
        <w:jc w:val="both"/>
      </w:pPr>
      <w:r>
        <w:t>Conceito associado à duração temporal do fluxo de caixa do empreendimento. Em projetos de engenharia, a vida útil do projeto é, em geral, definida a partir do período de operação do equipamento ou sistema considerado mais relevante para a atividade-fim do empreendimento.</w:t>
      </w:r>
    </w:p>
    <w:p w14:paraId="57CDE084" w14:textId="77777777" w:rsidR="00670DA3" w:rsidRDefault="00670DA3" w:rsidP="00670DA3">
      <w:pPr>
        <w:jc w:val="both"/>
      </w:pPr>
      <w:r>
        <w:rPr>
          <w:rFonts w:ascii="Segoe UI Emoji" w:hAnsi="Segoe UI Emoji" w:cs="Segoe UI Emoji"/>
        </w:rPr>
        <w:t>💡</w:t>
      </w:r>
      <w:r>
        <w:t xml:space="preserve"> **ASSOCIAÇÃO DA VIDA ÚTIL A PROJETOS DE $H</w:t>
      </w:r>
      <w:proofErr w:type="gramStart"/>
      <w:r>
        <w:t>_{2}$</w:t>
      </w:r>
      <w:proofErr w:type="gramEnd"/>
      <w:r>
        <w:t xml:space="preserve">**  </w:t>
      </w:r>
    </w:p>
    <w:p w14:paraId="32E11A13" w14:textId="4B287A39" w:rsidR="00670DA3" w:rsidRDefault="00670DA3" w:rsidP="00670DA3">
      <w:pPr>
        <w:jc w:val="both"/>
      </w:pPr>
      <w:r>
        <w:t>25 ANOS RELACIONADO À VIDA ÚTIL DO ELETROLISADOR</w:t>
      </w:r>
    </w:p>
    <w:p w14:paraId="00B220A0" w14:textId="77777777" w:rsidR="00670DA3" w:rsidRDefault="00670DA3" w:rsidP="00670DA3">
      <w:pPr>
        <w:jc w:val="both"/>
      </w:pPr>
      <w:r>
        <w:rPr>
          <w:rFonts w:ascii="Segoe UI Emoji" w:hAnsi="Segoe UI Emoji" w:cs="Segoe UI Emoji"/>
        </w:rPr>
        <w:t>⚠️</w:t>
      </w:r>
      <w:r>
        <w:t xml:space="preserve"> **CONCEITO: TAXA DE JUROS**  </w:t>
      </w:r>
    </w:p>
    <w:p w14:paraId="4C9A45CF" w14:textId="77777777" w:rsidR="00670DA3" w:rsidRDefault="00670DA3" w:rsidP="00670DA3">
      <w:pPr>
        <w:jc w:val="both"/>
      </w:pPr>
      <w:r>
        <w:t>De forma geral, o juro pode ser entendido como a remuneração associada ao uso de uma quantia monetária em uma operação distinta do consumo imediato. Ao longo deste material, essa remuneração será tratada como remuneração do capital, sendo o capital definido como o valor monetário empregado em uma operação financeira ou em um projeto de investimento. Assim, a taxa de juros pode ser compreendida como um coeficiente que expressa a remuneração do capital ao longo de um determinado intervalo de tempo.</w:t>
      </w:r>
    </w:p>
    <w:p w14:paraId="0CED0289" w14:textId="5574EC11" w:rsidR="00305DA8" w:rsidRDefault="00670DA3" w:rsidP="00670DA3">
      <w:pPr>
        <w:jc w:val="both"/>
      </w:pPr>
      <w:r>
        <w:t>:::</w:t>
      </w:r>
    </w:p>
    <w:sectPr w:rsidR="00305DA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6B7B"/>
    <w:rsid w:val="000D12C1"/>
    <w:rsid w:val="002355C6"/>
    <w:rsid w:val="002417A7"/>
    <w:rsid w:val="00305DA8"/>
    <w:rsid w:val="004939C8"/>
    <w:rsid w:val="004A13CB"/>
    <w:rsid w:val="00522D91"/>
    <w:rsid w:val="00652E95"/>
    <w:rsid w:val="00670DA3"/>
    <w:rsid w:val="00690FFD"/>
    <w:rsid w:val="00755947"/>
    <w:rsid w:val="00913F4B"/>
    <w:rsid w:val="009832A8"/>
    <w:rsid w:val="00AC3060"/>
    <w:rsid w:val="00B43D2B"/>
    <w:rsid w:val="00BC095D"/>
    <w:rsid w:val="00C765E2"/>
    <w:rsid w:val="00D57483"/>
    <w:rsid w:val="00DD3FA0"/>
    <w:rsid w:val="00DD6B7B"/>
    <w:rsid w:val="00E91286"/>
    <w:rsid w:val="00F4736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B8B67"/>
  <w15:chartTrackingRefBased/>
  <w15:docId w15:val="{86BD2FEC-F62D-4B68-BDBB-EAAB9FF95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DD6B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DD6B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DD6B7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DD6B7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DD6B7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DD6B7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DD6B7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DD6B7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DD6B7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D6B7B"/>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DD6B7B"/>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DD6B7B"/>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DD6B7B"/>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DD6B7B"/>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DD6B7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DD6B7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DD6B7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DD6B7B"/>
    <w:rPr>
      <w:rFonts w:eastAsiaTheme="majorEastAsia" w:cstheme="majorBidi"/>
      <w:color w:val="272727" w:themeColor="text1" w:themeTint="D8"/>
    </w:rPr>
  </w:style>
  <w:style w:type="paragraph" w:styleId="Ttulo">
    <w:name w:val="Title"/>
    <w:basedOn w:val="Normal"/>
    <w:next w:val="Normal"/>
    <w:link w:val="TtuloChar"/>
    <w:uiPriority w:val="10"/>
    <w:qFormat/>
    <w:rsid w:val="00DD6B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DD6B7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DD6B7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DD6B7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DD6B7B"/>
    <w:pPr>
      <w:spacing w:before="160"/>
      <w:jc w:val="center"/>
    </w:pPr>
    <w:rPr>
      <w:i/>
      <w:iCs/>
      <w:color w:val="404040" w:themeColor="text1" w:themeTint="BF"/>
    </w:rPr>
  </w:style>
  <w:style w:type="character" w:customStyle="1" w:styleId="CitaoChar">
    <w:name w:val="Citação Char"/>
    <w:basedOn w:val="Fontepargpadro"/>
    <w:link w:val="Citao"/>
    <w:uiPriority w:val="29"/>
    <w:rsid w:val="00DD6B7B"/>
    <w:rPr>
      <w:i/>
      <w:iCs/>
      <w:color w:val="404040" w:themeColor="text1" w:themeTint="BF"/>
    </w:rPr>
  </w:style>
  <w:style w:type="paragraph" w:styleId="PargrafodaLista">
    <w:name w:val="List Paragraph"/>
    <w:basedOn w:val="Normal"/>
    <w:uiPriority w:val="34"/>
    <w:qFormat/>
    <w:rsid w:val="00DD6B7B"/>
    <w:pPr>
      <w:ind w:left="720"/>
      <w:contextualSpacing/>
    </w:pPr>
  </w:style>
  <w:style w:type="character" w:styleId="nfaseIntensa">
    <w:name w:val="Intense Emphasis"/>
    <w:basedOn w:val="Fontepargpadro"/>
    <w:uiPriority w:val="21"/>
    <w:qFormat/>
    <w:rsid w:val="00DD6B7B"/>
    <w:rPr>
      <w:i/>
      <w:iCs/>
      <w:color w:val="0F4761" w:themeColor="accent1" w:themeShade="BF"/>
    </w:rPr>
  </w:style>
  <w:style w:type="paragraph" w:styleId="CitaoIntensa">
    <w:name w:val="Intense Quote"/>
    <w:basedOn w:val="Normal"/>
    <w:next w:val="Normal"/>
    <w:link w:val="CitaoIntensaChar"/>
    <w:uiPriority w:val="30"/>
    <w:qFormat/>
    <w:rsid w:val="00DD6B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DD6B7B"/>
    <w:rPr>
      <w:i/>
      <w:iCs/>
      <w:color w:val="0F4761" w:themeColor="accent1" w:themeShade="BF"/>
    </w:rPr>
  </w:style>
  <w:style w:type="character" w:styleId="RefernciaIntensa">
    <w:name w:val="Intense Reference"/>
    <w:basedOn w:val="Fontepargpadro"/>
    <w:uiPriority w:val="32"/>
    <w:qFormat/>
    <w:rsid w:val="00DD6B7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223</TotalTime>
  <Pages>5</Pages>
  <Words>1793</Words>
  <Characters>9686</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Valerio</dc:creator>
  <cp:keywords/>
  <dc:description/>
  <cp:lastModifiedBy>Victor Valerio</cp:lastModifiedBy>
  <cp:revision>14</cp:revision>
  <dcterms:created xsi:type="dcterms:W3CDTF">2026-02-03T17:29:00Z</dcterms:created>
  <dcterms:modified xsi:type="dcterms:W3CDTF">2026-02-06T23:31:00Z</dcterms:modified>
</cp:coreProperties>
</file>