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69CEF" w14:textId="63FF6105" w:rsidR="007243EB" w:rsidRDefault="007243EB" w:rsidP="007243EB">
      <w:pPr>
        <w:jc w:val="both"/>
      </w:pPr>
      <w:r>
        <w:t># INTRODUÇÃO</w:t>
      </w:r>
    </w:p>
    <w:p w14:paraId="195A8BB1" w14:textId="1A7DB7C3" w:rsidR="007243EB" w:rsidRDefault="007243EB" w:rsidP="007243EB">
      <w:pPr>
        <w:jc w:val="both"/>
      </w:pPr>
      <w:r>
        <w:t>O aquecimento global e as consequentes ocorrências de eventos extremos vêm se intensificando ao longo do tempo. Estima-se que, atualmente, a temperatura média global seja aproximadamente 1,1 ºC superior à observada no período pré-industrial. Como se sabe, uma das principais razões para essa realidade é a emissão de gases de efeito estufa (GEE), sendo o CO₂ um dos mais relevantes, responsável por mais de 50% dos efeitos das mudanças climáticas ao redor do mundo [@ipcc_2022; @acordo_paris; @fan_2022].</w:t>
      </w:r>
    </w:p>
    <w:p w14:paraId="3F90E7BC" w14:textId="6F11D74E" w:rsidR="007243EB" w:rsidRDefault="007243EB" w:rsidP="007243EB">
      <w:pPr>
        <w:jc w:val="both"/>
      </w:pPr>
      <w:r>
        <w:t>Com a finalidade de conter as mudanças climáticas, durante a COP21, realizada em Paris (França), em 12 de dezembro de 2015, 195 países firmaram um tratado internacional juridicamente vinculativo sobre o tema, conhecido como Acordo de Paris. O objetivo principal consiste em evitar que a temperatura média global ultrapasse 2 ºC em relação ao nível pré-industrial, ressaltando-se ainda a necessidade de envidar esforços para limitar o aumento da temperatura média global a, no máximo, 1,5 ºC até o final do século, também em comparação ao nível pré-</w:t>
      </w:r>
      <w:proofErr w:type="gramStart"/>
      <w:r>
        <w:t>industrial[</w:t>
      </w:r>
      <w:proofErr w:type="gramEnd"/>
      <w:r>
        <w:t>@ipcc_2022; @acordo_paris; @fan_2022].</w:t>
      </w:r>
    </w:p>
    <w:p w14:paraId="4AD1CD09" w14:textId="1BAA4B27" w:rsidR="007243EB" w:rsidRDefault="007243EB" w:rsidP="007243EB">
      <w:pPr>
        <w:jc w:val="both"/>
      </w:pPr>
      <w:r>
        <w:t>Como referência para o alcance desse objetivo, considera-se a necessidade de reduzir as emissões antropogênicas de CO₂ em aproximadamente 43% até 2030, em relação aos níveis de 2010, e de alcançar a neutralidade de carbono (emissões líquidas zero) até 2050. O supracitado contexto de neutralidade de carbono constitui, certamente, um grande desafio para a humanidade e, ao mesmo tempo, representa importantes oportunidades para o desenvolvimento e a difusão de tecnologias voltadas à descarbonização da economia [@ipcc_2022; @acordo_paris; @fan_2022].</w:t>
      </w:r>
    </w:p>
    <w:p w14:paraId="20CA60C0" w14:textId="6479471F" w:rsidR="007243EB" w:rsidRDefault="007243EB" w:rsidP="007243EB">
      <w:pPr>
        <w:jc w:val="both"/>
      </w:pPr>
      <w:r>
        <w:t xml:space="preserve">Diante desse contexto, pode-se observar uma tendência retomada nos últimos 10 anos, com maior intensidade nos últimos 5 anos, voltada à chamada “Economia do </w:t>
      </w:r>
      <w:proofErr w:type="gramStart"/>
      <w:r>
        <w:t>Hidrogênio”^</w:t>
      </w:r>
      <w:proofErr w:type="gramEnd"/>
      <w:r>
        <w:t>[Expressão cunhada pela primeira vez em 1970 por engenheiros da General Motors nos Estados Unidos [@moreira_2025]], na qual se espera, conforme expresso por @moreira_2025, que as matrizes energéticas dos países sejam majoritariamente baseadas no elemento hidrogênio, em substituição ao carbono [@moreira_2025; @nasser_2023].</w:t>
      </w:r>
    </w:p>
    <w:p w14:paraId="6D262699" w14:textId="288A80BB" w:rsidR="007243EB" w:rsidRDefault="007243EB" w:rsidP="007243EB">
      <w:pPr>
        <w:jc w:val="both"/>
      </w:pPr>
      <w:r>
        <w:t xml:space="preserve">Existe uma série de fatores que contribuem para essa expectativa. Em primeiro lugar, deve-se ressaltar que o hidrogênio é o elemento químico mais abundante no universo, constituindo 75% de sua massa total, e estando presente em 70% da superfície terrestre. Ressalta-se, contudo, que as moléculas de hidrogênio </w:t>
      </w:r>
      <w:proofErr w:type="gramStart"/>
      <w:r>
        <w:t>encontram-se</w:t>
      </w:r>
      <w:proofErr w:type="gramEnd"/>
      <w:r>
        <w:t xml:space="preserve"> disponíveis na natureza principalmente na forma de compostos com o carbono e na água [@moreira_2025; @nasser_2023].</w:t>
      </w:r>
    </w:p>
    <w:p w14:paraId="7E9F56DB" w14:textId="44AC7ED5" w:rsidR="007243EB" w:rsidRDefault="007243EB" w:rsidP="007243EB">
      <w:pPr>
        <w:jc w:val="both"/>
      </w:pPr>
      <w:r>
        <w:lastRenderedPageBreak/>
        <w:t>Obviamente, não é apenas pela grande disponibilidade de hidrogênio que se avalia como benéfica a transição energética dos países a partir de sua maior utilização. De fato, o hidrogênio é um vetor energético limpo e multifuncional, podendo ser obtido por uma ampla gama de tecnologias e, ao mesmo tempo, constitui matéria-prima para diversos setores industriais. Uma vez produzido, o hidrogênio pode ser convertido em gás natural sintético, combustíveis líquidos e produtos químicos verdes. Além disso, pode ser armazenado quimicamente e reconvertido em eletricidade [@bhandari_2021; @correa_2022].</w:t>
      </w:r>
    </w:p>
    <w:p w14:paraId="7F0BC1FB" w14:textId="7C0E1E47" w:rsidR="007243EB" w:rsidRDefault="007243EB" w:rsidP="007243EB">
      <w:pPr>
        <w:jc w:val="both"/>
      </w:pPr>
      <w:r>
        <w:t>Assim, pode-se observar que o hidrogênio possui o potencial de viabilizar a meta de neutralidade de carbono em setores de difícil descarbonização e eletrificação, como calor e indústria, podendo revitalizar essas atividades [@gallardo_2021; @fan_2022]. Por exemplo, segundo @alliance_2019, o poder calorífico do hidrogênio é de aproximadamente 140,4 MJ/kg, cerca de três a quatro vezes maior quando comparado à mesma massa de combustíveis fósseis, como coque e gasolina.</w:t>
      </w:r>
    </w:p>
    <w:p w14:paraId="6B7EA567" w14:textId="3A0F67CE" w:rsidR="007243EB" w:rsidRDefault="007243EB" w:rsidP="007243EB">
      <w:pPr>
        <w:jc w:val="both"/>
      </w:pPr>
      <w:r>
        <w:t xml:space="preserve">Ademais, um dos principais motivos pelos quais se entende que a economia do hidrogênio é essencial para impulsionar a transição energética está relacionado aos primeiros passos dados pelos países no processo de descarbonização de suas economias, a </w:t>
      </w:r>
      <w:proofErr w:type="spellStart"/>
      <w:r>
        <w:t>clearly</w:t>
      </w:r>
      <w:proofErr w:type="spellEnd"/>
      <w:r>
        <w:t xml:space="preserve"> partir da inserção de fontes de energia renováveis (FER) na eletrificação. Como a natureza dessas fontes renováveis — como a fotovoltaica, a eólica e a biomassa — é, em muitos casos, sazonal, intermitente e descentralizada, pode-se verificar incompatibilidades entre a oferta e a demanda de eletricidade. À medida que a participação das energias renováveis aumenta nas matrizes energéticas nacionais, a gestão do sistema torna-se progressivamente mais complexa [@bhandari_2021; @correa_2022].</w:t>
      </w:r>
    </w:p>
    <w:p w14:paraId="2CD7C09F" w14:textId="5226EAED" w:rsidR="007243EB" w:rsidRDefault="007243EB" w:rsidP="007243EB">
      <w:pPr>
        <w:jc w:val="both"/>
      </w:pPr>
      <w:r>
        <w:t>Nesse sentido, o uso sinérgico do hidrogênio em conjunto com fontes renováveis de energia pode representar uma solução, na medida em que o hidrogênio pode ser armazenado e liberado quando necessário, preenchendo a lacuna entre as flutuações de oferta e demanda e, portanto, aumentando a confiabilidade do sistema. Essa aplicação também pode auxiliar no nivelamento de carga, na redução de picos e na regulação de frequência, melhorando, assim, a qualidade e a confiabilidade da energia fornecida [@bhandari_2021; @correa_2022].</w:t>
      </w:r>
    </w:p>
    <w:p w14:paraId="27110135" w14:textId="4817BFD3" w:rsidR="007243EB" w:rsidRDefault="007243EB" w:rsidP="007243EB">
      <w:pPr>
        <w:jc w:val="both"/>
      </w:pPr>
      <w:r>
        <w:t xml:space="preserve">Sobre esse último aspecto, relacionado à sinergia entre a utilização de fontes renováveis de energia e a produção de hidrogênio para o equilíbrio entre oferta e demanda de eletricidade, é possível contextualizar as rotas de produção de hidrogênio. Conforme descrito por @rezaei_2022, para se obter o hidrogênio a partir da decomposição, existe uma variedade de tecnologias, envolvendo processos eletrolíticos, </w:t>
      </w:r>
      <w:proofErr w:type="spellStart"/>
      <w:r>
        <w:t>fotolíticos</w:t>
      </w:r>
      <w:proofErr w:type="spellEnd"/>
      <w:r>
        <w:t>, químicos, biológicos e termoquímicos.</w:t>
      </w:r>
    </w:p>
    <w:p w14:paraId="6B7F9EEA" w14:textId="7ABA9458" w:rsidR="00B41538" w:rsidRDefault="007243EB" w:rsidP="006D2882">
      <w:pPr>
        <w:jc w:val="both"/>
      </w:pPr>
      <w:r>
        <w:lastRenderedPageBreak/>
        <w:t xml:space="preserve">Atualmente, a maior parte do hidrogênio produzido é obtida por meio de combustíveis fósseis, como hidrocarbonetos e carvão. Estudos indicam que algo entre 95% e 98% da produção de hidrogênio envolve o consumo de combustíveis fósseis, sendo cerca de 75% proveniente da reforma de gás natural e entre 20% e 23% da gaseificação de carvão, representando aproximadamente 83 milhões de toneladas de CO₂ emitidos. Nesses casos, mesmo que a captura e o armazenamento de CO₂ sejam tecnicamente viáveis com a finalidade de minimizar as emissões decorrentes da produção de hidrogênio, estas podem ser superiores às da simples queima de combustíveis fósseis, ainda que o uso posterior do hidrogênio seja limpo </w:t>
      </w:r>
      <w:r w:rsidR="00B41538" w:rsidRPr="00B41538">
        <w:rPr>
          <w:highlight w:val="yellow"/>
        </w:rPr>
        <w:t xml:space="preserve">(sendo que, isto </w:t>
      </w:r>
      <w:proofErr w:type="gramStart"/>
      <w:r w:rsidR="00B41538" w:rsidRPr="00B41538">
        <w:rPr>
          <w:highlight w:val="yellow"/>
        </w:rPr>
        <w:t>ocorre pois</w:t>
      </w:r>
      <w:proofErr w:type="gramEnd"/>
      <w:r w:rsidR="00B41538" w:rsidRPr="00B41538">
        <w:rPr>
          <w:highlight w:val="yellow"/>
        </w:rPr>
        <w:t xml:space="preserve"> as tecnologias de captura e armazenamento de carbono não o total</w:t>
      </w:r>
      <w:r w:rsidR="00B41538">
        <w:t xml:space="preserve"> </w:t>
      </w:r>
      <w:r>
        <w:t xml:space="preserve">[@hurtubia_2021; @correa_2022; @rezaei_2022]. </w:t>
      </w:r>
    </w:p>
    <w:p w14:paraId="6194AAE0" w14:textId="47B7A69D" w:rsidR="005E47BF" w:rsidRDefault="007243EB" w:rsidP="006D2882">
      <w:pPr>
        <w:jc w:val="both"/>
      </w:pPr>
      <w:r>
        <w:t>Com base em @fan_2022, na figura são apresentadas estimativas de emissão de CO₂ por matéria-prima utilizada para a produção.</w:t>
      </w:r>
    </w:p>
    <w:p w14:paraId="57A3D78A" w14:textId="319A3727" w:rsidR="004E01BF" w:rsidRDefault="005E47BF" w:rsidP="00B21B3C">
      <w:pPr>
        <w:jc w:val="both"/>
      </w:pPr>
      <w:r w:rsidRPr="007E6380">
        <w:rPr>
          <w:highlight w:val="yellow"/>
        </w:rPr>
        <w:t>Em associação, a implementação de técnicas de captura e armazenamento de carbono</w:t>
      </w:r>
    </w:p>
    <w:p w14:paraId="68A0CD9E" w14:textId="48ED6E0D" w:rsidR="00670DA3" w:rsidRDefault="00670DA3" w:rsidP="00670DA3">
      <w:pPr>
        <w:jc w:val="both"/>
      </w:pPr>
      <w:r>
        <w:t>## Estrutura da Apostila</w:t>
      </w:r>
    </w:p>
    <w:p w14:paraId="4A45034D" w14:textId="066BF7D0" w:rsidR="00670DA3" w:rsidRDefault="00670DA3" w:rsidP="00670DA3">
      <w:pPr>
        <w:jc w:val="both"/>
      </w:pPr>
      <w:r>
        <w:t xml:space="preserve">Este material é composto por quatro capítulos, além desta introdução. Enquanto a primeira seção do Capítulo 1 dedica-se à contextualização da economia do hidrogênio no cenário </w:t>
      </w:r>
      <w:proofErr w:type="gramStart"/>
      <w:r>
        <w:t>global ,abordando</w:t>
      </w:r>
      <w:proofErr w:type="gramEnd"/>
      <w:r>
        <w:t xml:space="preserve"> as motivações econômicas, ambientais e estratégicas, esta segunda seção tem por objetivo apresentar ao leitor a estrutura do documento, bem como esclarecer a lógica pedagógica adotada ao longo dos capítulos, em especial no que se refere ao uso de marcadores de destaque.</w:t>
      </w:r>
    </w:p>
    <w:p w14:paraId="12F47918" w14:textId="77777777" w:rsidR="002417A7" w:rsidRDefault="00670DA3" w:rsidP="00670DA3">
      <w:pPr>
        <w:jc w:val="both"/>
      </w:pPr>
      <w:r>
        <w:t xml:space="preserve">O Capítulo 2 é dedicado à apresentação dos princípios básicos de finanças, que constituem o arcabouço conceitual necessário para a análise de viabilidade financeira de projetos de produção de hidrogênio verde. Esses princípios são fundamentais, pois fornecem o vocabulário e a lógica econômica que sustentam as técnicas de avaliação financeira empregadas em projetos de engenharia. </w:t>
      </w:r>
    </w:p>
    <w:p w14:paraId="13ACFD64" w14:textId="1C2001DF" w:rsidR="00670DA3" w:rsidRDefault="00670DA3" w:rsidP="00670DA3">
      <w:pPr>
        <w:jc w:val="both"/>
      </w:pPr>
      <w:r>
        <w:t>Cumpre ressaltar que este capítulo não possui a pretensão de esgotar os temas da análise de viabilidade financeira, tampouco de aprofundar exaustivamente cada tópico apresentado. O objetivo é, antes, introduzir os conceitos amplamente utilizados na literatura e na prática profissional, servindo como uma base conceitual sólida para os capítulos subsequentes.</w:t>
      </w:r>
    </w:p>
    <w:p w14:paraId="7DC15DA4" w14:textId="317F81AE" w:rsidR="00670DA3" w:rsidRDefault="00670DA3" w:rsidP="00670DA3">
      <w:pPr>
        <w:jc w:val="both"/>
      </w:pPr>
      <w:r>
        <w:t xml:space="preserve">Espera-se que, ao final do Capítulo 2, o leitor esteja familiarizado com o vocabulário essencial de finanças, sendo inclusive recomendada a construção de um dicionário próprio de conceitos, a fim de consolidar o aprendizado e facilitar consultas futuras. Com o intuito de tornar a leitura mais clara e orientada, esse </w:t>
      </w:r>
      <w:r>
        <w:lastRenderedPageBreak/>
        <w:t>capítulo utiliza marcadores específicos para destacar conteúdos relevantes. A interpretação desses marcadores deve seguir a lógica descrita a seguir.</w:t>
      </w:r>
    </w:p>
    <w:p w14:paraId="7E325B94" w14:textId="77777777" w:rsidR="00670DA3" w:rsidRDefault="00670DA3" w:rsidP="00670DA3">
      <w:pPr>
        <w:jc w:val="both"/>
      </w:pPr>
      <w:proofErr w:type="gramStart"/>
      <w:r>
        <w:t>:::</w:t>
      </w:r>
      <w:proofErr w:type="gramEnd"/>
      <w:r>
        <w:t xml:space="preserve"> </w:t>
      </w:r>
      <w:proofErr w:type="gramStart"/>
      <w:r>
        <w:t>{.conceito</w:t>
      </w:r>
      <w:proofErr w:type="gramEnd"/>
      <w:r>
        <w:t>}</w:t>
      </w:r>
    </w:p>
    <w:p w14:paraId="6CF03878" w14:textId="77777777" w:rsidR="00670DA3" w:rsidRDefault="00670DA3" w:rsidP="00670DA3">
      <w:pPr>
        <w:jc w:val="both"/>
      </w:pPr>
      <w:r>
        <w:t>CONCEITO DE FINANÇAS</w:t>
      </w:r>
    </w:p>
    <w:p w14:paraId="56B34F99" w14:textId="77777777" w:rsidR="00670DA3" w:rsidRDefault="00670DA3" w:rsidP="00670DA3">
      <w:pPr>
        <w:jc w:val="both"/>
      </w:pPr>
      <w:r>
        <w:t>Este bloco é utilizado para apresentar definições e conceitos fundamentais necessários à compreensão da análise de viabilidade financeira.</w:t>
      </w:r>
    </w:p>
    <w:p w14:paraId="38019219" w14:textId="77777777" w:rsidR="00670DA3" w:rsidRDefault="00670DA3" w:rsidP="00670DA3">
      <w:pPr>
        <w:jc w:val="both"/>
      </w:pPr>
      <w:r>
        <w:t>:::</w:t>
      </w:r>
    </w:p>
    <w:p w14:paraId="2F4EAA0A" w14:textId="77777777" w:rsidR="00670DA3" w:rsidRDefault="00670DA3" w:rsidP="00670DA3">
      <w:pPr>
        <w:jc w:val="both"/>
      </w:pPr>
    </w:p>
    <w:p w14:paraId="77DE1D1E" w14:textId="77777777" w:rsidR="00670DA3" w:rsidRDefault="00670DA3" w:rsidP="00670DA3">
      <w:pPr>
        <w:jc w:val="both"/>
      </w:pPr>
      <w:proofErr w:type="gramStart"/>
      <w:r>
        <w:t>:::</w:t>
      </w:r>
      <w:proofErr w:type="gramEnd"/>
      <w:r>
        <w:t xml:space="preserve"> </w:t>
      </w:r>
      <w:proofErr w:type="gramStart"/>
      <w:r>
        <w:t>{.</w:t>
      </w:r>
      <w:proofErr w:type="spellStart"/>
      <w:r>
        <w:t>aplicacao</w:t>
      </w:r>
      <w:proofErr w:type="spellEnd"/>
      <w:proofErr w:type="gramEnd"/>
      <w:r>
        <w:t>}</w:t>
      </w:r>
    </w:p>
    <w:p w14:paraId="1F0FFFC9" w14:textId="77777777" w:rsidR="00670DA3" w:rsidRDefault="00670DA3" w:rsidP="00670DA3">
      <w:pPr>
        <w:jc w:val="both"/>
      </w:pPr>
      <w:r>
        <w:rPr>
          <w:rFonts w:ascii="Segoe UI Emoji" w:hAnsi="Segoe UI Emoji" w:cs="Segoe UI Emoji"/>
        </w:rPr>
        <w:t>💡</w:t>
      </w:r>
      <w:r>
        <w:t xml:space="preserve"> APLICAÇÃO EM PROJETOS DE $H</w:t>
      </w:r>
      <w:proofErr w:type="gramStart"/>
      <w:r>
        <w:t>_{2}$</w:t>
      </w:r>
      <w:proofErr w:type="gramEnd"/>
    </w:p>
    <w:p w14:paraId="43D48D79" w14:textId="77777777" w:rsidR="00670DA3" w:rsidRDefault="00670DA3" w:rsidP="00670DA3">
      <w:pPr>
        <w:jc w:val="both"/>
      </w:pPr>
      <w:r>
        <w:t>Este bloco aparece sempre de forma subsequente ao bloco de conceito e tem por finalidade estabelecer a ligação entre o conceito financeiro apresentado e sua aplicação em projetos de produção de hidrogênio.</w:t>
      </w:r>
    </w:p>
    <w:p w14:paraId="6F28ED99" w14:textId="5DDE3AB8" w:rsidR="00670DA3" w:rsidRDefault="00670DA3" w:rsidP="00670DA3">
      <w:pPr>
        <w:jc w:val="both"/>
      </w:pPr>
      <w:r>
        <w:t>:::</w:t>
      </w:r>
    </w:p>
    <w:p w14:paraId="102FFFF8" w14:textId="77777777" w:rsidR="00670DA3" w:rsidRDefault="00670DA3" w:rsidP="00670DA3">
      <w:pPr>
        <w:jc w:val="both"/>
      </w:pPr>
      <w:proofErr w:type="gramStart"/>
      <w:r>
        <w:t>:::</w:t>
      </w:r>
      <w:proofErr w:type="gramEnd"/>
      <w:r>
        <w:t xml:space="preserve"> </w:t>
      </w:r>
      <w:proofErr w:type="gramStart"/>
      <w:r>
        <w:t>{.cuidado</w:t>
      </w:r>
      <w:proofErr w:type="gramEnd"/>
      <w:r>
        <w:t>}</w:t>
      </w:r>
    </w:p>
    <w:p w14:paraId="1C7B8A76" w14:textId="77777777" w:rsidR="00670DA3" w:rsidRDefault="00670DA3" w:rsidP="00670DA3">
      <w:pPr>
        <w:jc w:val="both"/>
      </w:pPr>
      <w:r>
        <w:rPr>
          <w:rFonts w:ascii="Segoe UI Emoji" w:hAnsi="Segoe UI Emoji" w:cs="Segoe UI Emoji"/>
        </w:rPr>
        <w:t>⚠️</w:t>
      </w:r>
      <w:r>
        <w:t xml:space="preserve"> CUIDADO</w:t>
      </w:r>
    </w:p>
    <w:p w14:paraId="4A7BA1A4" w14:textId="77777777" w:rsidR="00670DA3" w:rsidRDefault="00670DA3" w:rsidP="00670DA3">
      <w:pPr>
        <w:jc w:val="both"/>
      </w:pPr>
      <w:r>
        <w:t>Este bloco é empregado para alertar o leitor sobre erros conceituais ou práticas inadequadas frequentemente observadas em avaliações de viabilidade financeira e que não devem ser reproduzidas em projetos reais.</w:t>
      </w:r>
    </w:p>
    <w:p w14:paraId="64B82937" w14:textId="7CDA4D8E" w:rsidR="00670DA3" w:rsidRDefault="00670DA3" w:rsidP="00670DA3">
      <w:pPr>
        <w:jc w:val="both"/>
      </w:pPr>
      <w:r>
        <w:t>:::</w:t>
      </w:r>
    </w:p>
    <w:p w14:paraId="3813B3D2" w14:textId="2BD3F13C" w:rsidR="00670DA3" w:rsidRDefault="00670DA3" w:rsidP="00670DA3">
      <w:pPr>
        <w:jc w:val="both"/>
      </w:pPr>
      <w:r>
        <w:t>A partir dos conceitos de finanças apresentados no Capítulo 2 e de suas respectivas associações com projetos de hidrogênio, o Capítulo 3 tem como objetivo apresentar um panorama atual do estado da arte do mercado de hidrogênio. Esse panorama é construído sob duas perspectivas complementares: a da demanda, relacionada aos principais usos do hidrogênio, e a da oferta, associada às diferentes rotas tecnológicas de produção, com ênfase no hidrogênio de baixo carbono.</w:t>
      </w:r>
    </w:p>
    <w:p w14:paraId="3E4BB87A" w14:textId="66E64AE4" w:rsidR="00670DA3" w:rsidRDefault="00670DA3" w:rsidP="00670DA3">
      <w:pPr>
        <w:jc w:val="both"/>
      </w:pPr>
      <w:r>
        <w:t xml:space="preserve">Por fim, o Capítulo 4 é dedicado à apresentação de estudos de caso de avaliação de viabilidade financeira, utilizando os parâmetros e conceitos discutidos nos capítulos anteriores. É importante destacar que esses estudos de caso possuem caráter didático e simplificado e não devem ser utilizados diretamente como suporte à tomada de decisão em projetos reais. Seu objetivo é orientar o leitor quanto à estrutura lógica de uma avaliação de viabilidade financeira, servindo como referência inicial para análises mais completas e detalhadas. Nesse capítulo, </w:t>
      </w:r>
      <w:r>
        <w:lastRenderedPageBreak/>
        <w:t>também são introduzidos aspectos práticos de implementação computacional, com destaque para o uso de planilhas eletrônicas (Excel) como ferramenta de apoio à análise.</w:t>
      </w:r>
    </w:p>
    <w:p w14:paraId="3BB0AB7F" w14:textId="09DB078F" w:rsidR="00670DA3" w:rsidRDefault="00670DA3" w:rsidP="00670DA3">
      <w:pPr>
        <w:jc w:val="both"/>
      </w:pPr>
      <w:r>
        <w:t># PRINCÍPIOS DE FINANÇAS</w:t>
      </w:r>
    </w:p>
    <w:p w14:paraId="140252E6" w14:textId="3A7646BC" w:rsidR="00670DA3" w:rsidRDefault="00670DA3" w:rsidP="00670DA3">
      <w:pPr>
        <w:jc w:val="both"/>
      </w:pPr>
      <w:r>
        <w:t xml:space="preserve">A análise de viabilidade financeira constitui um componente indissociável do processo de concepção, avaliação e implementação de projetos de engenharia. Ainda que um empreendimento apresente plena viabilidade técnica, contando com disponibilidade de tecnologias adequadas, domínio dos processos produtivos e conformidade com critérios normativos e operacionais, sua materialização concreta depende, em maior medida, da comprovação de sua viabilidade financeira. </w:t>
      </w:r>
    </w:p>
    <w:p w14:paraId="1636E259" w14:textId="66846A52" w:rsidR="00670DA3" w:rsidRDefault="00670DA3" w:rsidP="00670DA3">
      <w:pPr>
        <w:jc w:val="both"/>
      </w:pPr>
      <w:r>
        <w:t>Nesse sentido, pode-se afirmar que a viabilidade técnica seja condição necessária, mas não condição suficiente para a implementação de um projeto de engenharia, uma vez que a decisão de implementação do empreendimento está condicionada à capacidade desse de remunerar adequadamente o recurso monetário empregado, compatibilizando retorno esperado e respectivo nível de risco.</w:t>
      </w:r>
    </w:p>
    <w:p w14:paraId="66A619D3" w14:textId="00EFB0CC" w:rsidR="00670DA3" w:rsidRDefault="00670DA3" w:rsidP="00670DA3">
      <w:pPr>
        <w:jc w:val="both"/>
      </w:pPr>
      <w:r>
        <w:t xml:space="preserve">É também relevante ressaltar que a análise de viabilidade financeira não deve ser compreendida apenas como um instrumento de verificação </w:t>
      </w:r>
      <w:proofErr w:type="spellStart"/>
      <w:r>
        <w:t>ex</w:t>
      </w:r>
      <w:proofErr w:type="spellEnd"/>
      <w:r>
        <w:t xml:space="preserve"> post da atratividade de um projeto previamente definido. </w:t>
      </w:r>
    </w:p>
    <w:p w14:paraId="75E73612" w14:textId="065E2FE5" w:rsidR="00670DA3" w:rsidRDefault="00670DA3" w:rsidP="00670DA3">
      <w:pPr>
        <w:jc w:val="both"/>
      </w:pPr>
      <w:r>
        <w:t xml:space="preserve">Ao contrário, a análise de viabilidade financeira constitui ferramenta analítica que deve exercer influência direta sobre o processo de tomada de decisão técnica, muitas vezes sendo responsável pela reformulação do próprio projeto de engenharia. Resultados financeiros insatisfatórios podem motivar ajustes na escala de produção, na escolha tecnológica, na configuração operacional ou na estratégia de suprimento de insumos, com o objetivo de aprimorar simultaneamente o desempenho técnico e econômico do empreendimento. </w:t>
      </w:r>
    </w:p>
    <w:p w14:paraId="5043A24A" w14:textId="666016FE" w:rsidR="00670DA3" w:rsidRDefault="00670DA3" w:rsidP="00670DA3">
      <w:pPr>
        <w:jc w:val="both"/>
      </w:pPr>
      <w:r>
        <w:t>Em virtude dessa interação necessária entre decisões de natureza técnica e financeira, consolidou-se na literatura o conceito de engenharia econômica, entendido como o campo do conhecimento dedicado à aplicação sistemática de técnicas de análise financeira à avaliação de projetos de engenharia.</w:t>
      </w:r>
    </w:p>
    <w:p w14:paraId="52D8853F" w14:textId="0F5EF975" w:rsidR="00670DA3" w:rsidRDefault="00670DA3" w:rsidP="00670DA3">
      <w:pPr>
        <w:jc w:val="both"/>
      </w:pPr>
      <w:r>
        <w:t>Adicionalmente, assim como os projetos de engenharia são desenvolvidos com elevado grau de rigor técnico, apoiados em princípios científicos e procedimentos estruturados, as análises financeiras devem ser conduzidas com equivalente rigor metodológico. A avaliação da viabilidade financeira de um projeto não se restringe à estimação simplificada de custos e receitas, mas envolve definição criteriosa de premissas econômicas amplamente reconhecidos na literatura especializada.</w:t>
      </w:r>
    </w:p>
    <w:p w14:paraId="577CB4AD" w14:textId="77777777" w:rsidR="00670DA3" w:rsidRDefault="00670DA3" w:rsidP="00670DA3">
      <w:pPr>
        <w:jc w:val="both"/>
      </w:pPr>
      <w:r>
        <w:lastRenderedPageBreak/>
        <w:t xml:space="preserve">Nesse contexto, o presente capítulo tem por finalidade introduzir de forma sistemática os fundamentos conceituais da análise de viabilidade financeira de projetos de engenharia, apresentando os principais instrumentos utilizados no processo de avaliação financeira de investimentos de projetos de engenharia. </w:t>
      </w:r>
    </w:p>
    <w:p w14:paraId="662C352D" w14:textId="77777777" w:rsidR="00670DA3" w:rsidRDefault="00670DA3" w:rsidP="00670DA3">
      <w:pPr>
        <w:jc w:val="both"/>
      </w:pPr>
    </w:p>
    <w:p w14:paraId="41D7E9C1" w14:textId="4994B64D" w:rsidR="00670DA3" w:rsidRDefault="00670DA3" w:rsidP="00670DA3">
      <w:pPr>
        <w:jc w:val="both"/>
      </w:pPr>
      <w:r>
        <w:t>Por se tratar de uma apostila de caráter aplicado, os conceitos apresentados ao longo deste capítulo na medida do possível serão associados a projetos de produção de hidrogênio de baixo carbono, com ênfase em sistemas baseados na eletrólise da água. Espera-se que, ao término deste capítulo, o leitor esteja capacitado a compreender e aplicar, de forma estruturada e tecnicamente consistente, os conceitos fundamentais da análise de viabilidade financeira no contexto de projetos de produção de hidrogênio de baixo carbono.</w:t>
      </w:r>
    </w:p>
    <w:p w14:paraId="1D85C00C" w14:textId="692275AC" w:rsidR="00670DA3" w:rsidRDefault="00670DA3" w:rsidP="00670DA3">
      <w:pPr>
        <w:jc w:val="both"/>
      </w:pPr>
      <w:r>
        <w:t>## Os X Princípios Básicos</w:t>
      </w:r>
    </w:p>
    <w:p w14:paraId="459B490F" w14:textId="6A092F2F" w:rsidR="00670DA3" w:rsidRDefault="00670DA3" w:rsidP="00670DA3">
      <w:pPr>
        <w:jc w:val="both"/>
      </w:pPr>
      <w:r>
        <w:t>**Princípio 01 - O Dinheiro Muda de Valor ao Longo do Tempo**</w:t>
      </w:r>
    </w:p>
    <w:p w14:paraId="6DD3C8CE" w14:textId="7D6406E5" w:rsidR="00670DA3" w:rsidRDefault="00670DA3" w:rsidP="00670DA3">
      <w:pPr>
        <w:jc w:val="both"/>
      </w:pPr>
      <w:r>
        <w:t xml:space="preserve">A base conceitual da análise de viabilidade financeira de projetos fundamenta-se em um princípio elementar que orienta o conjunto de técnicas desenvolvidas neste capítulo: **o dinheiro muda de valor ao longo do tempo**. </w:t>
      </w:r>
    </w:p>
    <w:p w14:paraId="49DD69D4" w14:textId="016983D2" w:rsidR="00670DA3" w:rsidRDefault="00670DA3" w:rsidP="00670DA3">
      <w:pPr>
        <w:jc w:val="both"/>
      </w:pPr>
      <w:r>
        <w:t xml:space="preserve">Como consequência lógica imediata, tem-se que quantias monetárias expressas em diferentes </w:t>
      </w:r>
      <w:proofErr w:type="gramStart"/>
      <w:r>
        <w:t>períodos de tempo</w:t>
      </w:r>
      <w:proofErr w:type="gramEnd"/>
      <w:r>
        <w:t xml:space="preserve"> não são diretamente comparáveis. Para que tal comparação seja possível, torna-se necessário realizar um procedimento de correção do valor do dinheiro, de modo a expressar todas as quantias monetárias em uma mesma referência temporal.</w:t>
      </w:r>
    </w:p>
    <w:p w14:paraId="682D6378" w14:textId="47F2AFE2" w:rsidR="00670DA3" w:rsidRDefault="00670DA3" w:rsidP="00670DA3">
      <w:pPr>
        <w:jc w:val="both"/>
      </w:pPr>
      <w:r>
        <w:t>Existem diversas razões que explicam por que uma unidade monetária não preserva seu valor ao longo do tempo. Uma das explicações mais recorrentes na literatura econômica é o fenômeno da inflação, compreendido como o aumento generalizado e persistente do nível de preços da economia. À medida que os preços de bens e serviços se elevam ao longo do tempo, o poder de compra associado a uma mesma unidade monetária se reduz. Essa perda de poder de compra constitui, portanto, uma das formas pelas quais se manifesta a alteração do valor do dinheiro ao longo do tempo.</w:t>
      </w:r>
    </w:p>
    <w:p w14:paraId="34214A91" w14:textId="44524B77" w:rsidR="00670DA3" w:rsidRDefault="00670DA3" w:rsidP="00670DA3">
      <w:pPr>
        <w:jc w:val="both"/>
      </w:pPr>
      <w:r>
        <w:t xml:space="preserve">Cumpre ressaltar que, no contexto brasileiro, as taxas de inflação assumem relevância significativa. Na Figura \@ref(fig:ipca), são apresentadas as taxas anuais recentes de inflação, medidas pelo Índice de Preços ao Consumidor Amplo (IPCA), indicador que monitora a variação de preços de uma cesta de bens e serviços representativa do consumo das famílias brasileiras com renda mensal compreendida entre 1 e 40 </w:t>
      </w:r>
      <w:proofErr w:type="gramStart"/>
      <w:r>
        <w:t>salários mínimos</w:t>
      </w:r>
      <w:proofErr w:type="gramEnd"/>
      <w:r>
        <w:t>.</w:t>
      </w:r>
    </w:p>
    <w:p w14:paraId="39024FCE" w14:textId="08254446" w:rsidR="00670DA3" w:rsidRDefault="00670DA3" w:rsidP="00670DA3">
      <w:pPr>
        <w:jc w:val="both"/>
      </w:pPr>
      <w:r w:rsidRPr="00670DA3">
        <w:rPr>
          <w:highlight w:val="yellow"/>
        </w:rPr>
        <w:t>GRÁFICO</w:t>
      </w:r>
    </w:p>
    <w:p w14:paraId="28BC6A2E" w14:textId="77777777" w:rsidR="00670DA3" w:rsidRDefault="00670DA3" w:rsidP="00670DA3">
      <w:pPr>
        <w:jc w:val="both"/>
      </w:pPr>
      <w:r>
        <w:lastRenderedPageBreak/>
        <w:t>A análise desse índice permite interpretar o quanto uma unidade monetária perdeu poder de compra de um período para outro, evidenciando, em números, a variação do valor do dinheiro ao longo do tempo.</w:t>
      </w:r>
    </w:p>
    <w:p w14:paraId="5F42201B" w14:textId="77777777" w:rsidR="00670DA3" w:rsidRDefault="00670DA3" w:rsidP="00670DA3">
      <w:pPr>
        <w:jc w:val="both"/>
      </w:pPr>
    </w:p>
    <w:p w14:paraId="6F9B39EC" w14:textId="18B8DFD0" w:rsidR="00670DA3" w:rsidRDefault="00670DA3" w:rsidP="00670DA3">
      <w:pPr>
        <w:jc w:val="both"/>
      </w:pPr>
      <w:r>
        <w:t xml:space="preserve">Entretanto, a inflação não é a única razão pela qual considera-se a variação do valor do dinheiro ao longo do tempo. Existe também uma explicação de natureza comportamental, relacionada às preferências intertemporais dos agentes econômicos. Em termos gerais, a possibilidade de consumir ou adquirir bens no presente é, </w:t>
      </w:r>
      <w:proofErr w:type="spellStart"/>
      <w:r>
        <w:t>ceteris</w:t>
      </w:r>
      <w:proofErr w:type="spellEnd"/>
      <w:r>
        <w:t xml:space="preserve"> </w:t>
      </w:r>
      <w:proofErr w:type="spellStart"/>
      <w:r>
        <w:t>paribus</w:t>
      </w:r>
      <w:proofErr w:type="spellEnd"/>
      <w:proofErr w:type="gramStart"/>
      <w:r>
        <w:t>^[</w:t>
      </w:r>
      <w:proofErr w:type="gramEnd"/>
      <w:r>
        <w:t xml:space="preserve">Expressão latina que significa “mantidas constantes todas as demais condições”. Esta expressão é muito utilizada em economia para indicar o efeito de uma variável analisada isoladamente, assumindo que todas as demais variáveis permanecem inalteradas], preferível à postergação do consumo para o futuro. </w:t>
      </w:r>
    </w:p>
    <w:p w14:paraId="6777761C" w14:textId="076EF2C0" w:rsidR="00670DA3" w:rsidRDefault="00670DA3" w:rsidP="00670DA3">
      <w:pPr>
        <w:jc w:val="both"/>
      </w:pPr>
      <w:r>
        <w:t>Dessa forma, postergar o uso de uma unidade monetária no presente implica um sacrifício, o qual deve ser compensado por um valor adicional no futuro. Esse mecanismo de compensação está na origem do conceito de remuneração do capital ao longo do tempo.</w:t>
      </w:r>
    </w:p>
    <w:p w14:paraId="732C4D06" w14:textId="46636E77" w:rsidR="00670DA3" w:rsidRDefault="00670DA3" w:rsidP="00670DA3">
      <w:pPr>
        <w:jc w:val="both"/>
      </w:pPr>
      <w:r>
        <w:t>Seja em razão da variação do nível geral de preços — associada à inflação —, seja em decorrência da recompensa exigida pelos agentes econômicos para postergar o consumo — associada às preferências intertemporais —, torna-se necessário corrigir os valores monetários de um fluxo de caixa antes de proceder à sua análise econômica. Essa correção é realizada por meio da aplicação de uma taxa de juros, que permite expressar valores monetários observados em diferentes períodos em uma base temporal comum.</w:t>
      </w:r>
    </w:p>
    <w:p w14:paraId="12B45DF5" w14:textId="6F91A657" w:rsidR="00670DA3" w:rsidRDefault="00670DA3" w:rsidP="00670DA3">
      <w:pPr>
        <w:jc w:val="both"/>
      </w:pPr>
      <w:r>
        <w:t>Deste modo, a partir dessas considerações, emergem alguns dos conceitos fundamentais que compõem o vocabulário básico da análise de viabilidade financeira, os quais serão recorrentes ao longo deste capítulo.</w:t>
      </w:r>
    </w:p>
    <w:p w14:paraId="2C854457" w14:textId="77777777" w:rsidR="00670DA3" w:rsidRDefault="00670DA3" w:rsidP="00670DA3">
      <w:pPr>
        <w:jc w:val="both"/>
      </w:pPr>
      <w:proofErr w:type="gramStart"/>
      <w:r>
        <w:t>:::</w:t>
      </w:r>
      <w:proofErr w:type="gramEnd"/>
      <w:r>
        <w:t xml:space="preserve"> </w:t>
      </w:r>
      <w:proofErr w:type="gramStart"/>
      <w:r>
        <w:t>{.</w:t>
      </w:r>
      <w:proofErr w:type="spellStart"/>
      <w:r>
        <w:t>associacao</w:t>
      </w:r>
      <w:proofErr w:type="spellEnd"/>
      <w:proofErr w:type="gramEnd"/>
      <w:r>
        <w:t>}</w:t>
      </w:r>
    </w:p>
    <w:p w14:paraId="0F9B8A43" w14:textId="77777777" w:rsidR="00670DA3" w:rsidRDefault="00670DA3" w:rsidP="00670DA3">
      <w:pPr>
        <w:jc w:val="both"/>
      </w:pPr>
      <w:r>
        <w:rPr>
          <w:rFonts w:ascii="Segoe UI Emoji" w:hAnsi="Segoe UI Emoji" w:cs="Segoe UI Emoji"/>
        </w:rPr>
        <w:t>⚠️</w:t>
      </w:r>
      <w:r>
        <w:t xml:space="preserve"> **CONCEITO: FLUXO DE CAIXA**  </w:t>
      </w:r>
    </w:p>
    <w:p w14:paraId="19071D24" w14:textId="6AE5B844" w:rsidR="00670DA3" w:rsidRDefault="00670DA3" w:rsidP="00670DA3">
      <w:pPr>
        <w:jc w:val="both"/>
      </w:pPr>
      <w:r>
        <w:t>Conjunto de entradas e saídas de recursos monetários estimadas para diferentes momentos do tempo, associadas ao projeto.</w:t>
      </w:r>
    </w:p>
    <w:p w14:paraId="40F5BFD3" w14:textId="77777777" w:rsidR="00670DA3" w:rsidRDefault="00670DA3" w:rsidP="00670DA3">
      <w:pPr>
        <w:jc w:val="both"/>
      </w:pPr>
      <w:r>
        <w:rPr>
          <w:rFonts w:ascii="Segoe UI Emoji" w:hAnsi="Segoe UI Emoji" w:cs="Segoe UI Emoji"/>
        </w:rPr>
        <w:t>💡</w:t>
      </w:r>
      <w:r>
        <w:t xml:space="preserve"> **ASSOCIAÇÃO DO FLUXO DE CAIXA A PROJETOS DE $H</w:t>
      </w:r>
      <w:proofErr w:type="gramStart"/>
      <w:r>
        <w:t>_{2}$</w:t>
      </w:r>
      <w:proofErr w:type="gramEnd"/>
      <w:r>
        <w:t xml:space="preserve">**  </w:t>
      </w:r>
    </w:p>
    <w:p w14:paraId="2ECCE203" w14:textId="77777777" w:rsidR="00670DA3" w:rsidRDefault="00670DA3" w:rsidP="00670DA3">
      <w:pPr>
        <w:jc w:val="both"/>
      </w:pPr>
      <w:r>
        <w:t xml:space="preserve">às etapas de implantação, operação e desativação </w:t>
      </w:r>
    </w:p>
    <w:p w14:paraId="05A8E54C" w14:textId="77777777" w:rsidR="00670DA3" w:rsidRDefault="00670DA3" w:rsidP="00670DA3">
      <w:pPr>
        <w:jc w:val="both"/>
      </w:pPr>
    </w:p>
    <w:p w14:paraId="3B7136B4" w14:textId="77777777" w:rsidR="00670DA3" w:rsidRDefault="00670DA3" w:rsidP="00670DA3">
      <w:pPr>
        <w:jc w:val="both"/>
      </w:pPr>
      <w:r>
        <w:rPr>
          <w:rFonts w:ascii="Segoe UI Emoji" w:hAnsi="Segoe UI Emoji" w:cs="Segoe UI Emoji"/>
        </w:rPr>
        <w:t>⚠️</w:t>
      </w:r>
      <w:r>
        <w:t xml:space="preserve"> **CONCEITO: VIDA ÚTIL DO PROJETO**  </w:t>
      </w:r>
    </w:p>
    <w:p w14:paraId="74AE24FC" w14:textId="41A75303" w:rsidR="00670DA3" w:rsidRDefault="00670DA3" w:rsidP="00670DA3">
      <w:pPr>
        <w:jc w:val="both"/>
      </w:pPr>
      <w:r>
        <w:lastRenderedPageBreak/>
        <w:t>Conceito associado à duração temporal do fluxo de caixa do empreendimento. Em projetos de engenharia, a vida útil do projeto é, em geral, definida a partir do período de operação do equipamento ou sistema considerado mais relevante para a atividade-fim do empreendimento.</w:t>
      </w:r>
    </w:p>
    <w:p w14:paraId="57CDE084" w14:textId="77777777" w:rsidR="00670DA3" w:rsidRDefault="00670DA3" w:rsidP="00670DA3">
      <w:pPr>
        <w:jc w:val="both"/>
      </w:pPr>
      <w:r>
        <w:rPr>
          <w:rFonts w:ascii="Segoe UI Emoji" w:hAnsi="Segoe UI Emoji" w:cs="Segoe UI Emoji"/>
        </w:rPr>
        <w:t>💡</w:t>
      </w:r>
      <w:r>
        <w:t xml:space="preserve"> **ASSOCIAÇÃO DA VIDA ÚTIL A PROJETOS DE $H</w:t>
      </w:r>
      <w:proofErr w:type="gramStart"/>
      <w:r>
        <w:t>_{2}$</w:t>
      </w:r>
      <w:proofErr w:type="gramEnd"/>
      <w:r>
        <w:t xml:space="preserve">**  </w:t>
      </w:r>
    </w:p>
    <w:p w14:paraId="32E11A13" w14:textId="4B287A39" w:rsidR="00670DA3" w:rsidRDefault="00670DA3" w:rsidP="00670DA3">
      <w:pPr>
        <w:jc w:val="both"/>
      </w:pPr>
      <w:r>
        <w:t>25 ANOS RELACIONADO À VIDA ÚTIL DO ELETROLISADOR</w:t>
      </w:r>
    </w:p>
    <w:p w14:paraId="00B220A0" w14:textId="77777777" w:rsidR="00670DA3" w:rsidRDefault="00670DA3" w:rsidP="00670DA3">
      <w:pPr>
        <w:jc w:val="both"/>
      </w:pPr>
      <w:r>
        <w:rPr>
          <w:rFonts w:ascii="Segoe UI Emoji" w:hAnsi="Segoe UI Emoji" w:cs="Segoe UI Emoji"/>
        </w:rPr>
        <w:t>⚠️</w:t>
      </w:r>
      <w:r>
        <w:t xml:space="preserve"> **CONCEITO: TAXA DE JUROS**  </w:t>
      </w:r>
    </w:p>
    <w:p w14:paraId="4C9A45CF" w14:textId="77777777" w:rsidR="00670DA3" w:rsidRDefault="00670DA3" w:rsidP="00670DA3">
      <w:pPr>
        <w:jc w:val="both"/>
      </w:pPr>
      <w:r>
        <w:t>De forma geral, o juro pode ser entendido como a remuneração associada ao uso de uma quantia monetária em uma operação distinta do consumo imediato. Ao longo deste material, essa remuneração será tratada como remuneração do capital, sendo o capital definido como o valor monetário empregado em uma operação financeira ou em um projeto de investimento. Assim, a taxa de juros pode ser compreendida como um coeficiente que expressa a remuneração do capital ao longo de um determinado intervalo de tempo.</w:t>
      </w:r>
    </w:p>
    <w:p w14:paraId="0CED0289" w14:textId="5574EC11" w:rsidR="00305DA8" w:rsidRDefault="00670DA3" w:rsidP="00670DA3">
      <w:pPr>
        <w:jc w:val="both"/>
      </w:pPr>
      <w:r>
        <w:t>:::</w:t>
      </w:r>
    </w:p>
    <w:sectPr w:rsidR="00305D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B7B"/>
    <w:rsid w:val="00003917"/>
    <w:rsid w:val="00025087"/>
    <w:rsid w:val="0005608C"/>
    <w:rsid w:val="000B18DD"/>
    <w:rsid w:val="000D12C1"/>
    <w:rsid w:val="002355C6"/>
    <w:rsid w:val="002417A7"/>
    <w:rsid w:val="00263641"/>
    <w:rsid w:val="002B3B7A"/>
    <w:rsid w:val="002F2F2C"/>
    <w:rsid w:val="002F517C"/>
    <w:rsid w:val="002F582D"/>
    <w:rsid w:val="00305DA8"/>
    <w:rsid w:val="00356951"/>
    <w:rsid w:val="003615AD"/>
    <w:rsid w:val="004939C8"/>
    <w:rsid w:val="004A13CB"/>
    <w:rsid w:val="004E01BF"/>
    <w:rsid w:val="00521654"/>
    <w:rsid w:val="00522D91"/>
    <w:rsid w:val="00541201"/>
    <w:rsid w:val="00572C45"/>
    <w:rsid w:val="005E47BF"/>
    <w:rsid w:val="0061696F"/>
    <w:rsid w:val="00652E95"/>
    <w:rsid w:val="00670DA3"/>
    <w:rsid w:val="00690FFD"/>
    <w:rsid w:val="006D2882"/>
    <w:rsid w:val="007243EB"/>
    <w:rsid w:val="007308FD"/>
    <w:rsid w:val="00755947"/>
    <w:rsid w:val="00757A26"/>
    <w:rsid w:val="007A3826"/>
    <w:rsid w:val="007E6380"/>
    <w:rsid w:val="0086039A"/>
    <w:rsid w:val="008720B2"/>
    <w:rsid w:val="00913F4B"/>
    <w:rsid w:val="009832A8"/>
    <w:rsid w:val="00AC3060"/>
    <w:rsid w:val="00B21B3C"/>
    <w:rsid w:val="00B34F0F"/>
    <w:rsid w:val="00B41538"/>
    <w:rsid w:val="00B43D2B"/>
    <w:rsid w:val="00BC095D"/>
    <w:rsid w:val="00C5617D"/>
    <w:rsid w:val="00C765E2"/>
    <w:rsid w:val="00CE325A"/>
    <w:rsid w:val="00D57483"/>
    <w:rsid w:val="00DD3FA0"/>
    <w:rsid w:val="00DD6B7B"/>
    <w:rsid w:val="00E34CAF"/>
    <w:rsid w:val="00E759A3"/>
    <w:rsid w:val="00E91286"/>
    <w:rsid w:val="00EA4F90"/>
    <w:rsid w:val="00EC488F"/>
    <w:rsid w:val="00F22BE7"/>
    <w:rsid w:val="00F23FBB"/>
    <w:rsid w:val="00F47366"/>
    <w:rsid w:val="00F63F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8B67"/>
  <w15:chartTrackingRefBased/>
  <w15:docId w15:val="{86BD2FEC-F62D-4B68-BDBB-EAAB9FF95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6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D6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6B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6B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6B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6B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6B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6B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6B7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6B7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D6B7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6B7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6B7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6B7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6B7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6B7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6B7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6B7B"/>
    <w:rPr>
      <w:rFonts w:eastAsiaTheme="majorEastAsia" w:cstheme="majorBidi"/>
      <w:color w:val="272727" w:themeColor="text1" w:themeTint="D8"/>
    </w:rPr>
  </w:style>
  <w:style w:type="paragraph" w:styleId="Ttulo">
    <w:name w:val="Title"/>
    <w:basedOn w:val="Normal"/>
    <w:next w:val="Normal"/>
    <w:link w:val="TtuloChar"/>
    <w:uiPriority w:val="10"/>
    <w:qFormat/>
    <w:rsid w:val="00DD6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6B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6B7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6B7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6B7B"/>
    <w:pPr>
      <w:spacing w:before="160"/>
      <w:jc w:val="center"/>
    </w:pPr>
    <w:rPr>
      <w:i/>
      <w:iCs/>
      <w:color w:val="404040" w:themeColor="text1" w:themeTint="BF"/>
    </w:rPr>
  </w:style>
  <w:style w:type="character" w:customStyle="1" w:styleId="CitaoChar">
    <w:name w:val="Citação Char"/>
    <w:basedOn w:val="Fontepargpadro"/>
    <w:link w:val="Citao"/>
    <w:uiPriority w:val="29"/>
    <w:rsid w:val="00DD6B7B"/>
    <w:rPr>
      <w:i/>
      <w:iCs/>
      <w:color w:val="404040" w:themeColor="text1" w:themeTint="BF"/>
    </w:rPr>
  </w:style>
  <w:style w:type="paragraph" w:styleId="PargrafodaLista">
    <w:name w:val="List Paragraph"/>
    <w:basedOn w:val="Normal"/>
    <w:uiPriority w:val="34"/>
    <w:qFormat/>
    <w:rsid w:val="00DD6B7B"/>
    <w:pPr>
      <w:ind w:left="720"/>
      <w:contextualSpacing/>
    </w:pPr>
  </w:style>
  <w:style w:type="character" w:styleId="nfaseIntensa">
    <w:name w:val="Intense Emphasis"/>
    <w:basedOn w:val="Fontepargpadro"/>
    <w:uiPriority w:val="21"/>
    <w:qFormat/>
    <w:rsid w:val="00DD6B7B"/>
    <w:rPr>
      <w:i/>
      <w:iCs/>
      <w:color w:val="0F4761" w:themeColor="accent1" w:themeShade="BF"/>
    </w:rPr>
  </w:style>
  <w:style w:type="paragraph" w:styleId="CitaoIntensa">
    <w:name w:val="Intense Quote"/>
    <w:basedOn w:val="Normal"/>
    <w:next w:val="Normal"/>
    <w:link w:val="CitaoIntensaChar"/>
    <w:uiPriority w:val="30"/>
    <w:qFormat/>
    <w:rsid w:val="00DD6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6B7B"/>
    <w:rPr>
      <w:i/>
      <w:iCs/>
      <w:color w:val="0F4761" w:themeColor="accent1" w:themeShade="BF"/>
    </w:rPr>
  </w:style>
  <w:style w:type="character" w:styleId="RefernciaIntensa">
    <w:name w:val="Intense Reference"/>
    <w:basedOn w:val="Fontepargpadro"/>
    <w:uiPriority w:val="32"/>
    <w:qFormat/>
    <w:rsid w:val="00DD6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538</TotalTime>
  <Pages>8</Pages>
  <Words>2654</Words>
  <Characters>15265</Characters>
  <Application>Microsoft Office Word</Application>
  <DocSecurity>0</DocSecurity>
  <Lines>277</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Valerio</dc:creator>
  <cp:keywords/>
  <dc:description/>
  <cp:lastModifiedBy>Victor Valerio</cp:lastModifiedBy>
  <cp:revision>51</cp:revision>
  <dcterms:created xsi:type="dcterms:W3CDTF">2026-02-03T17:29:00Z</dcterms:created>
  <dcterms:modified xsi:type="dcterms:W3CDTF">2026-02-10T06:50:00Z</dcterms:modified>
</cp:coreProperties>
</file>