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0D63B" w14:textId="203CE24D" w:rsidR="00A2340C" w:rsidRPr="00A2340C" w:rsidRDefault="0068374F" w:rsidP="00A2340C">
      <w:pPr>
        <w:spacing w:line="360" w:lineRule="auto"/>
        <w:jc w:val="cente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Análise de </w:t>
      </w:r>
      <w:r w:rsidR="00A2340C" w:rsidRPr="00A2340C">
        <w:rPr>
          <w:rFonts w:ascii="Times New Roman" w:hAnsi="Times New Roman" w:cs="Times New Roman"/>
          <w:b/>
          <w:bCs/>
          <w:color w:val="0D0D0D"/>
          <w:sz w:val="24"/>
          <w:szCs w:val="24"/>
          <w:shd w:val="clear" w:color="auto" w:fill="FFFFFF"/>
        </w:rPr>
        <w:t xml:space="preserve">Eficiência na Implementação dos ODS no Brasil: Uma Avaliação dos Municípios por </w:t>
      </w:r>
      <w:r>
        <w:rPr>
          <w:rFonts w:ascii="Times New Roman" w:hAnsi="Times New Roman" w:cs="Times New Roman"/>
          <w:b/>
          <w:bCs/>
          <w:color w:val="0D0D0D"/>
          <w:sz w:val="24"/>
          <w:szCs w:val="24"/>
          <w:shd w:val="clear" w:color="auto" w:fill="FFFFFF"/>
        </w:rPr>
        <w:t>m</w:t>
      </w:r>
      <w:r w:rsidR="00A2340C" w:rsidRPr="00A2340C">
        <w:rPr>
          <w:rFonts w:ascii="Times New Roman" w:hAnsi="Times New Roman" w:cs="Times New Roman"/>
          <w:b/>
          <w:bCs/>
          <w:color w:val="0D0D0D"/>
          <w:sz w:val="24"/>
          <w:szCs w:val="24"/>
          <w:shd w:val="clear" w:color="auto" w:fill="FFFFFF"/>
        </w:rPr>
        <w:t>eio do Modelo DEA CCR</w:t>
      </w:r>
    </w:p>
    <w:p w14:paraId="615181EA" w14:textId="69FD4ACA" w:rsidR="00A2340C" w:rsidRPr="00A56E44" w:rsidRDefault="00A56E44" w:rsidP="002C6DEE">
      <w:pPr>
        <w:spacing w:line="360" w:lineRule="auto"/>
        <w:rPr>
          <w:rFonts w:ascii="Times New Roman" w:hAnsi="Times New Roman" w:cs="Times New Roman"/>
          <w:b/>
          <w:bCs/>
          <w:sz w:val="24"/>
          <w:szCs w:val="24"/>
        </w:rPr>
      </w:pPr>
      <w:r w:rsidRPr="00A56E44">
        <w:rPr>
          <w:rFonts w:ascii="Times New Roman" w:hAnsi="Times New Roman" w:cs="Times New Roman"/>
          <w:b/>
          <w:bCs/>
          <w:sz w:val="24"/>
          <w:szCs w:val="24"/>
        </w:rPr>
        <w:t>Resumo</w:t>
      </w:r>
    </w:p>
    <w:p w14:paraId="6AA014BD" w14:textId="7E175CD6" w:rsidR="00DD44D5" w:rsidRDefault="00DD44D5" w:rsidP="002C6DEE">
      <w:pPr>
        <w:spacing w:line="360" w:lineRule="auto"/>
        <w:rPr>
          <w:rFonts w:ascii="Times New Roman" w:hAnsi="Times New Roman" w:cs="Times New Roman"/>
          <w:b/>
          <w:bCs/>
          <w:sz w:val="24"/>
          <w:szCs w:val="24"/>
        </w:rPr>
      </w:pPr>
      <w:r>
        <w:rPr>
          <w:rFonts w:ascii="Times New Roman" w:hAnsi="Times New Roman" w:cs="Times New Roman"/>
          <w:b/>
          <w:bCs/>
          <w:sz w:val="24"/>
          <w:szCs w:val="24"/>
        </w:rPr>
        <w:t>1. Introdução</w:t>
      </w:r>
    </w:p>
    <w:p w14:paraId="74DCB07B" w14:textId="77777777" w:rsidR="005C5E08" w:rsidRPr="00140F1E" w:rsidRDefault="005C5E08" w:rsidP="005C5E08">
      <w:pPr>
        <w:spacing w:after="120" w:line="360" w:lineRule="auto"/>
        <w:ind w:firstLine="708"/>
        <w:jc w:val="both"/>
        <w:rPr>
          <w:rFonts w:ascii="Times New Roman" w:hAnsi="Times New Roman" w:cs="Times New Roman"/>
          <w:sz w:val="24"/>
          <w:szCs w:val="24"/>
        </w:rPr>
      </w:pPr>
      <w:r w:rsidRPr="00140F1E">
        <w:rPr>
          <w:rFonts w:ascii="Times New Roman" w:hAnsi="Times New Roman" w:cs="Times New Roman"/>
          <w:sz w:val="24"/>
          <w:szCs w:val="24"/>
        </w:rPr>
        <w:t xml:space="preserve">O desenvolvimento sustentável é uma meta global cada vez mais urgente, especialmente em países como o Brasil, marcado por uma </w:t>
      </w:r>
      <w:r>
        <w:rPr>
          <w:rFonts w:ascii="Times New Roman" w:hAnsi="Times New Roman" w:cs="Times New Roman"/>
          <w:sz w:val="24"/>
          <w:szCs w:val="24"/>
        </w:rPr>
        <w:t xml:space="preserve">grande </w:t>
      </w:r>
      <w:r w:rsidRPr="00140F1E">
        <w:rPr>
          <w:rFonts w:ascii="Times New Roman" w:hAnsi="Times New Roman" w:cs="Times New Roman"/>
          <w:sz w:val="24"/>
          <w:szCs w:val="24"/>
        </w:rPr>
        <w:t>diversidade socioeconômica e ambiental, mas também por desafios persistentes de desigualdade, pobreza e degradação ambiental. Dentro desse contexto, a compreensão do progresso em direção aos Objetivos de Desenvolvimento Sustentável (ODS) em nível local torna-se crucial para informar políticas públicas e estratégias de desenvolvimento que promovam um futuro equilibrado e próspero para todas as comunidades.</w:t>
      </w:r>
    </w:p>
    <w:p w14:paraId="516B5299" w14:textId="7DB2FAE5" w:rsidR="005C5E08" w:rsidRPr="005C5E08" w:rsidRDefault="005C5E08" w:rsidP="005C5E08">
      <w:pPr>
        <w:spacing w:after="120" w:line="360" w:lineRule="auto"/>
        <w:ind w:firstLine="708"/>
        <w:jc w:val="both"/>
        <w:rPr>
          <w:rFonts w:ascii="Times New Roman" w:hAnsi="Times New Roman" w:cs="Times New Roman"/>
          <w:sz w:val="24"/>
          <w:szCs w:val="24"/>
        </w:rPr>
      </w:pPr>
      <w:r w:rsidRPr="005C5E08">
        <w:rPr>
          <w:rFonts w:ascii="Times New Roman" w:hAnsi="Times New Roman" w:cs="Times New Roman"/>
          <w:sz w:val="24"/>
          <w:szCs w:val="24"/>
        </w:rPr>
        <w:t>Na última década, os ODS têm se consolidado como um marco importante para orientar as políticas de desenvolvimento em todo o mundo. Os ODS foram estabelecidos pela Organização das Nações Unidas (ONU), que de acordo com Leal Filho et al. (2023), tem desempenhado um papel fundamental nos debates e nas ações para o desenvolvimento sustentável.</w:t>
      </w:r>
    </w:p>
    <w:p w14:paraId="1D4C916C" w14:textId="25EEC556" w:rsidR="005C5E08" w:rsidRDefault="005C5E08" w:rsidP="005C5E08">
      <w:pPr>
        <w:spacing w:after="120" w:line="360" w:lineRule="auto"/>
        <w:ind w:firstLine="708"/>
        <w:jc w:val="both"/>
        <w:rPr>
          <w:rFonts w:ascii="Times New Roman" w:hAnsi="Times New Roman" w:cs="Times New Roman"/>
          <w:sz w:val="24"/>
          <w:szCs w:val="24"/>
        </w:rPr>
      </w:pPr>
      <w:r w:rsidRPr="005C5E08">
        <w:rPr>
          <w:rFonts w:ascii="Times New Roman" w:hAnsi="Times New Roman" w:cs="Times New Roman"/>
          <w:sz w:val="24"/>
          <w:szCs w:val="24"/>
        </w:rPr>
        <w:t xml:space="preserve">A proposta da ONU é de 17 </w:t>
      </w:r>
      <w:proofErr w:type="spellStart"/>
      <w:r w:rsidRPr="005C5E08">
        <w:rPr>
          <w:rFonts w:ascii="Times New Roman" w:hAnsi="Times New Roman" w:cs="Times New Roman"/>
          <w:sz w:val="24"/>
          <w:szCs w:val="24"/>
        </w:rPr>
        <w:t>ODSs</w:t>
      </w:r>
      <w:proofErr w:type="spellEnd"/>
      <w:r w:rsidRPr="005C5E08">
        <w:rPr>
          <w:rFonts w:ascii="Times New Roman" w:hAnsi="Times New Roman" w:cs="Times New Roman"/>
          <w:sz w:val="24"/>
          <w:szCs w:val="24"/>
        </w:rPr>
        <w:t xml:space="preserve"> os quais são desdobrados em 169 metas que incluem uma ampla gama de questões relacionadas ao desenvolvimento sustentável (Leal Filho et al., 2023), incluindo erradicação da pobreza, saúde, educação, igualdade de gênero, energia limpa, crescimento econômico e proteção ambiental. No entanto, para que esses objetivos sejam alcançados de forma eficaz, é essencial compreender como eles se manifestam em nível local e como os recursos disponíveis são alocados para sua consecução.</w:t>
      </w:r>
      <w:r>
        <w:rPr>
          <w:rFonts w:ascii="Times New Roman" w:hAnsi="Times New Roman" w:cs="Times New Roman"/>
          <w:sz w:val="24"/>
          <w:szCs w:val="24"/>
        </w:rPr>
        <w:t xml:space="preserve"> </w:t>
      </w:r>
    </w:p>
    <w:p w14:paraId="1D73ADE9" w14:textId="77777777" w:rsidR="005C5E08" w:rsidRDefault="005C5E08" w:rsidP="005C5E08">
      <w:pPr>
        <w:spacing w:after="120" w:line="360" w:lineRule="auto"/>
        <w:ind w:firstLine="708"/>
        <w:jc w:val="both"/>
        <w:rPr>
          <w:rFonts w:ascii="Times New Roman" w:hAnsi="Times New Roman" w:cs="Times New Roman"/>
          <w:sz w:val="24"/>
          <w:szCs w:val="24"/>
        </w:rPr>
      </w:pPr>
      <w:r w:rsidRPr="005C5E08">
        <w:rPr>
          <w:rFonts w:ascii="Times New Roman" w:hAnsi="Times New Roman" w:cs="Times New Roman"/>
          <w:sz w:val="24"/>
          <w:szCs w:val="24"/>
        </w:rPr>
        <w:t>Desde sua criação em 2015, os 17 ODS foram reconhecidos mutuamente por todos os estados-membros da ONU como a representação do desenvolvimento sustentável. Assim, devem ser incorporados como a definição básica de desenvolvimento sustentável em metodologias de avaliação de sustentabilidade (</w:t>
      </w:r>
      <w:proofErr w:type="spellStart"/>
      <w:r w:rsidRPr="005C5E08">
        <w:rPr>
          <w:rFonts w:ascii="Times New Roman" w:hAnsi="Times New Roman" w:cs="Times New Roman"/>
          <w:sz w:val="24"/>
          <w:szCs w:val="24"/>
        </w:rPr>
        <w:t>Eberling</w:t>
      </w:r>
      <w:proofErr w:type="spellEnd"/>
      <w:r w:rsidRPr="005C5E08">
        <w:rPr>
          <w:rFonts w:ascii="Times New Roman" w:hAnsi="Times New Roman" w:cs="Times New Roman"/>
          <w:sz w:val="24"/>
          <w:szCs w:val="24"/>
        </w:rPr>
        <w:t xml:space="preserve">; </w:t>
      </w:r>
      <w:proofErr w:type="spellStart"/>
      <w:r w:rsidRPr="005C5E08">
        <w:rPr>
          <w:rFonts w:ascii="Times New Roman" w:hAnsi="Times New Roman" w:cs="Times New Roman"/>
          <w:sz w:val="24"/>
          <w:szCs w:val="24"/>
        </w:rPr>
        <w:t>Langkau</w:t>
      </w:r>
      <w:proofErr w:type="spellEnd"/>
      <w:r w:rsidRPr="005C5E08">
        <w:rPr>
          <w:rFonts w:ascii="Times New Roman" w:hAnsi="Times New Roman" w:cs="Times New Roman"/>
          <w:sz w:val="24"/>
          <w:szCs w:val="24"/>
        </w:rPr>
        <w:t>, 2023).</w:t>
      </w:r>
    </w:p>
    <w:p w14:paraId="79E376AB" w14:textId="3D20A926" w:rsidR="005C5E08" w:rsidRDefault="005C5E08" w:rsidP="005C5E08">
      <w:pPr>
        <w:spacing w:after="120" w:line="360" w:lineRule="auto"/>
        <w:ind w:firstLine="708"/>
        <w:jc w:val="both"/>
        <w:rPr>
          <w:rFonts w:ascii="Times New Roman" w:hAnsi="Times New Roman" w:cs="Times New Roman"/>
          <w:sz w:val="24"/>
          <w:szCs w:val="24"/>
        </w:rPr>
      </w:pPr>
      <w:r w:rsidRPr="005C5E08">
        <w:rPr>
          <w:rFonts w:ascii="Times New Roman" w:hAnsi="Times New Roman" w:cs="Times New Roman"/>
          <w:sz w:val="24"/>
          <w:szCs w:val="24"/>
        </w:rPr>
        <w:t xml:space="preserve">Os esforços nacionais para a atingir os </w:t>
      </w:r>
      <w:proofErr w:type="spellStart"/>
      <w:r w:rsidRPr="005C5E08">
        <w:rPr>
          <w:rFonts w:ascii="Times New Roman" w:hAnsi="Times New Roman" w:cs="Times New Roman"/>
          <w:sz w:val="24"/>
          <w:szCs w:val="24"/>
        </w:rPr>
        <w:t>ODSs</w:t>
      </w:r>
      <w:proofErr w:type="spellEnd"/>
      <w:r w:rsidRPr="005C5E08">
        <w:rPr>
          <w:rFonts w:ascii="Times New Roman" w:hAnsi="Times New Roman" w:cs="Times New Roman"/>
          <w:sz w:val="24"/>
          <w:szCs w:val="24"/>
        </w:rPr>
        <w:t xml:space="preserve"> resultam a superação de vários obstáculos, como a priorização de objetivos e metas, a adaptação de estratégias e políticas do país para que estejam em conformidade com os </w:t>
      </w:r>
      <w:proofErr w:type="spellStart"/>
      <w:r w:rsidRPr="005C5E08">
        <w:rPr>
          <w:rFonts w:ascii="Times New Roman" w:hAnsi="Times New Roman" w:cs="Times New Roman"/>
          <w:sz w:val="24"/>
          <w:szCs w:val="24"/>
        </w:rPr>
        <w:t>ODSs</w:t>
      </w:r>
      <w:proofErr w:type="spellEnd"/>
      <w:r w:rsidRPr="005C5E08">
        <w:rPr>
          <w:rFonts w:ascii="Times New Roman" w:hAnsi="Times New Roman" w:cs="Times New Roman"/>
          <w:sz w:val="24"/>
          <w:szCs w:val="24"/>
        </w:rPr>
        <w:t>, o gerenciamento de compensações e a capitalização das sinergias entre os objetivos (</w:t>
      </w:r>
      <w:proofErr w:type="spellStart"/>
      <w:r w:rsidRPr="005C5E08">
        <w:rPr>
          <w:rFonts w:ascii="Times New Roman" w:hAnsi="Times New Roman" w:cs="Times New Roman"/>
          <w:sz w:val="24"/>
          <w:szCs w:val="24"/>
        </w:rPr>
        <w:t>Aly</w:t>
      </w:r>
      <w:proofErr w:type="spellEnd"/>
      <w:r w:rsidRPr="005C5E08">
        <w:rPr>
          <w:rFonts w:ascii="Times New Roman" w:hAnsi="Times New Roman" w:cs="Times New Roman"/>
          <w:sz w:val="24"/>
          <w:szCs w:val="24"/>
        </w:rPr>
        <w:t xml:space="preserve"> et al., 2022).</w:t>
      </w:r>
    </w:p>
    <w:p w14:paraId="2BEBBF7C" w14:textId="77777777" w:rsidR="004B5734" w:rsidRPr="004B5734" w:rsidRDefault="004B5734" w:rsidP="005C5E08">
      <w:pPr>
        <w:spacing w:after="120" w:line="360" w:lineRule="auto"/>
        <w:ind w:firstLine="708"/>
        <w:jc w:val="both"/>
        <w:rPr>
          <w:rFonts w:ascii="Times New Roman" w:hAnsi="Times New Roman" w:cs="Times New Roman"/>
          <w:sz w:val="24"/>
          <w:szCs w:val="24"/>
        </w:rPr>
      </w:pPr>
      <w:r w:rsidRPr="004B5734">
        <w:rPr>
          <w:rFonts w:ascii="Times New Roman" w:hAnsi="Times New Roman" w:cs="Times New Roman"/>
          <w:sz w:val="24"/>
          <w:szCs w:val="24"/>
        </w:rPr>
        <w:lastRenderedPageBreak/>
        <w:t xml:space="preserve">O Brasil mostrou ter uma comunidade de pesquisa bem estabelecida que desenvolveu e incentivou discussões sobre os </w:t>
      </w:r>
      <w:proofErr w:type="spellStart"/>
      <w:r w:rsidRPr="004B5734">
        <w:rPr>
          <w:rFonts w:ascii="Times New Roman" w:hAnsi="Times New Roman" w:cs="Times New Roman"/>
          <w:sz w:val="24"/>
          <w:szCs w:val="24"/>
        </w:rPr>
        <w:t>ODSs</w:t>
      </w:r>
      <w:proofErr w:type="spellEnd"/>
      <w:r w:rsidRPr="004B5734">
        <w:rPr>
          <w:rFonts w:ascii="Times New Roman" w:hAnsi="Times New Roman" w:cs="Times New Roman"/>
          <w:sz w:val="24"/>
          <w:szCs w:val="24"/>
        </w:rPr>
        <w:t xml:space="preserve">. A relevância do Brasil como fonte de contribuições científicas nessa área pode estar ligada ao fato de que a relação entre educação e sustentabilidade é um requisito presente em sua Constituição Federal. Isso levou as instituições de ensino a </w:t>
      </w:r>
      <w:proofErr w:type="gramStart"/>
      <w:r w:rsidRPr="004B5734">
        <w:rPr>
          <w:rFonts w:ascii="Times New Roman" w:hAnsi="Times New Roman" w:cs="Times New Roman"/>
          <w:sz w:val="24"/>
          <w:szCs w:val="24"/>
        </w:rPr>
        <w:t>adaptar</w:t>
      </w:r>
      <w:proofErr w:type="gramEnd"/>
      <w:r w:rsidRPr="004B5734">
        <w:rPr>
          <w:rFonts w:ascii="Times New Roman" w:hAnsi="Times New Roman" w:cs="Times New Roman"/>
          <w:sz w:val="24"/>
          <w:szCs w:val="24"/>
        </w:rPr>
        <w:t xml:space="preserve"> seus processos internos, infraestrutura e cultura organizacional, implementando práticas em busca da sustentabilidade (</w:t>
      </w:r>
      <w:proofErr w:type="spellStart"/>
      <w:r w:rsidRPr="004B5734">
        <w:rPr>
          <w:rFonts w:ascii="Times New Roman" w:hAnsi="Times New Roman" w:cs="Times New Roman"/>
          <w:sz w:val="24"/>
          <w:szCs w:val="24"/>
        </w:rPr>
        <w:t>Pedraja</w:t>
      </w:r>
      <w:proofErr w:type="spellEnd"/>
      <w:r w:rsidRPr="004B5734">
        <w:rPr>
          <w:rFonts w:ascii="Times New Roman" w:hAnsi="Times New Roman" w:cs="Times New Roman"/>
          <w:sz w:val="24"/>
          <w:szCs w:val="24"/>
        </w:rPr>
        <w:t>-Rejas et al., 2023).</w:t>
      </w:r>
    </w:p>
    <w:p w14:paraId="5DD97BDE" w14:textId="56B2A5D3" w:rsidR="005C5E08" w:rsidRPr="00140F1E" w:rsidRDefault="005C5E08" w:rsidP="005C5E08">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Nesse sentido, e</w:t>
      </w:r>
      <w:r w:rsidRPr="00140F1E">
        <w:rPr>
          <w:rFonts w:ascii="Times New Roman" w:hAnsi="Times New Roman" w:cs="Times New Roman"/>
          <w:sz w:val="24"/>
          <w:szCs w:val="24"/>
        </w:rPr>
        <w:t xml:space="preserve">ste estudo se propõe a investigar o progresso dos municípios brasileiros em relação aos ODS, utilizando uma abordagem metodológica que combina análise de dados orçamentários municipais, indicadores de desenvolvimento sustentável e o modelo Data </w:t>
      </w:r>
      <w:proofErr w:type="spellStart"/>
      <w:r w:rsidRPr="00140F1E">
        <w:rPr>
          <w:rFonts w:ascii="Times New Roman" w:hAnsi="Times New Roman" w:cs="Times New Roman"/>
          <w:sz w:val="24"/>
          <w:szCs w:val="24"/>
        </w:rPr>
        <w:t>Envelopment</w:t>
      </w:r>
      <w:proofErr w:type="spellEnd"/>
      <w:r w:rsidRPr="00140F1E">
        <w:rPr>
          <w:rFonts w:ascii="Times New Roman" w:hAnsi="Times New Roman" w:cs="Times New Roman"/>
          <w:sz w:val="24"/>
          <w:szCs w:val="24"/>
        </w:rPr>
        <w:t xml:space="preserve"> </w:t>
      </w:r>
      <w:proofErr w:type="spellStart"/>
      <w:r w:rsidRPr="00140F1E">
        <w:rPr>
          <w:rFonts w:ascii="Times New Roman" w:hAnsi="Times New Roman" w:cs="Times New Roman"/>
          <w:sz w:val="24"/>
          <w:szCs w:val="24"/>
        </w:rPr>
        <w:t>Ana</w:t>
      </w:r>
      <w:r>
        <w:rPr>
          <w:rFonts w:ascii="Times New Roman" w:hAnsi="Times New Roman" w:cs="Times New Roman"/>
          <w:sz w:val="24"/>
          <w:szCs w:val="24"/>
        </w:rPr>
        <w:t>lysis</w:t>
      </w:r>
      <w:proofErr w:type="spellEnd"/>
      <w:r>
        <w:rPr>
          <w:rFonts w:ascii="Times New Roman" w:hAnsi="Times New Roman" w:cs="Times New Roman"/>
          <w:sz w:val="24"/>
          <w:szCs w:val="24"/>
        </w:rPr>
        <w:t xml:space="preserve"> (DEA) </w:t>
      </w:r>
      <w:r w:rsidR="004B5734">
        <w:rPr>
          <w:rFonts w:ascii="Times New Roman" w:hAnsi="Times New Roman" w:cs="Times New Roman"/>
          <w:sz w:val="24"/>
          <w:szCs w:val="24"/>
        </w:rPr>
        <w:t>(</w:t>
      </w:r>
      <w:proofErr w:type="spellStart"/>
      <w:r w:rsidRPr="004B5734">
        <w:rPr>
          <w:rFonts w:ascii="Times New Roman" w:hAnsi="Times New Roman" w:cs="Times New Roman"/>
          <w:sz w:val="24"/>
          <w:szCs w:val="24"/>
        </w:rPr>
        <w:t>Charnes</w:t>
      </w:r>
      <w:proofErr w:type="spellEnd"/>
      <w:r w:rsidRPr="004B5734">
        <w:rPr>
          <w:rFonts w:ascii="Times New Roman" w:hAnsi="Times New Roman" w:cs="Times New Roman"/>
          <w:sz w:val="24"/>
          <w:szCs w:val="24"/>
        </w:rPr>
        <w:t xml:space="preserve"> et al.</w:t>
      </w:r>
      <w:r w:rsidR="004B5734" w:rsidRPr="004B5734">
        <w:rPr>
          <w:rFonts w:ascii="Times New Roman" w:hAnsi="Times New Roman" w:cs="Times New Roman"/>
          <w:sz w:val="24"/>
          <w:szCs w:val="24"/>
        </w:rPr>
        <w:t xml:space="preserve">, </w:t>
      </w:r>
      <w:r w:rsidRPr="004B5734">
        <w:rPr>
          <w:rFonts w:ascii="Times New Roman" w:hAnsi="Times New Roman" w:cs="Times New Roman"/>
          <w:sz w:val="24"/>
          <w:szCs w:val="24"/>
        </w:rPr>
        <w:t>1978).</w:t>
      </w:r>
      <w:r>
        <w:rPr>
          <w:rFonts w:ascii="Times New Roman" w:hAnsi="Times New Roman" w:cs="Times New Roman"/>
          <w:sz w:val="24"/>
          <w:szCs w:val="24"/>
        </w:rPr>
        <w:t xml:space="preserve"> </w:t>
      </w:r>
      <w:r w:rsidRPr="00140F1E">
        <w:rPr>
          <w:rFonts w:ascii="Times New Roman" w:hAnsi="Times New Roman" w:cs="Times New Roman"/>
          <w:sz w:val="24"/>
          <w:szCs w:val="24"/>
        </w:rPr>
        <w:t>O objetivo é oferecer uma análise detalhada e contextualizada do desempenho dos municípios brasileiros em relação aos ODS, identificando padrões de eficiência, desafios e oportunidades para o avanço do desenvolvimento sustentável em diferentes regiões do país.</w:t>
      </w:r>
    </w:p>
    <w:p w14:paraId="7B71E5FC" w14:textId="77777777" w:rsidR="005C5E08" w:rsidRPr="00140F1E" w:rsidRDefault="005C5E08" w:rsidP="005C5E08">
      <w:pPr>
        <w:spacing w:after="120" w:line="360" w:lineRule="auto"/>
        <w:ind w:firstLine="708"/>
        <w:jc w:val="both"/>
        <w:rPr>
          <w:rFonts w:ascii="Times New Roman" w:hAnsi="Times New Roman" w:cs="Times New Roman"/>
          <w:sz w:val="24"/>
          <w:szCs w:val="24"/>
        </w:rPr>
      </w:pPr>
      <w:r w:rsidRPr="00140F1E">
        <w:rPr>
          <w:rFonts w:ascii="Times New Roman" w:hAnsi="Times New Roman" w:cs="Times New Roman"/>
          <w:sz w:val="24"/>
          <w:szCs w:val="24"/>
        </w:rPr>
        <w:t>A metodologia adotada neste estudo se baseia na análise detalhada dos orçamentos municipais, que fornecem insights valiosos sobre a alocação de recursos em diferentes setores e áreas de atuação. Por meio da utilização de dados do Sistema de Informações Contábeis e Fiscais do Setor Público Brasileiro (SICONFI</w:t>
      </w:r>
      <w:r>
        <w:rPr>
          <w:rFonts w:ascii="Times New Roman" w:hAnsi="Times New Roman" w:cs="Times New Roman"/>
          <w:sz w:val="24"/>
          <w:szCs w:val="24"/>
        </w:rPr>
        <w:t>, 2024</w:t>
      </w:r>
      <w:r w:rsidRPr="00140F1E">
        <w:rPr>
          <w:rFonts w:ascii="Times New Roman" w:hAnsi="Times New Roman" w:cs="Times New Roman"/>
          <w:sz w:val="24"/>
          <w:szCs w:val="24"/>
        </w:rPr>
        <w:t>) e do Instituto Brasileiro de Geografia e Estatística (IBGE</w:t>
      </w:r>
      <w:r>
        <w:rPr>
          <w:rFonts w:ascii="Times New Roman" w:hAnsi="Times New Roman" w:cs="Times New Roman"/>
          <w:sz w:val="24"/>
          <w:szCs w:val="24"/>
        </w:rPr>
        <w:t>, 2024</w:t>
      </w:r>
      <w:r w:rsidRPr="00140F1E">
        <w:rPr>
          <w:rFonts w:ascii="Times New Roman" w:hAnsi="Times New Roman" w:cs="Times New Roman"/>
          <w:sz w:val="24"/>
          <w:szCs w:val="24"/>
        </w:rPr>
        <w:t>), é possível analisar como os recursos municipais são distribuídos entre diferentes áreas, como saúde, educação, transporte, meio ambiente e assistência social</w:t>
      </w:r>
      <w:r>
        <w:rPr>
          <w:rFonts w:ascii="Times New Roman" w:hAnsi="Times New Roman" w:cs="Times New Roman"/>
          <w:sz w:val="24"/>
          <w:szCs w:val="24"/>
        </w:rPr>
        <w:t xml:space="preserve"> entre outras</w:t>
      </w:r>
      <w:r w:rsidRPr="00140F1E">
        <w:rPr>
          <w:rFonts w:ascii="Times New Roman" w:hAnsi="Times New Roman" w:cs="Times New Roman"/>
          <w:sz w:val="24"/>
          <w:szCs w:val="24"/>
        </w:rPr>
        <w:t>.</w:t>
      </w:r>
    </w:p>
    <w:p w14:paraId="5B90FBCB" w14:textId="77777777" w:rsidR="005C5E08" w:rsidRPr="00140F1E" w:rsidRDefault="005C5E08" w:rsidP="005C5E08">
      <w:pPr>
        <w:spacing w:after="120" w:line="360" w:lineRule="auto"/>
        <w:ind w:firstLine="708"/>
        <w:jc w:val="both"/>
        <w:rPr>
          <w:rFonts w:ascii="Times New Roman" w:hAnsi="Times New Roman" w:cs="Times New Roman"/>
          <w:sz w:val="24"/>
          <w:szCs w:val="24"/>
        </w:rPr>
      </w:pPr>
      <w:r w:rsidRPr="00140F1E">
        <w:rPr>
          <w:rFonts w:ascii="Times New Roman" w:hAnsi="Times New Roman" w:cs="Times New Roman"/>
          <w:sz w:val="24"/>
          <w:szCs w:val="24"/>
        </w:rPr>
        <w:t>Além disso, este estudo incorpora indicadores de desenvolvimento sustentável, como o Índice de Desenvolvimento Sustentável das Cidades (IDSC-BR</w:t>
      </w:r>
      <w:r>
        <w:rPr>
          <w:rFonts w:ascii="Times New Roman" w:hAnsi="Times New Roman" w:cs="Times New Roman"/>
          <w:sz w:val="24"/>
          <w:szCs w:val="24"/>
        </w:rPr>
        <w:t>, 2024</w:t>
      </w:r>
      <w:r w:rsidRPr="00140F1E">
        <w:rPr>
          <w:rFonts w:ascii="Times New Roman" w:hAnsi="Times New Roman" w:cs="Times New Roman"/>
          <w:sz w:val="24"/>
          <w:szCs w:val="24"/>
        </w:rPr>
        <w:t>), que oferecem uma visão abrangente do progresso em direção aos ODS em nível local. Esses indicadores são fundamentais para avaliar o desempenho dos municípios em áreas-chave, como erradicação da pobreza, saúde, educação, igualdade de gênero, energia limpa e proteção ambiental.</w:t>
      </w:r>
    </w:p>
    <w:p w14:paraId="64186F57" w14:textId="6E4E2C05" w:rsidR="005C5E08" w:rsidRDefault="005C5E08" w:rsidP="005C5E08">
      <w:pPr>
        <w:spacing w:after="120" w:line="360" w:lineRule="auto"/>
        <w:ind w:firstLine="708"/>
        <w:jc w:val="both"/>
        <w:rPr>
          <w:rFonts w:ascii="Times New Roman" w:hAnsi="Times New Roman" w:cs="Times New Roman"/>
          <w:sz w:val="24"/>
          <w:szCs w:val="24"/>
        </w:rPr>
      </w:pPr>
      <w:r w:rsidRPr="004B5734">
        <w:rPr>
          <w:rFonts w:ascii="Times New Roman" w:hAnsi="Times New Roman" w:cs="Times New Roman"/>
          <w:sz w:val="24"/>
          <w:szCs w:val="24"/>
        </w:rPr>
        <w:t xml:space="preserve">A análise dos dados é complementada pela aplicação do modelo DEA CCR, uma técnica amplamente utilizada para avaliar a eficiência relativa das unidades de decisão (Silva et al., 2024), neste caso, os municípios brasileiros. Por meio dessa abordagem, é possível identificar quais municípios estão utilizando seus recursos de forma mais eficiente para alcançar os resultados desejados em relação aos ODS, bem como identificar </w:t>
      </w:r>
      <w:r w:rsidRPr="004B5734">
        <w:rPr>
          <w:rFonts w:ascii="Times New Roman" w:hAnsi="Times New Roman" w:cs="Times New Roman"/>
          <w:sz w:val="24"/>
          <w:szCs w:val="24"/>
        </w:rPr>
        <w:lastRenderedPageBreak/>
        <w:t>melhores práticas e estratégias que podem ser replicadas em outros lugares</w:t>
      </w:r>
      <w:r w:rsidR="004B5734" w:rsidRPr="004B5734">
        <w:rPr>
          <w:rFonts w:ascii="Times New Roman" w:hAnsi="Times New Roman" w:cs="Times New Roman"/>
          <w:sz w:val="24"/>
          <w:szCs w:val="24"/>
        </w:rPr>
        <w:t>.</w:t>
      </w:r>
      <w:r w:rsidRPr="004B5734">
        <w:rPr>
          <w:rFonts w:ascii="Times New Roman" w:hAnsi="Times New Roman" w:cs="Times New Roman"/>
          <w:sz w:val="24"/>
          <w:szCs w:val="24"/>
        </w:rPr>
        <w:t xml:space="preserve"> </w:t>
      </w:r>
      <w:r w:rsidR="004B5734" w:rsidRPr="004B5734">
        <w:rPr>
          <w:rFonts w:ascii="Times New Roman" w:hAnsi="Times New Roman" w:cs="Times New Roman"/>
          <w:sz w:val="24"/>
          <w:szCs w:val="24"/>
        </w:rPr>
        <w:t xml:space="preserve">Nesse sentido, </w:t>
      </w:r>
      <w:r w:rsidRPr="004B5734">
        <w:rPr>
          <w:rFonts w:ascii="Times New Roman" w:hAnsi="Times New Roman" w:cs="Times New Roman"/>
          <w:sz w:val="24"/>
          <w:szCs w:val="24"/>
        </w:rPr>
        <w:t xml:space="preserve">de acordo com Zhou et al. (2018), modelos DEA </w:t>
      </w:r>
      <w:r w:rsidR="004B5734" w:rsidRPr="004B5734">
        <w:rPr>
          <w:rFonts w:ascii="Times New Roman" w:hAnsi="Times New Roman" w:cs="Times New Roman"/>
          <w:sz w:val="24"/>
          <w:szCs w:val="24"/>
        </w:rPr>
        <w:t>podem ser aplicados em diversos campos de pesquisa, entre eles as</w:t>
      </w:r>
      <w:r w:rsidRPr="004B5734">
        <w:rPr>
          <w:rFonts w:ascii="Times New Roman" w:hAnsi="Times New Roman" w:cs="Times New Roman"/>
          <w:sz w:val="24"/>
          <w:szCs w:val="24"/>
        </w:rPr>
        <w:t xml:space="preserve"> pesquisas sobre sustentabilidade.</w:t>
      </w:r>
    </w:p>
    <w:p w14:paraId="18743938" w14:textId="77777777" w:rsidR="005C5E08" w:rsidRPr="00140F1E" w:rsidRDefault="005C5E08" w:rsidP="005C5E08">
      <w:pPr>
        <w:spacing w:after="120" w:line="360" w:lineRule="auto"/>
        <w:ind w:firstLine="708"/>
        <w:jc w:val="both"/>
        <w:rPr>
          <w:rFonts w:ascii="Times New Roman" w:hAnsi="Times New Roman" w:cs="Times New Roman"/>
          <w:sz w:val="24"/>
          <w:szCs w:val="24"/>
        </w:rPr>
      </w:pPr>
      <w:r w:rsidRPr="00140F1E">
        <w:rPr>
          <w:rFonts w:ascii="Times New Roman" w:hAnsi="Times New Roman" w:cs="Times New Roman"/>
          <w:sz w:val="24"/>
          <w:szCs w:val="24"/>
        </w:rPr>
        <w:t>Ao investigar o progresso dos municípios brasileiros em relação aos ODS, este estudo contribui para uma compreensão mais profunda dos desafios e oportunidades para o desenvolvimento sustentável em nível local. Os insights gerados por esta pesquisa têm o potencial de informar políticas públicas e estratégias de desenvolvimento que promovam um progresso mais equitativo e sustentável em todo o Brasil, contribuindo assim para a realização dos ODS e para a construção de um futuro mais próspero para todas as comunidades.</w:t>
      </w:r>
    </w:p>
    <w:p w14:paraId="3DC3E04D" w14:textId="77777777" w:rsidR="005C5E08" w:rsidRPr="0035436A" w:rsidRDefault="005C5E08" w:rsidP="005C5E08">
      <w:pPr>
        <w:spacing w:after="120" w:line="360" w:lineRule="auto"/>
        <w:ind w:firstLine="708"/>
        <w:jc w:val="both"/>
        <w:rPr>
          <w:rFonts w:ascii="Times New Roman" w:hAnsi="Times New Roman" w:cs="Times New Roman"/>
          <w:sz w:val="24"/>
          <w:szCs w:val="24"/>
        </w:rPr>
      </w:pPr>
      <w:r w:rsidRPr="009C34F7">
        <w:rPr>
          <w:rFonts w:ascii="Times New Roman" w:hAnsi="Times New Roman" w:cs="Times New Roman"/>
          <w:sz w:val="24"/>
          <w:szCs w:val="24"/>
        </w:rPr>
        <w:t xml:space="preserve">Para atingir seus objetivos, este trabalho está dividido em seis seções. A segunda seção apresenta o referencial teórico, abordando os Objetivos de Desenvolvimento Sustentável (ODS), o orçamento público brasileiro e o modelo DEA CCR. A terceira seção detalha o método de pesquisa utilizado. Na quarta seção, é apresentada a aplicação do método, seguida pela discussão dos resultados na quinta seção. Finalmente, a sexta seção </w:t>
      </w:r>
      <w:r>
        <w:rPr>
          <w:rFonts w:ascii="Times New Roman" w:hAnsi="Times New Roman" w:cs="Times New Roman"/>
          <w:sz w:val="24"/>
          <w:szCs w:val="24"/>
        </w:rPr>
        <w:t>apresenta</w:t>
      </w:r>
      <w:r w:rsidRPr="009C34F7">
        <w:rPr>
          <w:rFonts w:ascii="Times New Roman" w:hAnsi="Times New Roman" w:cs="Times New Roman"/>
          <w:sz w:val="24"/>
          <w:szCs w:val="24"/>
        </w:rPr>
        <w:t xml:space="preserve"> as conclusões da pesquisa.</w:t>
      </w:r>
    </w:p>
    <w:p w14:paraId="79375190" w14:textId="65041EF9" w:rsidR="00DD44D5" w:rsidRDefault="00DD44D5" w:rsidP="002C6DEE">
      <w:pPr>
        <w:spacing w:line="360" w:lineRule="auto"/>
        <w:rPr>
          <w:rFonts w:ascii="Times New Roman" w:hAnsi="Times New Roman" w:cs="Times New Roman"/>
          <w:b/>
          <w:bCs/>
          <w:sz w:val="24"/>
          <w:szCs w:val="24"/>
        </w:rPr>
      </w:pPr>
      <w:r>
        <w:rPr>
          <w:rFonts w:ascii="Times New Roman" w:hAnsi="Times New Roman" w:cs="Times New Roman"/>
          <w:b/>
          <w:bCs/>
          <w:sz w:val="24"/>
          <w:szCs w:val="24"/>
        </w:rPr>
        <w:t>2. Revisão de Literatura</w:t>
      </w:r>
    </w:p>
    <w:p w14:paraId="616963A6" w14:textId="53D50253" w:rsidR="00140F1E" w:rsidRPr="0036473A" w:rsidRDefault="00140F1E" w:rsidP="0036473A">
      <w:pPr>
        <w:pStyle w:val="PargrafodaLista"/>
        <w:numPr>
          <w:ilvl w:val="1"/>
          <w:numId w:val="5"/>
        </w:numPr>
        <w:spacing w:after="120" w:line="360" w:lineRule="auto"/>
        <w:jc w:val="both"/>
        <w:rPr>
          <w:rFonts w:ascii="Times New Roman" w:hAnsi="Times New Roman" w:cs="Times New Roman"/>
          <w:i/>
          <w:iCs/>
          <w:sz w:val="24"/>
          <w:szCs w:val="24"/>
        </w:rPr>
      </w:pPr>
      <w:proofErr w:type="spellStart"/>
      <w:r w:rsidRPr="0036473A">
        <w:rPr>
          <w:rFonts w:ascii="Times New Roman" w:hAnsi="Times New Roman" w:cs="Times New Roman"/>
          <w:i/>
          <w:iCs/>
          <w:sz w:val="24"/>
          <w:szCs w:val="24"/>
        </w:rPr>
        <w:t>Sustainable</w:t>
      </w:r>
      <w:proofErr w:type="spellEnd"/>
      <w:r w:rsidRPr="0036473A">
        <w:rPr>
          <w:rFonts w:ascii="Times New Roman" w:hAnsi="Times New Roman" w:cs="Times New Roman"/>
          <w:i/>
          <w:iCs/>
          <w:sz w:val="24"/>
          <w:szCs w:val="24"/>
        </w:rPr>
        <w:t xml:space="preserve"> </w:t>
      </w:r>
      <w:proofErr w:type="spellStart"/>
      <w:r w:rsidRPr="0036473A">
        <w:rPr>
          <w:rFonts w:ascii="Times New Roman" w:hAnsi="Times New Roman" w:cs="Times New Roman"/>
          <w:i/>
          <w:iCs/>
          <w:sz w:val="24"/>
          <w:szCs w:val="24"/>
        </w:rPr>
        <w:t>Development</w:t>
      </w:r>
      <w:proofErr w:type="spellEnd"/>
      <w:r w:rsidRPr="0036473A">
        <w:rPr>
          <w:rFonts w:ascii="Times New Roman" w:hAnsi="Times New Roman" w:cs="Times New Roman"/>
          <w:i/>
          <w:iCs/>
          <w:sz w:val="24"/>
          <w:szCs w:val="24"/>
        </w:rPr>
        <w:t xml:space="preserve"> </w:t>
      </w:r>
      <w:proofErr w:type="spellStart"/>
      <w:r w:rsidRPr="0036473A">
        <w:rPr>
          <w:rFonts w:ascii="Times New Roman" w:hAnsi="Times New Roman" w:cs="Times New Roman"/>
          <w:i/>
          <w:iCs/>
          <w:sz w:val="24"/>
          <w:szCs w:val="24"/>
        </w:rPr>
        <w:t>Goals</w:t>
      </w:r>
      <w:proofErr w:type="spellEnd"/>
      <w:r w:rsidRPr="0036473A">
        <w:rPr>
          <w:rFonts w:ascii="Times New Roman" w:hAnsi="Times New Roman" w:cs="Times New Roman"/>
          <w:i/>
          <w:iCs/>
          <w:sz w:val="24"/>
          <w:szCs w:val="24"/>
        </w:rPr>
        <w:t xml:space="preserve"> (</w:t>
      </w:r>
      <w:proofErr w:type="spellStart"/>
      <w:r w:rsidRPr="0036473A">
        <w:rPr>
          <w:rFonts w:ascii="Times New Roman" w:hAnsi="Times New Roman" w:cs="Times New Roman"/>
          <w:i/>
          <w:iCs/>
          <w:sz w:val="24"/>
          <w:szCs w:val="24"/>
        </w:rPr>
        <w:t>SDGs</w:t>
      </w:r>
      <w:proofErr w:type="spellEnd"/>
      <w:r w:rsidRPr="0036473A">
        <w:rPr>
          <w:rFonts w:ascii="Times New Roman" w:hAnsi="Times New Roman" w:cs="Times New Roman"/>
          <w:i/>
          <w:iCs/>
          <w:sz w:val="24"/>
          <w:szCs w:val="24"/>
        </w:rPr>
        <w:t>)</w:t>
      </w:r>
    </w:p>
    <w:p w14:paraId="2320D124" w14:textId="77777777" w:rsidR="00140F1E" w:rsidRDefault="00140F1E" w:rsidP="00140F1E">
      <w:pPr>
        <w:spacing w:after="120" w:line="360" w:lineRule="auto"/>
        <w:jc w:val="both"/>
        <w:rPr>
          <w:rFonts w:ascii="Times New Roman" w:hAnsi="Times New Roman" w:cs="Times New Roman"/>
          <w:sz w:val="24"/>
          <w:szCs w:val="24"/>
        </w:rPr>
      </w:pPr>
      <w:r w:rsidRPr="006F0070">
        <w:rPr>
          <w:rFonts w:ascii="Times New Roman" w:hAnsi="Times New Roman" w:cs="Times New Roman"/>
          <w:sz w:val="24"/>
          <w:szCs w:val="24"/>
        </w:rPr>
        <w:t>Aprovada em 25 de setembro de 2015, após dois anos de consulta global com organizações da sociedade civil, cientistas, acadêmicos e cidadãos de todo o mundo, a Agenda 2030 para o Desenvolvimento Sustentável propôs 17 Objetivos de Desenvolvimento Sustentável – ODSs (</w:t>
      </w:r>
      <w:r w:rsidRPr="006F0070">
        <w:rPr>
          <w:rFonts w:ascii="Times New Roman" w:hAnsi="Times New Roman" w:cs="Times New Roman"/>
          <w:i/>
          <w:sz w:val="24"/>
          <w:szCs w:val="24"/>
        </w:rPr>
        <w:t>Sustainable Development Goals</w:t>
      </w:r>
      <w:r w:rsidRPr="006F0070">
        <w:rPr>
          <w:rFonts w:ascii="Times New Roman" w:hAnsi="Times New Roman" w:cs="Times New Roman"/>
          <w:sz w:val="24"/>
          <w:szCs w:val="24"/>
        </w:rPr>
        <w:t xml:space="preserve"> - SDGs) juntamente com 169 metas e 231 indicadores. A Agenda 2030 baseia-se no princípio de “não deixar ninguém para trás”, na integração sistêmica dos pilares Sociais, Ambientais e Econômicos de Desenvolvimento Sustentável e na promoção de um mundo baseado nos cinco </w:t>
      </w:r>
      <w:r>
        <w:rPr>
          <w:rFonts w:ascii="Times New Roman" w:hAnsi="Times New Roman" w:cs="Times New Roman"/>
          <w:sz w:val="24"/>
          <w:szCs w:val="24"/>
        </w:rPr>
        <w:t>“</w:t>
      </w:r>
      <w:r>
        <w:rPr>
          <w:rFonts w:ascii="Times New Roman" w:hAnsi="Times New Roman" w:cs="Times New Roman"/>
          <w:i/>
          <w:sz w:val="24"/>
          <w:szCs w:val="24"/>
        </w:rPr>
        <w:t xml:space="preserve">Ps”: </w:t>
      </w:r>
      <w:r w:rsidRPr="006F0070">
        <w:rPr>
          <w:rFonts w:ascii="Times New Roman" w:hAnsi="Times New Roman" w:cs="Times New Roman"/>
          <w:sz w:val="24"/>
          <w:szCs w:val="24"/>
        </w:rPr>
        <w:t xml:space="preserve">Pessoas, Planeta, Prosperidade, Paz e Parceria (Trane </w:t>
      </w:r>
      <w:r w:rsidRPr="006F0070">
        <w:rPr>
          <w:rFonts w:ascii="Times New Roman" w:hAnsi="Times New Roman" w:cs="Times New Roman"/>
          <w:i/>
          <w:sz w:val="24"/>
          <w:szCs w:val="24"/>
        </w:rPr>
        <w:t>et al</w:t>
      </w:r>
      <w:r w:rsidRPr="006F0070">
        <w:rPr>
          <w:rFonts w:ascii="Times New Roman" w:hAnsi="Times New Roman" w:cs="Times New Roman"/>
          <w:sz w:val="24"/>
          <w:szCs w:val="24"/>
        </w:rPr>
        <w:t>., 2023).</w:t>
      </w:r>
    </w:p>
    <w:p w14:paraId="3D0412E4" w14:textId="77777777" w:rsidR="00140F1E" w:rsidRPr="006F0070" w:rsidRDefault="00140F1E" w:rsidP="00140F1E">
      <w:pPr>
        <w:spacing w:after="120" w:line="360" w:lineRule="auto"/>
        <w:jc w:val="both"/>
        <w:rPr>
          <w:rFonts w:ascii="Times New Roman" w:hAnsi="Times New Roman" w:cs="Times New Roman"/>
          <w:sz w:val="24"/>
          <w:szCs w:val="24"/>
        </w:rPr>
      </w:pPr>
      <w:r w:rsidRPr="006F0070">
        <w:rPr>
          <w:rFonts w:ascii="Times New Roman" w:hAnsi="Times New Roman" w:cs="Times New Roman"/>
          <w:sz w:val="24"/>
          <w:szCs w:val="24"/>
        </w:rPr>
        <w:t>Embora o conceito de desenvolvimento sustentável tenha sido oficialmente introduzido em 1987 pela Comissão Mundial sobre Meio Ambiente e Desenvolvimento (</w:t>
      </w:r>
      <w:r w:rsidRPr="006F0070">
        <w:rPr>
          <w:rFonts w:ascii="Times New Roman" w:hAnsi="Times New Roman" w:cs="Times New Roman"/>
          <w:i/>
          <w:sz w:val="24"/>
          <w:szCs w:val="24"/>
        </w:rPr>
        <w:t xml:space="preserve">World Commission on Environment and Development - </w:t>
      </w:r>
      <w:r w:rsidRPr="006F0070">
        <w:rPr>
          <w:rFonts w:ascii="Times New Roman" w:hAnsi="Times New Roman" w:cs="Times New Roman"/>
          <w:sz w:val="24"/>
          <w:szCs w:val="24"/>
        </w:rPr>
        <w:t xml:space="preserve">WCED), os esforços para se atingir essa meta permanecem insatisfatórios. A Organização das Nações Unidas (ONU) se envolveu ativamente em discussões e esforços relacionados ao desenvolvimento sustentável, pois além de criar a WCED, ela apresentou no ano 2000 as oito Metas de Desenvolvimento do </w:t>
      </w:r>
      <w:r w:rsidRPr="006F0070">
        <w:rPr>
          <w:rFonts w:ascii="Times New Roman" w:hAnsi="Times New Roman" w:cs="Times New Roman"/>
          <w:sz w:val="24"/>
          <w:szCs w:val="24"/>
        </w:rPr>
        <w:lastRenderedPageBreak/>
        <w:t>Milênio (</w:t>
      </w:r>
      <w:r w:rsidRPr="006F0070">
        <w:rPr>
          <w:rFonts w:ascii="Times New Roman" w:hAnsi="Times New Roman" w:cs="Times New Roman"/>
          <w:i/>
          <w:sz w:val="24"/>
          <w:szCs w:val="24"/>
        </w:rPr>
        <w:t>Millennium Development Goals</w:t>
      </w:r>
      <w:r w:rsidRPr="006F0070">
        <w:rPr>
          <w:rFonts w:ascii="Times New Roman" w:hAnsi="Times New Roman" w:cs="Times New Roman"/>
          <w:sz w:val="24"/>
          <w:szCs w:val="24"/>
        </w:rPr>
        <w:t xml:space="preserve"> - MDGs) a serem alcançadas até 2015, com foco em questões como pobreza, educação, igualdade de gênero, mortalidade infantil, saúde, preservação ambiental e cooperação global</w:t>
      </w:r>
      <w:r>
        <w:rPr>
          <w:rFonts w:ascii="Times New Roman" w:hAnsi="Times New Roman" w:cs="Times New Roman"/>
          <w:sz w:val="24"/>
          <w:szCs w:val="24"/>
        </w:rPr>
        <w:t>.</w:t>
      </w:r>
      <w:r w:rsidRPr="006F0070">
        <w:rPr>
          <w:rFonts w:ascii="Times New Roman" w:hAnsi="Times New Roman" w:cs="Times New Roman"/>
          <w:sz w:val="24"/>
          <w:szCs w:val="24"/>
        </w:rPr>
        <w:t xml:space="preserve"> Posteriormente, em 2015, a ONU (United Nations, 2015) mais uma vez assumiu a liderança nas deliberações e apresentou os ODSs (Leal Filho, 2023).</w:t>
      </w:r>
    </w:p>
    <w:p w14:paraId="6055933C" w14:textId="77777777" w:rsidR="00140F1E" w:rsidRPr="006F0070" w:rsidRDefault="00140F1E" w:rsidP="00140F1E">
      <w:pPr>
        <w:spacing w:after="120" w:line="360" w:lineRule="auto"/>
        <w:jc w:val="both"/>
        <w:rPr>
          <w:rFonts w:ascii="Times New Roman" w:hAnsi="Times New Roman" w:cs="Times New Roman"/>
          <w:sz w:val="24"/>
          <w:szCs w:val="24"/>
        </w:rPr>
      </w:pPr>
      <w:r w:rsidRPr="006F0070">
        <w:rPr>
          <w:rFonts w:ascii="Times New Roman" w:hAnsi="Times New Roman" w:cs="Times New Roman"/>
          <w:sz w:val="24"/>
          <w:szCs w:val="24"/>
        </w:rPr>
        <w:t xml:space="preserve">Os ODSs consistem em uma série de 17 metas criadas para tratar das questões urgentes enfrentadas pela comunidade internacional (Confraria; Ciarli; Noyons, 2024). </w:t>
      </w:r>
      <w:r>
        <w:rPr>
          <w:rFonts w:ascii="Times New Roman" w:hAnsi="Times New Roman" w:cs="Times New Roman"/>
          <w:sz w:val="24"/>
          <w:szCs w:val="24"/>
        </w:rPr>
        <w:t>Estas metas</w:t>
      </w:r>
      <w:r w:rsidRPr="006F0070">
        <w:rPr>
          <w:rFonts w:ascii="Times New Roman" w:hAnsi="Times New Roman" w:cs="Times New Roman"/>
          <w:sz w:val="24"/>
          <w:szCs w:val="24"/>
        </w:rPr>
        <w:t>, acordad</w:t>
      </w:r>
      <w:r>
        <w:rPr>
          <w:rFonts w:ascii="Times New Roman" w:hAnsi="Times New Roman" w:cs="Times New Roman"/>
          <w:sz w:val="24"/>
          <w:szCs w:val="24"/>
        </w:rPr>
        <w:t>a</w:t>
      </w:r>
      <w:r w:rsidRPr="006F0070">
        <w:rPr>
          <w:rFonts w:ascii="Times New Roman" w:hAnsi="Times New Roman" w:cs="Times New Roman"/>
          <w:sz w:val="24"/>
          <w:szCs w:val="24"/>
        </w:rPr>
        <w:t>s por todos os 193 estados membros da ONU em 2015, fornecem uma agenda para o desenvolvimento sustentável que aborda desafios econômicos, sociais e ambientais. A exposição dessas questões em 17 objetivos facilita a interpretação e a implemen</w:t>
      </w:r>
      <w:r>
        <w:rPr>
          <w:rFonts w:ascii="Times New Roman" w:hAnsi="Times New Roman" w:cs="Times New Roman"/>
          <w:sz w:val="24"/>
          <w:szCs w:val="24"/>
        </w:rPr>
        <w:t>tação por parte das empresas, do meio acadêmico</w:t>
      </w:r>
      <w:r w:rsidRPr="006F0070">
        <w:rPr>
          <w:rFonts w:ascii="Times New Roman" w:hAnsi="Times New Roman" w:cs="Times New Roman"/>
          <w:sz w:val="24"/>
          <w:szCs w:val="24"/>
        </w:rPr>
        <w:t xml:space="preserve">, da sociedade civil e dos formuladores de políticas públicas (Voola </w:t>
      </w:r>
      <w:r w:rsidRPr="006F0070">
        <w:rPr>
          <w:rFonts w:ascii="Times New Roman" w:hAnsi="Times New Roman" w:cs="Times New Roman"/>
          <w:i/>
          <w:sz w:val="24"/>
          <w:szCs w:val="24"/>
        </w:rPr>
        <w:t>et al.</w:t>
      </w:r>
      <w:r w:rsidRPr="006F0070">
        <w:rPr>
          <w:rFonts w:ascii="Times New Roman" w:hAnsi="Times New Roman" w:cs="Times New Roman"/>
          <w:sz w:val="24"/>
          <w:szCs w:val="24"/>
        </w:rPr>
        <w:t>, 2022).</w:t>
      </w:r>
    </w:p>
    <w:p w14:paraId="4DFE5FE7" w14:textId="77777777" w:rsidR="00140F1E" w:rsidRDefault="00140F1E" w:rsidP="00140F1E">
      <w:pPr>
        <w:spacing w:after="120" w:line="360" w:lineRule="auto"/>
        <w:jc w:val="both"/>
        <w:rPr>
          <w:rFonts w:ascii="Times New Roman" w:hAnsi="Times New Roman" w:cs="Times New Roman"/>
          <w:sz w:val="24"/>
          <w:szCs w:val="24"/>
        </w:rPr>
      </w:pPr>
      <w:r w:rsidRPr="006F0070">
        <w:rPr>
          <w:rFonts w:ascii="Times New Roman" w:hAnsi="Times New Roman" w:cs="Times New Roman"/>
          <w:sz w:val="24"/>
          <w:szCs w:val="24"/>
        </w:rPr>
        <w:t xml:space="preserve">Os ODSs, oferecem uma estrutura abrangente para enfrentar os desafios econômicos, ambientais e sociais em busca de um mundo mais igualitário e sustentável para as gerações futuras (Lim, 2022). Os ODSs reconhecem a pesquisa e o desenvolvimento como um processo transformador que envolve esforços coletivos e individuais. Eles reconhecem que as iniciativas de desenvolvimento global bem-sucedidas se baseiam em pesquisas minuciosas e em uma compreensão abrangente do assunto em questão (Sorooshian, 2024). A elaboração de relatórios sobre os ODSs pode facilitar esse processo, fornecendo uma estrutura abrangente com objetivos e metas para abordar os ODSs econômicos, sociais e ambientais, bem como indicadores adequados para medir o progresso em relação a eles (Trane </w:t>
      </w:r>
      <w:r w:rsidRPr="006F0070">
        <w:rPr>
          <w:rFonts w:ascii="Times New Roman" w:hAnsi="Times New Roman" w:cs="Times New Roman"/>
          <w:i/>
          <w:sz w:val="24"/>
          <w:szCs w:val="24"/>
        </w:rPr>
        <w:t>et al</w:t>
      </w:r>
      <w:r w:rsidRPr="006F0070">
        <w:rPr>
          <w:rFonts w:ascii="Times New Roman" w:hAnsi="Times New Roman" w:cs="Times New Roman"/>
          <w:sz w:val="24"/>
          <w:szCs w:val="24"/>
        </w:rPr>
        <w:t>., 2023).</w:t>
      </w:r>
    </w:p>
    <w:p w14:paraId="32B20B78" w14:textId="77777777" w:rsidR="00140F1E" w:rsidRDefault="00140F1E" w:rsidP="00140F1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Segundo ONU (2024), o</w:t>
      </w:r>
      <w:r w:rsidRPr="00672884">
        <w:rPr>
          <w:rFonts w:ascii="Times New Roman" w:hAnsi="Times New Roman" w:cs="Times New Roman"/>
          <w:sz w:val="24"/>
          <w:szCs w:val="24"/>
        </w:rPr>
        <w:t>s ODS representam um chamado global à ação para erradicar a pobreza, preservar o meio ambiente e o clima, e assegurar que todas as pessoas, em qualquer lugar, tenham acesso à paz e prosperidade. Esses objetivos refletem os esforços das Nações Unidas para alcançar a Agenda 2030 em todo o mundo.</w:t>
      </w:r>
      <w:r>
        <w:rPr>
          <w:rFonts w:ascii="Times New Roman" w:hAnsi="Times New Roman" w:cs="Times New Roman"/>
          <w:sz w:val="24"/>
          <w:szCs w:val="24"/>
        </w:rPr>
        <w:t xml:space="preserve"> Os 17 ODS podem ser visualizados no Quadro 1, estes são desdobrados em várias mestras como podem ser </w:t>
      </w:r>
      <w:proofErr w:type="gramStart"/>
      <w:r>
        <w:rPr>
          <w:rFonts w:ascii="Times New Roman" w:hAnsi="Times New Roman" w:cs="Times New Roman"/>
          <w:sz w:val="24"/>
          <w:szCs w:val="24"/>
        </w:rPr>
        <w:t>vista</w:t>
      </w:r>
      <w:proofErr w:type="gramEnd"/>
      <w:r>
        <w:rPr>
          <w:rFonts w:ascii="Times New Roman" w:hAnsi="Times New Roman" w:cs="Times New Roman"/>
          <w:sz w:val="24"/>
          <w:szCs w:val="24"/>
        </w:rPr>
        <w:t xml:space="preserve"> em ONU (2024).</w:t>
      </w:r>
    </w:p>
    <w:p w14:paraId="736EB94E" w14:textId="77777777" w:rsidR="00140F1E" w:rsidRPr="00505A35" w:rsidRDefault="00140F1E" w:rsidP="00140F1E">
      <w:pPr>
        <w:spacing w:after="120" w:line="360" w:lineRule="auto"/>
        <w:jc w:val="center"/>
        <w:rPr>
          <w:rFonts w:ascii="Times New Roman" w:hAnsi="Times New Roman" w:cs="Times New Roman"/>
          <w:sz w:val="20"/>
          <w:szCs w:val="20"/>
        </w:rPr>
      </w:pPr>
      <w:r w:rsidRPr="00505A35">
        <w:rPr>
          <w:rFonts w:ascii="Times New Roman" w:hAnsi="Times New Roman" w:cs="Times New Roman"/>
          <w:sz w:val="20"/>
          <w:szCs w:val="20"/>
        </w:rPr>
        <w:t>Quadro 1 – Objetivos de Desenvolvimento Sustentável</w:t>
      </w:r>
    </w:p>
    <w:tbl>
      <w:tblPr>
        <w:tblStyle w:val="Tabelacomgrade"/>
        <w:tblW w:w="0" w:type="auto"/>
        <w:tblLook w:val="04A0" w:firstRow="1" w:lastRow="0" w:firstColumn="1" w:lastColumn="0" w:noHBand="0" w:noVBand="1"/>
      </w:tblPr>
      <w:tblGrid>
        <w:gridCol w:w="421"/>
        <w:gridCol w:w="2835"/>
        <w:gridCol w:w="5238"/>
      </w:tblGrid>
      <w:tr w:rsidR="00140F1E" w:rsidRPr="006D17DC" w14:paraId="4EE1B071" w14:textId="77777777" w:rsidTr="001C1D40">
        <w:trPr>
          <w:trHeight w:val="330"/>
        </w:trPr>
        <w:tc>
          <w:tcPr>
            <w:tcW w:w="3256" w:type="dxa"/>
            <w:gridSpan w:val="2"/>
            <w:vAlign w:val="center"/>
          </w:tcPr>
          <w:p w14:paraId="79C7E6CF" w14:textId="77777777" w:rsidR="00140F1E" w:rsidRPr="006D17DC" w:rsidRDefault="00140F1E" w:rsidP="001C1D40">
            <w:pPr>
              <w:jc w:val="center"/>
              <w:rPr>
                <w:rFonts w:ascii="Times New Roman" w:hAnsi="Times New Roman" w:cs="Times New Roman"/>
                <w:b/>
                <w:bCs/>
                <w:sz w:val="20"/>
                <w:szCs w:val="20"/>
              </w:rPr>
            </w:pPr>
            <w:r w:rsidRPr="006D17DC">
              <w:rPr>
                <w:rFonts w:ascii="Times New Roman" w:hAnsi="Times New Roman" w:cs="Times New Roman"/>
                <w:b/>
                <w:bCs/>
                <w:sz w:val="20"/>
                <w:szCs w:val="20"/>
              </w:rPr>
              <w:t>ODS</w:t>
            </w:r>
          </w:p>
        </w:tc>
        <w:tc>
          <w:tcPr>
            <w:tcW w:w="5238" w:type="dxa"/>
            <w:vAlign w:val="center"/>
          </w:tcPr>
          <w:p w14:paraId="04EE8E9C" w14:textId="77777777" w:rsidR="00140F1E" w:rsidRPr="006D17DC" w:rsidRDefault="00140F1E" w:rsidP="001C1D40">
            <w:pPr>
              <w:jc w:val="center"/>
              <w:rPr>
                <w:rFonts w:ascii="Times New Roman" w:hAnsi="Times New Roman" w:cs="Times New Roman"/>
                <w:b/>
                <w:bCs/>
                <w:sz w:val="20"/>
                <w:szCs w:val="20"/>
              </w:rPr>
            </w:pPr>
            <w:r w:rsidRPr="006D17DC">
              <w:rPr>
                <w:rFonts w:ascii="Times New Roman" w:hAnsi="Times New Roman" w:cs="Times New Roman"/>
                <w:b/>
                <w:bCs/>
                <w:sz w:val="20"/>
                <w:szCs w:val="20"/>
              </w:rPr>
              <w:t>Descrição</w:t>
            </w:r>
          </w:p>
        </w:tc>
      </w:tr>
      <w:tr w:rsidR="00140F1E" w:rsidRPr="006D17DC" w14:paraId="668C2CB7" w14:textId="77777777" w:rsidTr="001C1D40">
        <w:tc>
          <w:tcPr>
            <w:tcW w:w="421" w:type="dxa"/>
            <w:vAlign w:val="center"/>
          </w:tcPr>
          <w:p w14:paraId="433ABA9D"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w:t>
            </w:r>
          </w:p>
        </w:tc>
        <w:tc>
          <w:tcPr>
            <w:tcW w:w="2835" w:type="dxa"/>
            <w:vAlign w:val="center"/>
          </w:tcPr>
          <w:p w14:paraId="3F15F187"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Erradicação da pobreza</w:t>
            </w:r>
          </w:p>
        </w:tc>
        <w:tc>
          <w:tcPr>
            <w:tcW w:w="5238" w:type="dxa"/>
            <w:vAlign w:val="center"/>
          </w:tcPr>
          <w:p w14:paraId="47DF8F60"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Erradicar a pobreza em todas as formas e em todos os lugares</w:t>
            </w:r>
          </w:p>
        </w:tc>
      </w:tr>
      <w:tr w:rsidR="00140F1E" w:rsidRPr="006D17DC" w14:paraId="31383D57" w14:textId="77777777" w:rsidTr="001C1D40">
        <w:tc>
          <w:tcPr>
            <w:tcW w:w="421" w:type="dxa"/>
            <w:shd w:val="clear" w:color="auto" w:fill="auto"/>
            <w:vAlign w:val="center"/>
          </w:tcPr>
          <w:p w14:paraId="2A9C5654"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2</w:t>
            </w:r>
          </w:p>
        </w:tc>
        <w:tc>
          <w:tcPr>
            <w:tcW w:w="2835" w:type="dxa"/>
            <w:shd w:val="clear" w:color="auto" w:fill="auto"/>
            <w:vAlign w:val="center"/>
          </w:tcPr>
          <w:p w14:paraId="4AA892EE"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Fome zero e agricultura sustentável</w:t>
            </w:r>
          </w:p>
        </w:tc>
        <w:tc>
          <w:tcPr>
            <w:tcW w:w="5238" w:type="dxa"/>
            <w:shd w:val="clear" w:color="auto" w:fill="auto"/>
            <w:vAlign w:val="center"/>
          </w:tcPr>
          <w:p w14:paraId="40199A10"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Erradicar a fome, alcançar a segurança alimentar, melhorar a nutrição e promover a agricultura sustentável</w:t>
            </w:r>
          </w:p>
        </w:tc>
      </w:tr>
      <w:tr w:rsidR="00140F1E" w:rsidRPr="006D17DC" w14:paraId="2592469A" w14:textId="77777777" w:rsidTr="001C1D40">
        <w:trPr>
          <w:trHeight w:val="523"/>
        </w:trPr>
        <w:tc>
          <w:tcPr>
            <w:tcW w:w="421" w:type="dxa"/>
            <w:shd w:val="clear" w:color="auto" w:fill="auto"/>
            <w:vAlign w:val="center"/>
          </w:tcPr>
          <w:p w14:paraId="5596112A"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lastRenderedPageBreak/>
              <w:t>3</w:t>
            </w:r>
          </w:p>
        </w:tc>
        <w:tc>
          <w:tcPr>
            <w:tcW w:w="2835" w:type="dxa"/>
            <w:shd w:val="clear" w:color="auto" w:fill="auto"/>
            <w:vAlign w:val="center"/>
          </w:tcPr>
          <w:p w14:paraId="791D5AEF"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Saúde e Bem-Estar</w:t>
            </w:r>
          </w:p>
        </w:tc>
        <w:tc>
          <w:tcPr>
            <w:tcW w:w="5238" w:type="dxa"/>
            <w:shd w:val="clear" w:color="auto" w:fill="auto"/>
            <w:vAlign w:val="center"/>
          </w:tcPr>
          <w:p w14:paraId="76368B7E"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Assegurar uma vida saudável e promover o bem-estar para todas e todos, em todas as idades</w:t>
            </w:r>
          </w:p>
        </w:tc>
      </w:tr>
      <w:tr w:rsidR="00140F1E" w:rsidRPr="006D17DC" w14:paraId="2443FEDD" w14:textId="77777777" w:rsidTr="001C1D40">
        <w:tc>
          <w:tcPr>
            <w:tcW w:w="421" w:type="dxa"/>
            <w:shd w:val="clear" w:color="auto" w:fill="auto"/>
            <w:vAlign w:val="center"/>
          </w:tcPr>
          <w:p w14:paraId="77AB5616"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4</w:t>
            </w:r>
          </w:p>
        </w:tc>
        <w:tc>
          <w:tcPr>
            <w:tcW w:w="2835" w:type="dxa"/>
            <w:shd w:val="clear" w:color="auto" w:fill="auto"/>
            <w:vAlign w:val="center"/>
          </w:tcPr>
          <w:p w14:paraId="03128986"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Educação de qualidade</w:t>
            </w:r>
          </w:p>
        </w:tc>
        <w:tc>
          <w:tcPr>
            <w:tcW w:w="5238" w:type="dxa"/>
            <w:shd w:val="clear" w:color="auto" w:fill="auto"/>
            <w:vAlign w:val="center"/>
          </w:tcPr>
          <w:p w14:paraId="79329326"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Assegurar a educação inclusiva e equitativa e de qualidade, e promover oportunidades de aprendizagem ao longo da vida para todas e todos</w:t>
            </w:r>
          </w:p>
        </w:tc>
      </w:tr>
      <w:tr w:rsidR="00140F1E" w:rsidRPr="006D17DC" w14:paraId="61C76A14" w14:textId="77777777" w:rsidTr="001C1D40">
        <w:tc>
          <w:tcPr>
            <w:tcW w:w="421" w:type="dxa"/>
            <w:shd w:val="clear" w:color="auto" w:fill="auto"/>
            <w:vAlign w:val="center"/>
          </w:tcPr>
          <w:p w14:paraId="5F95179C"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5</w:t>
            </w:r>
          </w:p>
        </w:tc>
        <w:tc>
          <w:tcPr>
            <w:tcW w:w="2835" w:type="dxa"/>
            <w:shd w:val="clear" w:color="auto" w:fill="auto"/>
            <w:vAlign w:val="center"/>
          </w:tcPr>
          <w:p w14:paraId="75B7A5C4"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Igualdade de gênero</w:t>
            </w:r>
          </w:p>
        </w:tc>
        <w:tc>
          <w:tcPr>
            <w:tcW w:w="5238" w:type="dxa"/>
            <w:shd w:val="clear" w:color="auto" w:fill="auto"/>
            <w:vAlign w:val="center"/>
          </w:tcPr>
          <w:p w14:paraId="215F5833"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Alcançar a igualdade de gênero e empoderar todas as mulheres e meninas</w:t>
            </w:r>
          </w:p>
        </w:tc>
      </w:tr>
      <w:tr w:rsidR="00140F1E" w:rsidRPr="006D17DC" w14:paraId="4081CAED" w14:textId="77777777" w:rsidTr="001C1D40">
        <w:tc>
          <w:tcPr>
            <w:tcW w:w="421" w:type="dxa"/>
            <w:shd w:val="clear" w:color="auto" w:fill="auto"/>
            <w:vAlign w:val="center"/>
          </w:tcPr>
          <w:p w14:paraId="3A3D5B08"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6</w:t>
            </w:r>
          </w:p>
        </w:tc>
        <w:tc>
          <w:tcPr>
            <w:tcW w:w="2835" w:type="dxa"/>
            <w:shd w:val="clear" w:color="auto" w:fill="auto"/>
            <w:vAlign w:val="center"/>
          </w:tcPr>
          <w:p w14:paraId="5EDA0C9C"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Água potável e saneamento</w:t>
            </w:r>
          </w:p>
        </w:tc>
        <w:tc>
          <w:tcPr>
            <w:tcW w:w="5238" w:type="dxa"/>
            <w:shd w:val="clear" w:color="auto" w:fill="auto"/>
            <w:vAlign w:val="center"/>
          </w:tcPr>
          <w:p w14:paraId="6E229A2E"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Assegurar a disponibilidade e gestão sustentável da água e saneamento para todas e todos</w:t>
            </w:r>
          </w:p>
        </w:tc>
      </w:tr>
      <w:tr w:rsidR="00140F1E" w:rsidRPr="006D17DC" w14:paraId="28D29EE7" w14:textId="77777777" w:rsidTr="001C1D40">
        <w:tc>
          <w:tcPr>
            <w:tcW w:w="421" w:type="dxa"/>
            <w:shd w:val="clear" w:color="auto" w:fill="auto"/>
            <w:vAlign w:val="center"/>
          </w:tcPr>
          <w:p w14:paraId="4E52B572"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7</w:t>
            </w:r>
          </w:p>
        </w:tc>
        <w:tc>
          <w:tcPr>
            <w:tcW w:w="2835" w:type="dxa"/>
            <w:shd w:val="clear" w:color="auto" w:fill="auto"/>
            <w:vAlign w:val="center"/>
          </w:tcPr>
          <w:p w14:paraId="5607BDF7"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Energia limpa e acessível</w:t>
            </w:r>
          </w:p>
        </w:tc>
        <w:tc>
          <w:tcPr>
            <w:tcW w:w="5238" w:type="dxa"/>
            <w:shd w:val="clear" w:color="auto" w:fill="auto"/>
            <w:vAlign w:val="center"/>
          </w:tcPr>
          <w:p w14:paraId="020F879F"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Assegurar o acesso confiável, sustentável, moderno e a preço acessível à energia para todas e todos</w:t>
            </w:r>
          </w:p>
        </w:tc>
      </w:tr>
      <w:tr w:rsidR="00140F1E" w:rsidRPr="006D17DC" w14:paraId="69D3674A" w14:textId="77777777" w:rsidTr="001C1D40">
        <w:tc>
          <w:tcPr>
            <w:tcW w:w="421" w:type="dxa"/>
            <w:shd w:val="clear" w:color="auto" w:fill="auto"/>
            <w:vAlign w:val="center"/>
          </w:tcPr>
          <w:p w14:paraId="3326C9FB"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8</w:t>
            </w:r>
          </w:p>
        </w:tc>
        <w:tc>
          <w:tcPr>
            <w:tcW w:w="2835" w:type="dxa"/>
            <w:shd w:val="clear" w:color="auto" w:fill="auto"/>
            <w:vAlign w:val="center"/>
          </w:tcPr>
          <w:p w14:paraId="721F664A"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Trabalho decente e crescimento econômico</w:t>
            </w:r>
          </w:p>
        </w:tc>
        <w:tc>
          <w:tcPr>
            <w:tcW w:w="5238" w:type="dxa"/>
            <w:shd w:val="clear" w:color="auto" w:fill="auto"/>
            <w:vAlign w:val="center"/>
          </w:tcPr>
          <w:p w14:paraId="39A4295B"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Promover o crescimento econômico sustentado, inclusivo e sustentável, emprego pleno e produtivo e trabalho decente para todas e todos</w:t>
            </w:r>
          </w:p>
        </w:tc>
      </w:tr>
      <w:tr w:rsidR="00140F1E" w:rsidRPr="006D17DC" w14:paraId="2F4A37E9" w14:textId="77777777" w:rsidTr="001C1D40">
        <w:tc>
          <w:tcPr>
            <w:tcW w:w="421" w:type="dxa"/>
            <w:shd w:val="clear" w:color="auto" w:fill="auto"/>
            <w:vAlign w:val="center"/>
          </w:tcPr>
          <w:p w14:paraId="6E2E7CEA"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9</w:t>
            </w:r>
          </w:p>
        </w:tc>
        <w:tc>
          <w:tcPr>
            <w:tcW w:w="2835" w:type="dxa"/>
            <w:shd w:val="clear" w:color="auto" w:fill="auto"/>
            <w:vAlign w:val="center"/>
          </w:tcPr>
          <w:p w14:paraId="087B0097"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Indústria, inovação e infraestrutura</w:t>
            </w:r>
          </w:p>
        </w:tc>
        <w:tc>
          <w:tcPr>
            <w:tcW w:w="5238" w:type="dxa"/>
            <w:shd w:val="clear" w:color="auto" w:fill="auto"/>
            <w:vAlign w:val="center"/>
          </w:tcPr>
          <w:p w14:paraId="71D263C4"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Construir infraestruturas resilientes, promover a industrialização inclusiva e sustentável e fomentar a inovação</w:t>
            </w:r>
          </w:p>
        </w:tc>
      </w:tr>
      <w:tr w:rsidR="00140F1E" w:rsidRPr="006D17DC" w14:paraId="44BDF45D" w14:textId="77777777" w:rsidTr="001C1D40">
        <w:tc>
          <w:tcPr>
            <w:tcW w:w="421" w:type="dxa"/>
            <w:shd w:val="clear" w:color="auto" w:fill="auto"/>
            <w:vAlign w:val="center"/>
          </w:tcPr>
          <w:p w14:paraId="4D4FBA17"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10</w:t>
            </w:r>
          </w:p>
        </w:tc>
        <w:tc>
          <w:tcPr>
            <w:tcW w:w="2835" w:type="dxa"/>
            <w:shd w:val="clear" w:color="auto" w:fill="auto"/>
            <w:vAlign w:val="center"/>
          </w:tcPr>
          <w:p w14:paraId="06A2D309" w14:textId="77777777" w:rsidR="00140F1E" w:rsidRPr="006D17DC" w:rsidRDefault="00140F1E" w:rsidP="001C1D40">
            <w:pPr>
              <w:rPr>
                <w:rFonts w:ascii="Times New Roman" w:hAnsi="Times New Roman" w:cs="Times New Roman"/>
                <w:sz w:val="20"/>
                <w:szCs w:val="20"/>
              </w:rPr>
            </w:pPr>
          </w:p>
          <w:p w14:paraId="2F86A91B"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Redução das desigualdades</w:t>
            </w:r>
          </w:p>
        </w:tc>
        <w:tc>
          <w:tcPr>
            <w:tcW w:w="5238" w:type="dxa"/>
            <w:shd w:val="clear" w:color="auto" w:fill="auto"/>
            <w:vAlign w:val="center"/>
          </w:tcPr>
          <w:p w14:paraId="5C124A6C"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Reduzir a desigualdade dentro dos países e entre eles</w:t>
            </w:r>
          </w:p>
        </w:tc>
      </w:tr>
      <w:tr w:rsidR="00140F1E" w:rsidRPr="006D17DC" w14:paraId="12BE2FF8" w14:textId="77777777" w:rsidTr="001C1D40">
        <w:tc>
          <w:tcPr>
            <w:tcW w:w="421" w:type="dxa"/>
            <w:shd w:val="clear" w:color="auto" w:fill="auto"/>
            <w:vAlign w:val="center"/>
          </w:tcPr>
          <w:p w14:paraId="4654798A"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11</w:t>
            </w:r>
          </w:p>
        </w:tc>
        <w:tc>
          <w:tcPr>
            <w:tcW w:w="2835" w:type="dxa"/>
            <w:shd w:val="clear" w:color="auto" w:fill="auto"/>
            <w:vAlign w:val="center"/>
          </w:tcPr>
          <w:p w14:paraId="31C7703C"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Cidades e comunidades sustentáveis</w:t>
            </w:r>
          </w:p>
        </w:tc>
        <w:tc>
          <w:tcPr>
            <w:tcW w:w="5238" w:type="dxa"/>
            <w:shd w:val="clear" w:color="auto" w:fill="auto"/>
            <w:vAlign w:val="center"/>
          </w:tcPr>
          <w:p w14:paraId="4B29841D"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Tornar as cidades e os assentamentos humanos inclusivos, seguros, resilientes e sustentáveis</w:t>
            </w:r>
          </w:p>
        </w:tc>
      </w:tr>
      <w:tr w:rsidR="00140F1E" w:rsidRPr="006D17DC" w14:paraId="3B6DF24E" w14:textId="77777777" w:rsidTr="001C1D40">
        <w:tc>
          <w:tcPr>
            <w:tcW w:w="421" w:type="dxa"/>
            <w:shd w:val="clear" w:color="auto" w:fill="auto"/>
            <w:vAlign w:val="center"/>
          </w:tcPr>
          <w:p w14:paraId="2542F1FF"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12</w:t>
            </w:r>
          </w:p>
        </w:tc>
        <w:tc>
          <w:tcPr>
            <w:tcW w:w="2835" w:type="dxa"/>
            <w:shd w:val="clear" w:color="auto" w:fill="auto"/>
            <w:vAlign w:val="center"/>
          </w:tcPr>
          <w:p w14:paraId="144A8042"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Consumo e produção responsáveis</w:t>
            </w:r>
          </w:p>
        </w:tc>
        <w:tc>
          <w:tcPr>
            <w:tcW w:w="5238" w:type="dxa"/>
            <w:shd w:val="clear" w:color="auto" w:fill="auto"/>
            <w:vAlign w:val="center"/>
          </w:tcPr>
          <w:p w14:paraId="0927156F"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Assegurar padrões de produção e de consumo sustentáveis</w:t>
            </w:r>
          </w:p>
        </w:tc>
      </w:tr>
      <w:tr w:rsidR="00140F1E" w:rsidRPr="006D17DC" w14:paraId="4DD4CCEC" w14:textId="77777777" w:rsidTr="001C1D40">
        <w:tc>
          <w:tcPr>
            <w:tcW w:w="421" w:type="dxa"/>
            <w:shd w:val="clear" w:color="auto" w:fill="auto"/>
            <w:vAlign w:val="center"/>
          </w:tcPr>
          <w:p w14:paraId="03F56FE8"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13</w:t>
            </w:r>
          </w:p>
        </w:tc>
        <w:tc>
          <w:tcPr>
            <w:tcW w:w="2835" w:type="dxa"/>
            <w:shd w:val="clear" w:color="auto" w:fill="auto"/>
            <w:vAlign w:val="center"/>
          </w:tcPr>
          <w:p w14:paraId="79D2DB63"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Ação contra a mudança global do clima</w:t>
            </w:r>
          </w:p>
        </w:tc>
        <w:tc>
          <w:tcPr>
            <w:tcW w:w="5238" w:type="dxa"/>
            <w:shd w:val="clear" w:color="auto" w:fill="auto"/>
            <w:vAlign w:val="center"/>
          </w:tcPr>
          <w:p w14:paraId="29376971"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Tomar medidas urgentes para combater a mudança climática e seus impactos</w:t>
            </w:r>
          </w:p>
        </w:tc>
      </w:tr>
      <w:tr w:rsidR="00140F1E" w:rsidRPr="006D17DC" w14:paraId="00F1F75B" w14:textId="77777777" w:rsidTr="001C1D40">
        <w:tc>
          <w:tcPr>
            <w:tcW w:w="421" w:type="dxa"/>
            <w:shd w:val="clear" w:color="auto" w:fill="auto"/>
            <w:vAlign w:val="center"/>
          </w:tcPr>
          <w:p w14:paraId="77C64E66"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14</w:t>
            </w:r>
          </w:p>
        </w:tc>
        <w:tc>
          <w:tcPr>
            <w:tcW w:w="2835" w:type="dxa"/>
            <w:shd w:val="clear" w:color="auto" w:fill="auto"/>
            <w:vAlign w:val="center"/>
          </w:tcPr>
          <w:p w14:paraId="0DBAA900"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Vida na água</w:t>
            </w:r>
          </w:p>
        </w:tc>
        <w:tc>
          <w:tcPr>
            <w:tcW w:w="5238" w:type="dxa"/>
            <w:shd w:val="clear" w:color="auto" w:fill="auto"/>
            <w:vAlign w:val="center"/>
          </w:tcPr>
          <w:p w14:paraId="4CF227E9"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Conservação e uso sustentável dos oceanos, dos mares e dos recursos marinhos para o desenvolvimento sustentável</w:t>
            </w:r>
          </w:p>
        </w:tc>
      </w:tr>
      <w:tr w:rsidR="00140F1E" w:rsidRPr="006D17DC" w14:paraId="4463D8E4" w14:textId="77777777" w:rsidTr="001C1D40">
        <w:tc>
          <w:tcPr>
            <w:tcW w:w="421" w:type="dxa"/>
            <w:shd w:val="clear" w:color="auto" w:fill="auto"/>
            <w:vAlign w:val="center"/>
          </w:tcPr>
          <w:p w14:paraId="5DAB0C23"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15</w:t>
            </w:r>
          </w:p>
        </w:tc>
        <w:tc>
          <w:tcPr>
            <w:tcW w:w="2835" w:type="dxa"/>
            <w:shd w:val="clear" w:color="auto" w:fill="auto"/>
            <w:vAlign w:val="center"/>
          </w:tcPr>
          <w:p w14:paraId="05FD8FC2"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Vida terrestre</w:t>
            </w:r>
          </w:p>
        </w:tc>
        <w:tc>
          <w:tcPr>
            <w:tcW w:w="5238" w:type="dxa"/>
            <w:shd w:val="clear" w:color="auto" w:fill="auto"/>
            <w:vAlign w:val="center"/>
          </w:tcPr>
          <w:p w14:paraId="6B80B9C6"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Proteger, recuperar e promover o uso sustentável dos ecossistemas terrestres, gerir de forma sustentável as florestas, combater a desertificação, deter e reverter a degradação da terra e deter a perda de biodiversidade</w:t>
            </w:r>
          </w:p>
        </w:tc>
      </w:tr>
      <w:tr w:rsidR="00140F1E" w:rsidRPr="006D17DC" w14:paraId="34E38F12" w14:textId="77777777" w:rsidTr="001C1D40">
        <w:tc>
          <w:tcPr>
            <w:tcW w:w="421" w:type="dxa"/>
            <w:shd w:val="clear" w:color="auto" w:fill="auto"/>
            <w:vAlign w:val="center"/>
          </w:tcPr>
          <w:p w14:paraId="45847553"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16</w:t>
            </w:r>
          </w:p>
        </w:tc>
        <w:tc>
          <w:tcPr>
            <w:tcW w:w="2835" w:type="dxa"/>
            <w:shd w:val="clear" w:color="auto" w:fill="auto"/>
            <w:vAlign w:val="center"/>
          </w:tcPr>
          <w:p w14:paraId="0595CA79"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Paz, Justiça e Instituições Eficazes</w:t>
            </w:r>
          </w:p>
        </w:tc>
        <w:tc>
          <w:tcPr>
            <w:tcW w:w="5238" w:type="dxa"/>
            <w:shd w:val="clear" w:color="auto" w:fill="auto"/>
            <w:vAlign w:val="center"/>
          </w:tcPr>
          <w:p w14:paraId="5E8524D9"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Promover sociedades pacíficas e inclusivas para o desenvolvimento sustentável, proporcionar o acesso à justiça para todos e construir instituições eficazes, responsáveis e inclusivas em todos os níveis</w:t>
            </w:r>
          </w:p>
        </w:tc>
      </w:tr>
      <w:tr w:rsidR="00140F1E" w:rsidRPr="006D17DC" w14:paraId="6CC6FA0B" w14:textId="77777777" w:rsidTr="001C1D40">
        <w:tc>
          <w:tcPr>
            <w:tcW w:w="421" w:type="dxa"/>
            <w:shd w:val="clear" w:color="auto" w:fill="auto"/>
            <w:vAlign w:val="center"/>
          </w:tcPr>
          <w:p w14:paraId="18F47125"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17</w:t>
            </w:r>
          </w:p>
        </w:tc>
        <w:tc>
          <w:tcPr>
            <w:tcW w:w="2835" w:type="dxa"/>
            <w:shd w:val="clear" w:color="auto" w:fill="auto"/>
            <w:vAlign w:val="center"/>
          </w:tcPr>
          <w:p w14:paraId="74A5567B" w14:textId="77777777" w:rsidR="00140F1E" w:rsidRPr="006D17DC" w:rsidRDefault="00140F1E" w:rsidP="001C1D40">
            <w:pPr>
              <w:rPr>
                <w:rFonts w:ascii="Times New Roman" w:hAnsi="Times New Roman" w:cs="Times New Roman"/>
                <w:sz w:val="20"/>
                <w:szCs w:val="20"/>
              </w:rPr>
            </w:pPr>
            <w:r w:rsidRPr="006D17DC">
              <w:rPr>
                <w:rFonts w:ascii="Times New Roman" w:hAnsi="Times New Roman" w:cs="Times New Roman"/>
                <w:sz w:val="20"/>
                <w:szCs w:val="20"/>
              </w:rPr>
              <w:t>Parcerias e meios de implementação</w:t>
            </w:r>
          </w:p>
        </w:tc>
        <w:tc>
          <w:tcPr>
            <w:tcW w:w="5238" w:type="dxa"/>
            <w:shd w:val="clear" w:color="auto" w:fill="auto"/>
            <w:vAlign w:val="center"/>
          </w:tcPr>
          <w:p w14:paraId="05F395D0" w14:textId="77777777" w:rsidR="00140F1E" w:rsidRPr="006D17DC" w:rsidRDefault="00140F1E" w:rsidP="001C1D40">
            <w:pPr>
              <w:jc w:val="center"/>
              <w:rPr>
                <w:rFonts w:ascii="Times New Roman" w:hAnsi="Times New Roman" w:cs="Times New Roman"/>
                <w:sz w:val="20"/>
                <w:szCs w:val="20"/>
              </w:rPr>
            </w:pPr>
            <w:r w:rsidRPr="006D17DC">
              <w:rPr>
                <w:rFonts w:ascii="Times New Roman" w:hAnsi="Times New Roman" w:cs="Times New Roman"/>
                <w:sz w:val="20"/>
                <w:szCs w:val="20"/>
              </w:rPr>
              <w:t>Fortalecer os meios de implementação e revitalizar a parceria global para o desenvolvimento sustentável</w:t>
            </w:r>
          </w:p>
        </w:tc>
      </w:tr>
    </w:tbl>
    <w:p w14:paraId="28735BA7" w14:textId="77777777" w:rsidR="00140F1E" w:rsidRPr="00505A35" w:rsidRDefault="00140F1E" w:rsidP="00140F1E">
      <w:pPr>
        <w:spacing w:after="120" w:line="360" w:lineRule="auto"/>
        <w:jc w:val="center"/>
        <w:rPr>
          <w:rFonts w:ascii="Times New Roman" w:hAnsi="Times New Roman" w:cs="Times New Roman"/>
          <w:sz w:val="20"/>
          <w:szCs w:val="20"/>
        </w:rPr>
      </w:pPr>
      <w:r w:rsidRPr="00505A35">
        <w:rPr>
          <w:rFonts w:ascii="Times New Roman" w:hAnsi="Times New Roman" w:cs="Times New Roman"/>
          <w:sz w:val="20"/>
          <w:szCs w:val="20"/>
        </w:rPr>
        <w:t>Fonte: ONU (2024)</w:t>
      </w:r>
    </w:p>
    <w:p w14:paraId="6C8FDF9F" w14:textId="77777777" w:rsidR="00140F1E" w:rsidRPr="006F0070" w:rsidRDefault="00140F1E" w:rsidP="00140F1E">
      <w:pPr>
        <w:spacing w:after="120" w:line="360" w:lineRule="auto"/>
        <w:jc w:val="both"/>
        <w:rPr>
          <w:rFonts w:ascii="Times New Roman" w:hAnsi="Times New Roman" w:cs="Times New Roman"/>
          <w:sz w:val="24"/>
          <w:szCs w:val="24"/>
        </w:rPr>
      </w:pPr>
      <w:r w:rsidRPr="006F0070">
        <w:rPr>
          <w:rFonts w:ascii="Times New Roman" w:hAnsi="Times New Roman" w:cs="Times New Roman"/>
          <w:sz w:val="24"/>
          <w:szCs w:val="24"/>
        </w:rPr>
        <w:t xml:space="preserve">Apesar de serem amplos e ambiciosos, os ODSs enfrentam contradições inerentes, principalmente entre a sustentabilidade ambiental e o desenvolvimento socioeconômico (Voola </w:t>
      </w:r>
      <w:r w:rsidRPr="006F0070">
        <w:rPr>
          <w:rFonts w:ascii="Times New Roman" w:hAnsi="Times New Roman" w:cs="Times New Roman"/>
          <w:i/>
          <w:sz w:val="24"/>
          <w:szCs w:val="24"/>
        </w:rPr>
        <w:t>et al</w:t>
      </w:r>
      <w:r w:rsidRPr="006F0070">
        <w:rPr>
          <w:rFonts w:ascii="Times New Roman" w:hAnsi="Times New Roman" w:cs="Times New Roman"/>
          <w:sz w:val="24"/>
          <w:szCs w:val="24"/>
        </w:rPr>
        <w:t xml:space="preserve">., 2022). No entanto, os ODSs se transformaram em uma linguagem e uma estrutura universais, unificando as partes interessadas para enfrentar esses desafios de forma colaborativa. Devido à natureza complexa dos desafios da sustentabilidade, a inovação é considerada crucial para soluções transformadoras e sustentáveis que não necessariamente exigem grande quantidade de recursos financeiros (Voola </w:t>
      </w:r>
      <w:r w:rsidRPr="006F0070">
        <w:rPr>
          <w:rFonts w:ascii="Times New Roman" w:hAnsi="Times New Roman" w:cs="Times New Roman"/>
          <w:i/>
          <w:sz w:val="24"/>
          <w:szCs w:val="24"/>
        </w:rPr>
        <w:t>et al</w:t>
      </w:r>
      <w:r w:rsidRPr="006F0070">
        <w:rPr>
          <w:rFonts w:ascii="Times New Roman" w:hAnsi="Times New Roman" w:cs="Times New Roman"/>
          <w:sz w:val="24"/>
          <w:szCs w:val="24"/>
        </w:rPr>
        <w:t>., 2022).</w:t>
      </w:r>
    </w:p>
    <w:p w14:paraId="6682BB50" w14:textId="77777777" w:rsidR="00140F1E" w:rsidRDefault="00140F1E" w:rsidP="00140F1E">
      <w:pPr>
        <w:spacing w:after="120" w:line="360" w:lineRule="auto"/>
        <w:jc w:val="both"/>
        <w:rPr>
          <w:rFonts w:ascii="Times New Roman" w:hAnsi="Times New Roman" w:cs="Times New Roman"/>
          <w:sz w:val="24"/>
          <w:szCs w:val="24"/>
        </w:rPr>
      </w:pPr>
      <w:r w:rsidRPr="006F0070">
        <w:rPr>
          <w:rFonts w:ascii="Times New Roman" w:hAnsi="Times New Roman" w:cs="Times New Roman"/>
          <w:sz w:val="24"/>
          <w:szCs w:val="24"/>
        </w:rPr>
        <w:t xml:space="preserve">De acordo com a literatura, </w:t>
      </w:r>
      <w:r w:rsidRPr="00A16E34">
        <w:rPr>
          <w:rFonts w:ascii="Times New Roman" w:hAnsi="Times New Roman" w:cs="Times New Roman"/>
          <w:sz w:val="24"/>
          <w:szCs w:val="24"/>
        </w:rPr>
        <w:t xml:space="preserve">há um progresso insuficiente em direção à realização dos </w:t>
      </w:r>
      <w:r>
        <w:rPr>
          <w:rFonts w:ascii="Times New Roman" w:hAnsi="Times New Roman" w:cs="Times New Roman"/>
          <w:sz w:val="24"/>
          <w:szCs w:val="24"/>
        </w:rPr>
        <w:t>ODSs</w:t>
      </w:r>
      <w:r w:rsidRPr="00A16E34">
        <w:rPr>
          <w:rFonts w:ascii="Times New Roman" w:hAnsi="Times New Roman" w:cs="Times New Roman"/>
          <w:sz w:val="24"/>
          <w:szCs w:val="24"/>
        </w:rPr>
        <w:t xml:space="preserve">, e existe a possibilidade de a comunidade global não atingir essas metas até o ano previsto de 2030. Para efetivar a </w:t>
      </w:r>
      <w:r>
        <w:rPr>
          <w:rFonts w:ascii="Times New Roman" w:hAnsi="Times New Roman" w:cs="Times New Roman"/>
          <w:sz w:val="24"/>
          <w:szCs w:val="24"/>
        </w:rPr>
        <w:t>A</w:t>
      </w:r>
      <w:r w:rsidRPr="00A16E34">
        <w:rPr>
          <w:rFonts w:ascii="Times New Roman" w:hAnsi="Times New Roman" w:cs="Times New Roman"/>
          <w:sz w:val="24"/>
          <w:szCs w:val="24"/>
        </w:rPr>
        <w:t xml:space="preserve">genda 2030, será </w:t>
      </w:r>
      <w:r>
        <w:rPr>
          <w:rFonts w:ascii="Times New Roman" w:hAnsi="Times New Roman" w:cs="Times New Roman"/>
          <w:sz w:val="24"/>
          <w:szCs w:val="24"/>
        </w:rPr>
        <w:t>necessário</w:t>
      </w:r>
      <w:r w:rsidRPr="00A16E34">
        <w:rPr>
          <w:rFonts w:ascii="Times New Roman" w:hAnsi="Times New Roman" w:cs="Times New Roman"/>
          <w:sz w:val="24"/>
          <w:szCs w:val="24"/>
        </w:rPr>
        <w:t xml:space="preserve"> realizar um investimento significativo em pesquisa e desenvolvimento. A implementação dos resultados das pesquisas pode ser facilitada por meio de uma estratégia colaborativa entre diversas partes </w:t>
      </w:r>
      <w:r w:rsidRPr="00A16E34">
        <w:rPr>
          <w:rFonts w:ascii="Times New Roman" w:hAnsi="Times New Roman" w:cs="Times New Roman"/>
          <w:sz w:val="24"/>
          <w:szCs w:val="24"/>
        </w:rPr>
        <w:lastRenderedPageBreak/>
        <w:t>interessadas, incluindo a comunidade acadêmica, autoridades e indivíduos</w:t>
      </w:r>
      <w:r>
        <w:rPr>
          <w:rFonts w:ascii="Times New Roman" w:hAnsi="Times New Roman" w:cs="Times New Roman"/>
          <w:sz w:val="24"/>
          <w:szCs w:val="24"/>
        </w:rPr>
        <w:t xml:space="preserve"> civis </w:t>
      </w:r>
      <w:r w:rsidRPr="006F0070">
        <w:rPr>
          <w:rFonts w:ascii="Times New Roman" w:hAnsi="Times New Roman" w:cs="Times New Roman"/>
          <w:sz w:val="24"/>
          <w:szCs w:val="24"/>
        </w:rPr>
        <w:t>(</w:t>
      </w:r>
      <w:proofErr w:type="spellStart"/>
      <w:r w:rsidRPr="006F0070">
        <w:rPr>
          <w:rFonts w:ascii="Times New Roman" w:hAnsi="Times New Roman" w:cs="Times New Roman"/>
          <w:sz w:val="24"/>
          <w:szCs w:val="24"/>
        </w:rPr>
        <w:t>Sorooshian</w:t>
      </w:r>
      <w:proofErr w:type="spellEnd"/>
      <w:r w:rsidRPr="006F0070">
        <w:rPr>
          <w:rFonts w:ascii="Times New Roman" w:hAnsi="Times New Roman" w:cs="Times New Roman"/>
          <w:sz w:val="24"/>
          <w:szCs w:val="24"/>
        </w:rPr>
        <w:t>, 2024).</w:t>
      </w:r>
    </w:p>
    <w:p w14:paraId="3C83B84F" w14:textId="77777777" w:rsidR="0036473A" w:rsidRDefault="0036473A" w:rsidP="00140F1E">
      <w:pPr>
        <w:spacing w:after="120" w:line="360" w:lineRule="auto"/>
        <w:jc w:val="both"/>
        <w:rPr>
          <w:rFonts w:ascii="Times New Roman" w:hAnsi="Times New Roman" w:cs="Times New Roman"/>
          <w:sz w:val="24"/>
          <w:szCs w:val="24"/>
        </w:rPr>
      </w:pPr>
    </w:p>
    <w:p w14:paraId="4058E346" w14:textId="6CABA102" w:rsidR="00140F1E" w:rsidRPr="0036473A" w:rsidRDefault="00140F1E" w:rsidP="0036473A">
      <w:pPr>
        <w:pStyle w:val="PargrafodaLista"/>
        <w:numPr>
          <w:ilvl w:val="1"/>
          <w:numId w:val="6"/>
        </w:numPr>
        <w:spacing w:after="120" w:line="360" w:lineRule="auto"/>
        <w:jc w:val="both"/>
        <w:rPr>
          <w:rFonts w:ascii="Times New Roman" w:hAnsi="Times New Roman" w:cs="Times New Roman"/>
          <w:i/>
          <w:iCs/>
          <w:sz w:val="24"/>
          <w:szCs w:val="24"/>
        </w:rPr>
      </w:pPr>
      <w:proofErr w:type="spellStart"/>
      <w:r w:rsidRPr="0036473A">
        <w:rPr>
          <w:rFonts w:ascii="Times New Roman" w:hAnsi="Times New Roman" w:cs="Times New Roman"/>
          <w:i/>
          <w:iCs/>
          <w:sz w:val="24"/>
          <w:szCs w:val="24"/>
        </w:rPr>
        <w:t>Public</w:t>
      </w:r>
      <w:proofErr w:type="spellEnd"/>
      <w:r w:rsidRPr="0036473A">
        <w:rPr>
          <w:rFonts w:ascii="Times New Roman" w:hAnsi="Times New Roman" w:cs="Times New Roman"/>
          <w:i/>
          <w:iCs/>
          <w:sz w:val="24"/>
          <w:szCs w:val="24"/>
        </w:rPr>
        <w:t xml:space="preserve"> Budget</w:t>
      </w:r>
    </w:p>
    <w:p w14:paraId="2D13CDE5" w14:textId="77777777" w:rsidR="00140F1E" w:rsidRPr="006F0070" w:rsidRDefault="00140F1E" w:rsidP="00140F1E">
      <w:pPr>
        <w:spacing w:after="120" w:line="360" w:lineRule="auto"/>
        <w:jc w:val="both"/>
        <w:rPr>
          <w:rFonts w:ascii="Times New Roman" w:hAnsi="Times New Roman" w:cs="Times New Roman"/>
          <w:sz w:val="24"/>
          <w:szCs w:val="24"/>
        </w:rPr>
      </w:pPr>
      <w:r w:rsidRPr="00AE7D1E">
        <w:rPr>
          <w:rFonts w:ascii="Times New Roman" w:hAnsi="Times New Roman" w:cs="Times New Roman"/>
          <w:iCs/>
          <w:sz w:val="24"/>
          <w:szCs w:val="24"/>
        </w:rPr>
        <w:t xml:space="preserve">O Ministério do Planejamento e Orçamento do Brasil, em 2024, caracteriza o orçamento público como um mecanismo de planejamento estatal que </w:t>
      </w:r>
      <w:r>
        <w:rPr>
          <w:rFonts w:ascii="Times New Roman" w:hAnsi="Times New Roman" w:cs="Times New Roman"/>
          <w:iCs/>
          <w:sz w:val="24"/>
          <w:szCs w:val="24"/>
        </w:rPr>
        <w:t>inclui</w:t>
      </w:r>
      <w:r w:rsidRPr="00AE7D1E">
        <w:rPr>
          <w:rFonts w:ascii="Times New Roman" w:hAnsi="Times New Roman" w:cs="Times New Roman"/>
          <w:iCs/>
          <w:sz w:val="24"/>
          <w:szCs w:val="24"/>
        </w:rPr>
        <w:t xml:space="preserve"> os gastos governamentais para um determinado ano, em conformidade com a projeção de receitas. Este é o registro no qual o governo concentra as estimativas de todas as receitas a serem obtidas e os p</w:t>
      </w:r>
      <w:r>
        <w:rPr>
          <w:rFonts w:ascii="Times New Roman" w:hAnsi="Times New Roman" w:cs="Times New Roman"/>
          <w:iCs/>
          <w:sz w:val="24"/>
          <w:szCs w:val="24"/>
        </w:rPr>
        <w:t xml:space="preserve">lanos relativos à sua alocação </w:t>
      </w:r>
      <w:r w:rsidRPr="006F0070">
        <w:rPr>
          <w:rFonts w:ascii="Times New Roman" w:hAnsi="Times New Roman" w:cs="Times New Roman"/>
          <w:iCs/>
          <w:sz w:val="24"/>
          <w:szCs w:val="24"/>
        </w:rPr>
        <w:t>(</w:t>
      </w:r>
      <w:r w:rsidRPr="006F0070">
        <w:rPr>
          <w:rFonts w:ascii="Times New Roman" w:hAnsi="Times New Roman" w:cs="Times New Roman"/>
          <w:sz w:val="24"/>
          <w:szCs w:val="24"/>
        </w:rPr>
        <w:t>Paula; Pinho, 2023).</w:t>
      </w:r>
    </w:p>
    <w:p w14:paraId="6BCE9F62" w14:textId="77777777" w:rsidR="00140F1E" w:rsidRPr="006F0070" w:rsidRDefault="00140F1E" w:rsidP="00140F1E">
      <w:pPr>
        <w:spacing w:after="120" w:line="360" w:lineRule="auto"/>
        <w:jc w:val="both"/>
        <w:rPr>
          <w:rFonts w:ascii="Times New Roman" w:hAnsi="Times New Roman" w:cs="Times New Roman"/>
          <w:iCs/>
          <w:sz w:val="24"/>
          <w:szCs w:val="24"/>
        </w:rPr>
      </w:pPr>
      <w:r w:rsidRPr="00AE7D1E">
        <w:rPr>
          <w:rFonts w:ascii="Times New Roman" w:hAnsi="Times New Roman" w:cs="Times New Roman"/>
          <w:iCs/>
          <w:sz w:val="24"/>
          <w:szCs w:val="24"/>
        </w:rPr>
        <w:t>Portanto, é correto afirmar que o orçamento público possui uma dimensão política, pois apresenta as políticas governamentais que englobam, principalmente, decisões de interesse público, atendendo às demandas e necessidades dos três Poderes, seus órgãos e entidades. Estes atuam de forma participativa na elaboração, aprova</w:t>
      </w:r>
      <w:r>
        <w:rPr>
          <w:rFonts w:ascii="Times New Roman" w:hAnsi="Times New Roman" w:cs="Times New Roman"/>
          <w:iCs/>
          <w:sz w:val="24"/>
          <w:szCs w:val="24"/>
        </w:rPr>
        <w:t xml:space="preserve">ção e fiscalização do orçamento </w:t>
      </w:r>
      <w:r w:rsidRPr="006F0070">
        <w:rPr>
          <w:rFonts w:ascii="Times New Roman" w:hAnsi="Times New Roman" w:cs="Times New Roman"/>
          <w:iCs/>
          <w:sz w:val="24"/>
          <w:szCs w:val="24"/>
        </w:rPr>
        <w:t>(</w:t>
      </w:r>
      <w:r w:rsidRPr="006F0070">
        <w:rPr>
          <w:rFonts w:ascii="Times New Roman" w:hAnsi="Times New Roman" w:cs="Times New Roman"/>
          <w:sz w:val="24"/>
          <w:szCs w:val="24"/>
        </w:rPr>
        <w:t>Abraham, 2013).</w:t>
      </w:r>
    </w:p>
    <w:p w14:paraId="70C56098" w14:textId="77777777" w:rsidR="00140F1E" w:rsidRDefault="00140F1E" w:rsidP="00140F1E">
      <w:pPr>
        <w:spacing w:after="120" w:line="360" w:lineRule="auto"/>
        <w:jc w:val="both"/>
        <w:rPr>
          <w:rFonts w:ascii="Times New Roman" w:hAnsi="Times New Roman" w:cs="Times New Roman"/>
          <w:sz w:val="24"/>
          <w:szCs w:val="24"/>
        </w:rPr>
      </w:pPr>
      <w:r w:rsidRPr="00AE7D1E">
        <w:rPr>
          <w:rFonts w:ascii="Times New Roman" w:hAnsi="Times New Roman" w:cs="Times New Roman"/>
          <w:sz w:val="24"/>
          <w:szCs w:val="24"/>
        </w:rPr>
        <w:t>A administração dos recursos públicos no Brasil, em todos os níveis de governo, é organizada com base em três instrumentos legais que formam o ciclo de planejamento do orçamento público: o Plano Plurianual (PPA), a Lei de Diretrizes Orçamentárias (LDO) e a Lei Orçamentária Anual (LOA). Estes instrumentos têm o propósito de estruturar todas as fases do planejamento orçamentário para facilitar sua implementação, servindo como meios para promover um ciclo eficaz e</w:t>
      </w:r>
      <w:r>
        <w:rPr>
          <w:rFonts w:ascii="Times New Roman" w:hAnsi="Times New Roman" w:cs="Times New Roman"/>
          <w:sz w:val="24"/>
          <w:szCs w:val="24"/>
        </w:rPr>
        <w:t xml:space="preserve"> transparente na gestão pública </w:t>
      </w:r>
      <w:r w:rsidRPr="006F0070">
        <w:rPr>
          <w:rFonts w:ascii="Times New Roman" w:hAnsi="Times New Roman" w:cs="Times New Roman"/>
          <w:iCs/>
          <w:sz w:val="24"/>
          <w:szCs w:val="24"/>
        </w:rPr>
        <w:t>(</w:t>
      </w:r>
      <w:r w:rsidRPr="006F0070">
        <w:rPr>
          <w:rFonts w:ascii="Times New Roman" w:hAnsi="Times New Roman" w:cs="Times New Roman"/>
          <w:sz w:val="24"/>
          <w:szCs w:val="24"/>
        </w:rPr>
        <w:t xml:space="preserve">Giusti </w:t>
      </w:r>
      <w:r w:rsidRPr="006F0070">
        <w:rPr>
          <w:rFonts w:ascii="Times New Roman" w:hAnsi="Times New Roman" w:cs="Times New Roman"/>
          <w:i/>
          <w:sz w:val="24"/>
          <w:szCs w:val="24"/>
        </w:rPr>
        <w:t>et al</w:t>
      </w:r>
      <w:r w:rsidRPr="006F0070">
        <w:rPr>
          <w:rFonts w:ascii="Times New Roman" w:hAnsi="Times New Roman" w:cs="Times New Roman"/>
          <w:sz w:val="24"/>
          <w:szCs w:val="24"/>
        </w:rPr>
        <w:t>., 2023).</w:t>
      </w:r>
    </w:p>
    <w:p w14:paraId="5F1799EF" w14:textId="77777777" w:rsidR="00140F1E" w:rsidRPr="006F0070" w:rsidRDefault="00140F1E" w:rsidP="00140F1E">
      <w:pPr>
        <w:spacing w:after="120" w:line="360" w:lineRule="auto"/>
        <w:jc w:val="both"/>
        <w:rPr>
          <w:rFonts w:ascii="Times New Roman" w:hAnsi="Times New Roman" w:cs="Times New Roman"/>
          <w:iCs/>
          <w:sz w:val="24"/>
          <w:szCs w:val="24"/>
        </w:rPr>
      </w:pPr>
      <w:r w:rsidRPr="00AE7D1E">
        <w:rPr>
          <w:rFonts w:ascii="Times New Roman" w:hAnsi="Times New Roman" w:cs="Times New Roman"/>
          <w:iCs/>
          <w:sz w:val="24"/>
          <w:szCs w:val="24"/>
        </w:rPr>
        <w:t xml:space="preserve">O PPA tem como objetivo definir as diretrizes e os objetivos para a formulação de políticas e planos governamentais ao longo de um período de quatro anos. Por sua vez, a LDO estabelece anualmente as políticas públicas prioritárias e as metas fiscais em conformidade com o PPA. Finalmente, a LOA é responsável por estimar as receitas e determinar as despesas para o próximo ano. </w:t>
      </w:r>
      <w:r>
        <w:rPr>
          <w:rFonts w:ascii="Times New Roman" w:hAnsi="Times New Roman" w:cs="Times New Roman"/>
          <w:iCs/>
          <w:sz w:val="24"/>
          <w:szCs w:val="24"/>
        </w:rPr>
        <w:t>A LOA</w:t>
      </w:r>
      <w:r w:rsidRPr="00AE7D1E">
        <w:rPr>
          <w:rFonts w:ascii="Times New Roman" w:hAnsi="Times New Roman" w:cs="Times New Roman"/>
          <w:iCs/>
          <w:sz w:val="24"/>
          <w:szCs w:val="24"/>
        </w:rPr>
        <w:t xml:space="preserve"> deve estar em conformidade com os requisitos estabelecidos no PPA e na LDO, fornecendo detalhes sobre as receitas e despesas previstas para cada ano </w:t>
      </w:r>
      <w:r w:rsidRPr="006F0070">
        <w:rPr>
          <w:rFonts w:ascii="Times New Roman" w:hAnsi="Times New Roman" w:cs="Times New Roman"/>
          <w:iCs/>
          <w:sz w:val="24"/>
          <w:szCs w:val="24"/>
        </w:rPr>
        <w:t>(</w:t>
      </w:r>
      <w:r w:rsidRPr="006F0070">
        <w:rPr>
          <w:rFonts w:ascii="Times New Roman" w:hAnsi="Times New Roman" w:cs="Times New Roman"/>
          <w:sz w:val="24"/>
          <w:szCs w:val="24"/>
        </w:rPr>
        <w:t xml:space="preserve">Giusti </w:t>
      </w:r>
      <w:r w:rsidRPr="006F0070">
        <w:rPr>
          <w:rFonts w:ascii="Times New Roman" w:hAnsi="Times New Roman" w:cs="Times New Roman"/>
          <w:i/>
          <w:sz w:val="24"/>
          <w:szCs w:val="24"/>
        </w:rPr>
        <w:t>et al</w:t>
      </w:r>
      <w:r w:rsidRPr="006F0070">
        <w:rPr>
          <w:rFonts w:ascii="Times New Roman" w:hAnsi="Times New Roman" w:cs="Times New Roman"/>
          <w:sz w:val="24"/>
          <w:szCs w:val="24"/>
        </w:rPr>
        <w:t>., 2023).</w:t>
      </w:r>
      <w:r w:rsidRPr="006F0070">
        <w:rPr>
          <w:rFonts w:ascii="Times New Roman" w:hAnsi="Times New Roman" w:cs="Times New Roman"/>
          <w:iCs/>
          <w:sz w:val="24"/>
          <w:szCs w:val="24"/>
        </w:rPr>
        <w:t xml:space="preserve"> </w:t>
      </w:r>
    </w:p>
    <w:p w14:paraId="27794343" w14:textId="77777777" w:rsidR="00140F1E" w:rsidRDefault="00140F1E" w:rsidP="00140F1E">
      <w:pPr>
        <w:spacing w:after="120" w:line="360" w:lineRule="auto"/>
        <w:jc w:val="both"/>
        <w:rPr>
          <w:rFonts w:ascii="Times New Roman" w:hAnsi="Times New Roman" w:cs="Times New Roman"/>
          <w:iCs/>
          <w:sz w:val="24"/>
          <w:szCs w:val="24"/>
        </w:rPr>
      </w:pPr>
      <w:r w:rsidRPr="00B554DE">
        <w:rPr>
          <w:rFonts w:ascii="Times New Roman" w:hAnsi="Times New Roman" w:cs="Times New Roman"/>
          <w:iCs/>
          <w:sz w:val="24"/>
          <w:szCs w:val="24"/>
        </w:rPr>
        <w:t xml:space="preserve">No Brasil, um país de vastas dimensões territoriais, composto por 26 estados, além do Distrito Federal, e 5.570 municípios, cada entidade possui sua própria autonomia fiscal, administrativa e política. Essas unidades apresentam uma ampla diversidade em termos de área, população, densidade demográfica, diversificação econômica e outros </w:t>
      </w:r>
      <w:r w:rsidRPr="00B554DE">
        <w:rPr>
          <w:rFonts w:ascii="Times New Roman" w:hAnsi="Times New Roman" w:cs="Times New Roman"/>
          <w:iCs/>
          <w:sz w:val="24"/>
          <w:szCs w:val="24"/>
        </w:rPr>
        <w:lastRenderedPageBreak/>
        <w:t>indicadores. O pacto federativo brasileiro envolve três níveis de governo: União, estados (incluindo o Distrito Federal) e municípios</w:t>
      </w:r>
      <w:r>
        <w:rPr>
          <w:rFonts w:ascii="Times New Roman" w:hAnsi="Times New Roman" w:cs="Times New Roman"/>
          <w:iCs/>
          <w:sz w:val="24"/>
          <w:szCs w:val="24"/>
        </w:rPr>
        <w:t xml:space="preserve"> </w:t>
      </w:r>
      <w:r w:rsidRPr="006F0070">
        <w:rPr>
          <w:rFonts w:ascii="Times New Roman" w:hAnsi="Times New Roman" w:cs="Times New Roman"/>
          <w:iCs/>
          <w:sz w:val="24"/>
          <w:szCs w:val="24"/>
        </w:rPr>
        <w:t>(</w:t>
      </w:r>
      <w:r w:rsidRPr="006F0070">
        <w:rPr>
          <w:rFonts w:ascii="Times New Roman" w:hAnsi="Times New Roman" w:cs="Times New Roman"/>
          <w:sz w:val="24"/>
          <w:szCs w:val="24"/>
        </w:rPr>
        <w:t>Paula; Pinho, 2023).</w:t>
      </w:r>
    </w:p>
    <w:p w14:paraId="72162838" w14:textId="77777777" w:rsidR="00140F1E" w:rsidRPr="006F0070" w:rsidRDefault="00140F1E" w:rsidP="00140F1E">
      <w:pPr>
        <w:spacing w:after="120" w:line="360" w:lineRule="auto"/>
        <w:jc w:val="both"/>
        <w:rPr>
          <w:rFonts w:ascii="Times New Roman" w:hAnsi="Times New Roman" w:cs="Times New Roman"/>
          <w:iCs/>
          <w:sz w:val="24"/>
          <w:szCs w:val="24"/>
        </w:rPr>
      </w:pPr>
      <w:r w:rsidRPr="006F0070">
        <w:rPr>
          <w:rFonts w:ascii="Times New Roman" w:hAnsi="Times New Roman" w:cs="Times New Roman"/>
          <w:iCs/>
          <w:sz w:val="24"/>
          <w:szCs w:val="24"/>
        </w:rPr>
        <w:t xml:space="preserve">De acordo com dados de 2019 (IBGE, 2019), </w:t>
      </w:r>
      <w:r w:rsidRPr="00B554DE">
        <w:rPr>
          <w:rFonts w:ascii="Times New Roman" w:hAnsi="Times New Roman" w:cs="Times New Roman"/>
          <w:iCs/>
          <w:sz w:val="24"/>
          <w:szCs w:val="24"/>
        </w:rPr>
        <w:t>considerando a receita tributária arrecadada no país, a União detém 58%, seguida pelos estados e pelo Distrito Federal, que somam 34%, e pelos municípios, com apenas 8% da receita tributária total. Apesar da menor arrecadação, estados e municípios enfrentam dificuldades para administrar plenamente suas atribuições com seus próprios recursos, necessitando de uma redistribuição da receita tributária do governo central para garantir a prestação de serviços à população. Essa necessidade de redistribuição questiona a verdadeira autonomia financeira do</w:t>
      </w:r>
      <w:r>
        <w:rPr>
          <w:rFonts w:ascii="Times New Roman" w:hAnsi="Times New Roman" w:cs="Times New Roman"/>
          <w:iCs/>
          <w:sz w:val="24"/>
          <w:szCs w:val="24"/>
        </w:rPr>
        <w:t xml:space="preserve">s estados e municípios </w:t>
      </w:r>
      <w:r w:rsidRPr="006F0070">
        <w:rPr>
          <w:rFonts w:ascii="Times New Roman" w:hAnsi="Times New Roman" w:cs="Times New Roman"/>
          <w:iCs/>
          <w:sz w:val="24"/>
          <w:szCs w:val="24"/>
        </w:rPr>
        <w:t>(</w:t>
      </w:r>
      <w:r w:rsidRPr="006F0070">
        <w:rPr>
          <w:rFonts w:ascii="Times New Roman" w:hAnsi="Times New Roman" w:cs="Times New Roman"/>
          <w:sz w:val="24"/>
          <w:szCs w:val="24"/>
        </w:rPr>
        <w:t>Paula; Pinho, 2023).</w:t>
      </w:r>
    </w:p>
    <w:p w14:paraId="5711E61A" w14:textId="77777777" w:rsidR="00140F1E" w:rsidRDefault="00140F1E" w:rsidP="00140F1E">
      <w:pPr>
        <w:spacing w:after="120" w:line="360" w:lineRule="auto"/>
        <w:jc w:val="both"/>
        <w:rPr>
          <w:rFonts w:ascii="Times New Roman" w:hAnsi="Times New Roman" w:cs="Times New Roman"/>
          <w:sz w:val="24"/>
          <w:szCs w:val="24"/>
        </w:rPr>
      </w:pPr>
      <w:r w:rsidRPr="00B554DE">
        <w:rPr>
          <w:rFonts w:ascii="Times New Roman" w:hAnsi="Times New Roman" w:cs="Times New Roman"/>
          <w:iCs/>
          <w:sz w:val="24"/>
          <w:szCs w:val="24"/>
        </w:rPr>
        <w:t>Apesar das distintas realidades de cada município brasileiro, estes são regulados por leis federais. A classificação dos municípios em grupos, geralmente baseada no número de habitantes, não leva em consideração questões como localização, atividade econômica predomina</w:t>
      </w:r>
      <w:r>
        <w:rPr>
          <w:rFonts w:ascii="Times New Roman" w:hAnsi="Times New Roman" w:cs="Times New Roman"/>
          <w:iCs/>
          <w:sz w:val="24"/>
          <w:szCs w:val="24"/>
        </w:rPr>
        <w:t xml:space="preserve">nte ou competências específicas </w:t>
      </w:r>
      <w:r w:rsidRPr="006F0070">
        <w:rPr>
          <w:rFonts w:ascii="Times New Roman" w:hAnsi="Times New Roman" w:cs="Times New Roman"/>
          <w:iCs/>
          <w:sz w:val="24"/>
          <w:szCs w:val="24"/>
        </w:rPr>
        <w:t>(</w:t>
      </w:r>
      <w:r w:rsidRPr="006F0070">
        <w:rPr>
          <w:rFonts w:ascii="Times New Roman" w:hAnsi="Times New Roman" w:cs="Times New Roman"/>
          <w:sz w:val="24"/>
          <w:szCs w:val="24"/>
        </w:rPr>
        <w:t>Paula; Pinho, 2023).</w:t>
      </w:r>
    </w:p>
    <w:p w14:paraId="1A7A316D" w14:textId="77777777" w:rsidR="0036473A" w:rsidRPr="006F0070" w:rsidRDefault="0036473A" w:rsidP="00140F1E">
      <w:pPr>
        <w:spacing w:after="120" w:line="360" w:lineRule="auto"/>
        <w:jc w:val="both"/>
        <w:rPr>
          <w:rFonts w:ascii="Times New Roman" w:hAnsi="Times New Roman" w:cs="Times New Roman"/>
          <w:iCs/>
          <w:sz w:val="24"/>
          <w:szCs w:val="24"/>
        </w:rPr>
      </w:pPr>
    </w:p>
    <w:p w14:paraId="64B553BA" w14:textId="3D7246C9" w:rsidR="00140F1E" w:rsidRPr="0036473A" w:rsidRDefault="0036473A" w:rsidP="0036473A">
      <w:pPr>
        <w:spacing w:after="120"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2.3 </w:t>
      </w:r>
      <w:r w:rsidR="00140F1E" w:rsidRPr="0036473A">
        <w:rPr>
          <w:rFonts w:ascii="Times New Roman" w:hAnsi="Times New Roman" w:cs="Times New Roman"/>
          <w:i/>
          <w:iCs/>
          <w:sz w:val="24"/>
          <w:szCs w:val="24"/>
        </w:rPr>
        <w:t>DEA</w:t>
      </w:r>
    </w:p>
    <w:p w14:paraId="1B59F012" w14:textId="77777777" w:rsidR="00140F1E" w:rsidRDefault="00140F1E" w:rsidP="00140F1E">
      <w:pPr>
        <w:spacing w:line="360" w:lineRule="auto"/>
        <w:jc w:val="both"/>
        <w:rPr>
          <w:rFonts w:ascii="Times New Roman" w:hAnsi="Times New Roman" w:cs="Times New Roman"/>
          <w:sz w:val="24"/>
          <w:szCs w:val="24"/>
        </w:rPr>
      </w:pPr>
      <w:r w:rsidRPr="00C64D4C">
        <w:rPr>
          <w:rFonts w:ascii="Times New Roman" w:hAnsi="Times New Roman" w:cs="Times New Roman"/>
          <w:sz w:val="24"/>
          <w:szCs w:val="24"/>
        </w:rPr>
        <w:t xml:space="preserve">Segundo Benito </w:t>
      </w:r>
      <w:r w:rsidRPr="00C64D4C">
        <w:rPr>
          <w:rFonts w:ascii="Times New Roman" w:hAnsi="Times New Roman" w:cs="Times New Roman"/>
          <w:i/>
          <w:sz w:val="24"/>
          <w:szCs w:val="24"/>
        </w:rPr>
        <w:t>et al.</w:t>
      </w:r>
      <w:r w:rsidRPr="00C64D4C">
        <w:rPr>
          <w:rFonts w:ascii="Times New Roman" w:hAnsi="Times New Roman" w:cs="Times New Roman"/>
          <w:sz w:val="24"/>
          <w:szCs w:val="24"/>
        </w:rPr>
        <w:t xml:space="preserve"> (2019), a Análise</w:t>
      </w:r>
      <w:r w:rsidRPr="00B3557E">
        <w:rPr>
          <w:rFonts w:ascii="Times New Roman" w:hAnsi="Times New Roman" w:cs="Times New Roman"/>
          <w:sz w:val="24"/>
          <w:szCs w:val="24"/>
        </w:rPr>
        <w:t xml:space="preserve"> Envoltória de Dados (ou DEA – </w:t>
      </w:r>
      <w:r w:rsidRPr="005F5B17">
        <w:rPr>
          <w:rFonts w:ascii="Times New Roman" w:hAnsi="Times New Roman" w:cs="Times New Roman"/>
          <w:i/>
          <w:sz w:val="24"/>
          <w:szCs w:val="24"/>
        </w:rPr>
        <w:t>Data Envelopment Analysis</w:t>
      </w:r>
      <w:r w:rsidRPr="00B3557E">
        <w:rPr>
          <w:rFonts w:ascii="Times New Roman" w:hAnsi="Times New Roman" w:cs="Times New Roman"/>
          <w:sz w:val="24"/>
          <w:szCs w:val="24"/>
        </w:rPr>
        <w:t xml:space="preserve">) é uma técnica matemática de programação que permite a comparação da eficiência técnica de organizações ou entre Unidades </w:t>
      </w:r>
      <w:r>
        <w:rPr>
          <w:rFonts w:ascii="Times New Roman" w:hAnsi="Times New Roman" w:cs="Times New Roman"/>
          <w:sz w:val="24"/>
          <w:szCs w:val="24"/>
        </w:rPr>
        <w:t xml:space="preserve">Tomadoras </w:t>
      </w:r>
      <w:r w:rsidRPr="00B3557E">
        <w:rPr>
          <w:rFonts w:ascii="Times New Roman" w:hAnsi="Times New Roman" w:cs="Times New Roman"/>
          <w:sz w:val="24"/>
          <w:szCs w:val="24"/>
        </w:rPr>
        <w:t>de Decisão (que operam em ambientes similares e são caracterizados por diversas entradas e saídas (</w:t>
      </w:r>
      <w:r w:rsidRPr="00E00AF6">
        <w:rPr>
          <w:rFonts w:ascii="Times New Roman" w:hAnsi="Times New Roman" w:cs="Times New Roman"/>
          <w:i/>
          <w:sz w:val="24"/>
          <w:szCs w:val="24"/>
        </w:rPr>
        <w:t>inputs</w:t>
      </w:r>
      <w:r w:rsidRPr="00B3557E">
        <w:rPr>
          <w:rFonts w:ascii="Times New Roman" w:hAnsi="Times New Roman" w:cs="Times New Roman"/>
          <w:sz w:val="24"/>
          <w:szCs w:val="24"/>
        </w:rPr>
        <w:t xml:space="preserve"> e </w:t>
      </w:r>
      <w:r w:rsidRPr="00E00AF6">
        <w:rPr>
          <w:rFonts w:ascii="Times New Roman" w:hAnsi="Times New Roman" w:cs="Times New Roman"/>
          <w:i/>
          <w:sz w:val="24"/>
          <w:szCs w:val="24"/>
        </w:rPr>
        <w:t>outputs</w:t>
      </w:r>
      <w:r w:rsidRPr="00B3557E">
        <w:rPr>
          <w:rFonts w:ascii="Times New Roman" w:hAnsi="Times New Roman" w:cs="Times New Roman"/>
          <w:sz w:val="24"/>
          <w:szCs w:val="24"/>
        </w:rPr>
        <w:t>). Para Al-Refaie (2014), a DEA é um procedimento de otimização de eficiência que é proposto para melhoria de performance de um processo ou produto.</w:t>
      </w:r>
    </w:p>
    <w:p w14:paraId="645BB2C9" w14:textId="3652F4E5" w:rsidR="00140F1E" w:rsidRPr="00BE2E8B" w:rsidRDefault="00140F1E" w:rsidP="00140F1E">
      <w:pPr>
        <w:spacing w:line="360" w:lineRule="auto"/>
        <w:jc w:val="both"/>
        <w:rPr>
          <w:rFonts w:ascii="Times New Roman" w:hAnsi="Times New Roman" w:cs="Times New Roman"/>
          <w:sz w:val="24"/>
          <w:szCs w:val="24"/>
        </w:rPr>
      </w:pPr>
      <w:r w:rsidRPr="00BE2E8B">
        <w:rPr>
          <w:rFonts w:ascii="Times New Roman" w:hAnsi="Times New Roman" w:cs="Times New Roman"/>
          <w:sz w:val="24"/>
          <w:szCs w:val="24"/>
        </w:rPr>
        <w:t xml:space="preserve">A DEA foi desenvolvida por </w:t>
      </w:r>
      <w:proofErr w:type="spellStart"/>
      <w:r w:rsidRPr="00BE2E8B">
        <w:rPr>
          <w:rFonts w:ascii="Times New Roman" w:hAnsi="Times New Roman" w:cs="Times New Roman"/>
          <w:sz w:val="24"/>
          <w:szCs w:val="24"/>
        </w:rPr>
        <w:t>Charnes</w:t>
      </w:r>
      <w:proofErr w:type="spellEnd"/>
      <w:r w:rsidR="0036473A">
        <w:rPr>
          <w:rFonts w:ascii="Times New Roman" w:hAnsi="Times New Roman" w:cs="Times New Roman"/>
          <w:sz w:val="24"/>
          <w:szCs w:val="24"/>
        </w:rPr>
        <w:t xml:space="preserve"> et al. (</w:t>
      </w:r>
      <w:r w:rsidRPr="00BE2E8B">
        <w:rPr>
          <w:rFonts w:ascii="Times New Roman" w:hAnsi="Times New Roman" w:cs="Times New Roman"/>
          <w:sz w:val="24"/>
          <w:szCs w:val="24"/>
        </w:rPr>
        <w:t>1978</w:t>
      </w:r>
      <w:r w:rsidR="0036473A">
        <w:rPr>
          <w:rFonts w:ascii="Times New Roman" w:hAnsi="Times New Roman" w:cs="Times New Roman"/>
          <w:sz w:val="24"/>
          <w:szCs w:val="24"/>
        </w:rPr>
        <w:t>)</w:t>
      </w:r>
      <w:r w:rsidRPr="00BE2E8B">
        <w:rPr>
          <w:rFonts w:ascii="Times New Roman" w:hAnsi="Times New Roman" w:cs="Times New Roman"/>
          <w:sz w:val="24"/>
          <w:szCs w:val="24"/>
        </w:rPr>
        <w:t>, e fornece uma forma alternativa de análise d</w:t>
      </w:r>
      <w:r>
        <w:rPr>
          <w:rFonts w:ascii="Times New Roman" w:hAnsi="Times New Roman" w:cs="Times New Roman"/>
          <w:sz w:val="24"/>
          <w:szCs w:val="24"/>
        </w:rPr>
        <w:t>a</w:t>
      </w:r>
      <w:r w:rsidRPr="00BE2E8B">
        <w:rPr>
          <w:rFonts w:ascii="Times New Roman" w:hAnsi="Times New Roman" w:cs="Times New Roman"/>
          <w:sz w:val="24"/>
          <w:szCs w:val="24"/>
        </w:rPr>
        <w:t xml:space="preserve"> fronteira de eficiência, baseada na medida eficiente de produtividade (Sinuany-Stern, 2022). Este método consiste em uma metodologia de medida comparativa de eficiência entre </w:t>
      </w:r>
      <w:r w:rsidRPr="00563BE5">
        <w:rPr>
          <w:rFonts w:ascii="Times New Roman" w:hAnsi="Times New Roman" w:cs="Times New Roman"/>
          <w:sz w:val="24"/>
          <w:szCs w:val="24"/>
        </w:rPr>
        <w:t>Unidades Tomadoras de Decisão (ou</w:t>
      </w:r>
      <w:r w:rsidRPr="0002029A">
        <w:rPr>
          <w:rFonts w:ascii="Times New Roman" w:hAnsi="Times New Roman" w:cs="Times New Roman"/>
          <w:i/>
          <w:sz w:val="24"/>
          <w:szCs w:val="24"/>
        </w:rPr>
        <w:t xml:space="preserve"> Decision Making Units</w:t>
      </w:r>
      <w:r>
        <w:rPr>
          <w:rFonts w:ascii="Times New Roman" w:hAnsi="Times New Roman" w:cs="Times New Roman"/>
          <w:sz w:val="24"/>
          <w:szCs w:val="24"/>
        </w:rPr>
        <w:t xml:space="preserve"> – DMUs) </w:t>
      </w:r>
      <w:r w:rsidRPr="00BE2E8B">
        <w:rPr>
          <w:rFonts w:ascii="Times New Roman" w:hAnsi="Times New Roman" w:cs="Times New Roman"/>
          <w:sz w:val="24"/>
          <w:szCs w:val="24"/>
        </w:rPr>
        <w:t xml:space="preserve">(Cooper; Seiford; Tone, 2007). Ela permite a identificação das principais DMUs traçando sua margem de eficiência (Miranda </w:t>
      </w:r>
      <w:r w:rsidRPr="00BE2E8B">
        <w:rPr>
          <w:rFonts w:ascii="Times New Roman" w:hAnsi="Times New Roman" w:cs="Times New Roman"/>
          <w:i/>
          <w:sz w:val="24"/>
          <w:szCs w:val="24"/>
        </w:rPr>
        <w:t>et al</w:t>
      </w:r>
      <w:r w:rsidRPr="00BE2E8B">
        <w:rPr>
          <w:rFonts w:ascii="Times New Roman" w:hAnsi="Times New Roman" w:cs="Times New Roman"/>
          <w:sz w:val="24"/>
          <w:szCs w:val="24"/>
        </w:rPr>
        <w:t>., 2017).</w:t>
      </w:r>
    </w:p>
    <w:p w14:paraId="2CE6B777" w14:textId="77777777" w:rsidR="00140F1E" w:rsidRPr="00B3557E" w:rsidRDefault="00140F1E" w:rsidP="00140F1E">
      <w:pPr>
        <w:spacing w:line="360" w:lineRule="auto"/>
        <w:jc w:val="both"/>
        <w:rPr>
          <w:rFonts w:ascii="Times New Roman" w:hAnsi="Times New Roman" w:cs="Times New Roman"/>
          <w:sz w:val="24"/>
          <w:szCs w:val="24"/>
        </w:rPr>
      </w:pPr>
      <w:r w:rsidRPr="00B3557E">
        <w:rPr>
          <w:rFonts w:ascii="Times New Roman" w:hAnsi="Times New Roman" w:cs="Times New Roman"/>
          <w:sz w:val="24"/>
          <w:szCs w:val="24"/>
        </w:rPr>
        <w:t xml:space="preserve">Segundo Charnes </w:t>
      </w:r>
      <w:r w:rsidRPr="00B3557E">
        <w:rPr>
          <w:rFonts w:ascii="Times New Roman" w:hAnsi="Times New Roman" w:cs="Times New Roman"/>
          <w:i/>
          <w:sz w:val="24"/>
          <w:szCs w:val="24"/>
        </w:rPr>
        <w:t>et al.</w:t>
      </w:r>
      <w:r w:rsidRPr="00B3557E">
        <w:rPr>
          <w:rFonts w:ascii="Times New Roman" w:hAnsi="Times New Roman" w:cs="Times New Roman"/>
          <w:sz w:val="24"/>
          <w:szCs w:val="24"/>
        </w:rPr>
        <w:t xml:space="preserve"> (1978), a DEA é uma metodologia que pode determinar a eficiência das DMUs, determinando quais são eficientes e quais não </w:t>
      </w:r>
      <w:proofErr w:type="gramStart"/>
      <w:r w:rsidRPr="00B3557E">
        <w:rPr>
          <w:rFonts w:ascii="Times New Roman" w:hAnsi="Times New Roman" w:cs="Times New Roman"/>
          <w:sz w:val="24"/>
          <w:szCs w:val="24"/>
        </w:rPr>
        <w:t>são, baseado</w:t>
      </w:r>
      <w:proofErr w:type="gramEnd"/>
      <w:r w:rsidRPr="00B3557E">
        <w:rPr>
          <w:rFonts w:ascii="Times New Roman" w:hAnsi="Times New Roman" w:cs="Times New Roman"/>
          <w:sz w:val="24"/>
          <w:szCs w:val="24"/>
        </w:rPr>
        <w:t xml:space="preserve"> na </w:t>
      </w:r>
      <w:r w:rsidRPr="00B3557E">
        <w:rPr>
          <w:rFonts w:ascii="Times New Roman" w:hAnsi="Times New Roman" w:cs="Times New Roman"/>
          <w:sz w:val="24"/>
          <w:szCs w:val="24"/>
        </w:rPr>
        <w:lastRenderedPageBreak/>
        <w:t>análise de performance em seus inputs e outputs. De acordo com Hatami-Marbini e Toloo (2017), a DEA é uma metodologia baseada em programação linear, com o objetivo de medir a eficiência relativa das DMUs com múltiplos inputs e outputs.</w:t>
      </w:r>
    </w:p>
    <w:p w14:paraId="2A192008" w14:textId="77777777" w:rsidR="00140F1E" w:rsidRDefault="00140F1E" w:rsidP="00140F1E">
      <w:pPr>
        <w:spacing w:line="360" w:lineRule="auto"/>
        <w:jc w:val="both"/>
        <w:rPr>
          <w:rFonts w:ascii="Times New Roman" w:hAnsi="Times New Roman" w:cs="Times New Roman"/>
          <w:sz w:val="24"/>
          <w:szCs w:val="24"/>
        </w:rPr>
      </w:pPr>
      <w:r w:rsidRPr="00B3557E">
        <w:rPr>
          <w:rFonts w:ascii="Times New Roman" w:hAnsi="Times New Roman" w:cs="Times New Roman"/>
          <w:sz w:val="24"/>
          <w:szCs w:val="24"/>
        </w:rPr>
        <w:t xml:space="preserve">A DEA calcula uma fronteira de produção aplicando programação linear de uma amostra de DMUs permitindo, desta maneira, estabelecer relacionamentos entre diversos inputs e outputs. Definindo a fronteira de eficiência, as ineficiências de uma DMU são determinadas pela medida da distância da fronteira, indicando o potencial de aumento de ineficiência (Costa </w:t>
      </w:r>
      <w:r w:rsidRPr="00B3557E">
        <w:rPr>
          <w:rFonts w:ascii="Times New Roman" w:hAnsi="Times New Roman" w:cs="Times New Roman"/>
          <w:i/>
          <w:sz w:val="24"/>
          <w:szCs w:val="24"/>
        </w:rPr>
        <w:t>et al</w:t>
      </w:r>
      <w:r w:rsidRPr="00B3557E">
        <w:rPr>
          <w:rFonts w:ascii="Times New Roman" w:hAnsi="Times New Roman" w:cs="Times New Roman"/>
          <w:sz w:val="24"/>
          <w:szCs w:val="24"/>
        </w:rPr>
        <w:t>., 2021). Nos modelos clássicos de DEA, as DMUs eficientes são identificadas, indexando valores: com o valor igual a 1, é considerada eficiente, menor</w:t>
      </w:r>
      <w:r>
        <w:rPr>
          <w:rFonts w:ascii="Times New Roman" w:hAnsi="Times New Roman" w:cs="Times New Roman"/>
          <w:sz w:val="24"/>
          <w:szCs w:val="24"/>
        </w:rPr>
        <w:t xml:space="preserve"> que 1, ineficiente (Miranda </w:t>
      </w:r>
      <w:r w:rsidRPr="00B3557E">
        <w:rPr>
          <w:rFonts w:ascii="Times New Roman" w:hAnsi="Times New Roman" w:cs="Times New Roman"/>
          <w:i/>
          <w:sz w:val="24"/>
          <w:szCs w:val="24"/>
        </w:rPr>
        <w:t>et al</w:t>
      </w:r>
      <w:r w:rsidRPr="00B3557E">
        <w:rPr>
          <w:rFonts w:ascii="Times New Roman" w:hAnsi="Times New Roman" w:cs="Times New Roman"/>
          <w:sz w:val="24"/>
          <w:szCs w:val="24"/>
        </w:rPr>
        <w:t>., 2017).</w:t>
      </w:r>
    </w:p>
    <w:p w14:paraId="20EE978B" w14:textId="77777777" w:rsidR="00140F1E" w:rsidRPr="00B3557E" w:rsidRDefault="00140F1E" w:rsidP="00140F1E">
      <w:pPr>
        <w:spacing w:line="360" w:lineRule="auto"/>
        <w:jc w:val="both"/>
        <w:rPr>
          <w:rFonts w:ascii="Times New Roman" w:hAnsi="Times New Roman" w:cs="Times New Roman"/>
          <w:sz w:val="24"/>
          <w:szCs w:val="24"/>
        </w:rPr>
      </w:pPr>
      <w:r w:rsidRPr="00B3557E">
        <w:rPr>
          <w:rFonts w:ascii="Times New Roman" w:hAnsi="Times New Roman" w:cs="Times New Roman"/>
          <w:sz w:val="24"/>
          <w:szCs w:val="24"/>
        </w:rPr>
        <w:t xml:space="preserve">A eficiência relativa das DMUs é determinada como um quociente de uma soma de pesos de </w:t>
      </w:r>
      <w:r w:rsidRPr="0002029A">
        <w:rPr>
          <w:rFonts w:ascii="Times New Roman" w:hAnsi="Times New Roman" w:cs="Times New Roman"/>
          <w:i/>
          <w:sz w:val="24"/>
          <w:szCs w:val="24"/>
        </w:rPr>
        <w:t>outputs</w:t>
      </w:r>
      <w:r w:rsidRPr="00B3557E">
        <w:rPr>
          <w:rFonts w:ascii="Times New Roman" w:hAnsi="Times New Roman" w:cs="Times New Roman"/>
          <w:sz w:val="24"/>
          <w:szCs w:val="24"/>
        </w:rPr>
        <w:t xml:space="preserve">, em relação a soma de pesos de </w:t>
      </w:r>
      <w:r w:rsidRPr="0002029A">
        <w:rPr>
          <w:rFonts w:ascii="Times New Roman" w:hAnsi="Times New Roman" w:cs="Times New Roman"/>
          <w:i/>
          <w:sz w:val="24"/>
          <w:szCs w:val="24"/>
        </w:rPr>
        <w:t>inputs</w:t>
      </w:r>
      <w:r w:rsidRPr="00B3557E">
        <w:rPr>
          <w:rFonts w:ascii="Times New Roman" w:hAnsi="Times New Roman" w:cs="Times New Roman"/>
          <w:sz w:val="24"/>
          <w:szCs w:val="24"/>
        </w:rPr>
        <w:t>. A ideia principal por trás da DEA é conceder a flexibilidade na escolha dos pesos por DMU, expondo a medida de eficiência (ou ineficiência) claramente. Esta flexibilidade permite cada DMU espontaneamente selecionar uma série de pesos que podem ser reais ou não (Hatami-Marbini; Toloo, 2017).</w:t>
      </w:r>
    </w:p>
    <w:p w14:paraId="7C3871A8" w14:textId="77777777" w:rsidR="00140F1E" w:rsidRPr="00E35799" w:rsidRDefault="00140F1E" w:rsidP="00140F1E">
      <w:pPr>
        <w:spacing w:line="360" w:lineRule="auto"/>
        <w:jc w:val="both"/>
        <w:rPr>
          <w:rFonts w:ascii="Times New Roman" w:hAnsi="Times New Roman" w:cs="Times New Roman"/>
          <w:sz w:val="24"/>
          <w:szCs w:val="24"/>
        </w:rPr>
      </w:pPr>
      <w:r w:rsidRPr="00E35799">
        <w:rPr>
          <w:rFonts w:ascii="Times New Roman" w:hAnsi="Times New Roman" w:cs="Times New Roman"/>
          <w:sz w:val="24"/>
          <w:szCs w:val="24"/>
        </w:rPr>
        <w:t>O modelo introduzido por Charnes</w:t>
      </w:r>
      <w:r>
        <w:rPr>
          <w:rFonts w:ascii="Times New Roman" w:hAnsi="Times New Roman" w:cs="Times New Roman"/>
          <w:sz w:val="24"/>
          <w:szCs w:val="24"/>
        </w:rPr>
        <w:t xml:space="preserve"> </w:t>
      </w:r>
      <w:r w:rsidRPr="00E35799">
        <w:rPr>
          <w:rFonts w:ascii="Times New Roman" w:hAnsi="Times New Roman" w:cs="Times New Roman"/>
          <w:i/>
          <w:sz w:val="24"/>
          <w:szCs w:val="24"/>
        </w:rPr>
        <w:t>et al</w:t>
      </w:r>
      <w:r>
        <w:rPr>
          <w:rFonts w:ascii="Times New Roman" w:hAnsi="Times New Roman" w:cs="Times New Roman"/>
          <w:sz w:val="24"/>
          <w:szCs w:val="24"/>
        </w:rPr>
        <w:t>.</w:t>
      </w:r>
      <w:r w:rsidRPr="00E35799">
        <w:rPr>
          <w:rFonts w:ascii="Times New Roman" w:hAnsi="Times New Roman" w:cs="Times New Roman"/>
          <w:sz w:val="24"/>
          <w:szCs w:val="24"/>
        </w:rPr>
        <w:t xml:space="preserve"> </w:t>
      </w:r>
      <w:r>
        <w:rPr>
          <w:rFonts w:ascii="Times New Roman" w:hAnsi="Times New Roman" w:cs="Times New Roman"/>
          <w:sz w:val="24"/>
          <w:szCs w:val="24"/>
        </w:rPr>
        <w:t>(1978)</w:t>
      </w:r>
      <w:r w:rsidRPr="00E35799">
        <w:rPr>
          <w:rFonts w:ascii="Times New Roman" w:hAnsi="Times New Roman" w:cs="Times New Roman"/>
          <w:sz w:val="24"/>
          <w:szCs w:val="24"/>
        </w:rPr>
        <w:t xml:space="preserve"> é </w:t>
      </w:r>
      <w:r>
        <w:rPr>
          <w:rFonts w:ascii="Times New Roman" w:hAnsi="Times New Roman" w:cs="Times New Roman"/>
          <w:sz w:val="24"/>
          <w:szCs w:val="24"/>
        </w:rPr>
        <w:t>conhecido</w:t>
      </w:r>
      <w:r w:rsidRPr="00E35799">
        <w:rPr>
          <w:rFonts w:ascii="Times New Roman" w:hAnsi="Times New Roman" w:cs="Times New Roman"/>
          <w:sz w:val="24"/>
          <w:szCs w:val="24"/>
        </w:rPr>
        <w:t xml:space="preserve"> por modelo CCR, caracterizado por </w:t>
      </w:r>
      <w:r>
        <w:rPr>
          <w:rFonts w:ascii="Times New Roman" w:hAnsi="Times New Roman" w:cs="Times New Roman"/>
          <w:sz w:val="24"/>
          <w:szCs w:val="24"/>
        </w:rPr>
        <w:t>retornos</w:t>
      </w:r>
      <w:r w:rsidRPr="00E35799">
        <w:rPr>
          <w:rFonts w:ascii="Times New Roman" w:hAnsi="Times New Roman" w:cs="Times New Roman"/>
          <w:sz w:val="24"/>
          <w:szCs w:val="24"/>
        </w:rPr>
        <w:t xml:space="preserve"> constantes </w:t>
      </w:r>
      <w:r>
        <w:rPr>
          <w:rFonts w:ascii="Times New Roman" w:hAnsi="Times New Roman" w:cs="Times New Roman"/>
          <w:sz w:val="24"/>
          <w:szCs w:val="24"/>
        </w:rPr>
        <w:t>de</w:t>
      </w:r>
      <w:r w:rsidRPr="00E35799">
        <w:rPr>
          <w:rFonts w:ascii="Times New Roman" w:hAnsi="Times New Roman" w:cs="Times New Roman"/>
          <w:sz w:val="24"/>
          <w:szCs w:val="24"/>
        </w:rPr>
        <w:t xml:space="preserve"> escala. Uma representação alternativa é o modelo </w:t>
      </w:r>
      <w:r w:rsidRPr="00CB6C3D">
        <w:rPr>
          <w:rFonts w:ascii="Times New Roman" w:hAnsi="Times New Roman" w:cs="Times New Roman"/>
          <w:sz w:val="24"/>
          <w:szCs w:val="24"/>
        </w:rPr>
        <w:t xml:space="preserve">BCC (Banker </w:t>
      </w:r>
      <w:r w:rsidRPr="00CB6C3D">
        <w:rPr>
          <w:rFonts w:ascii="Times New Roman" w:hAnsi="Times New Roman" w:cs="Times New Roman"/>
          <w:i/>
          <w:sz w:val="24"/>
          <w:szCs w:val="24"/>
        </w:rPr>
        <w:t>et al</w:t>
      </w:r>
      <w:r w:rsidRPr="00CB6C3D">
        <w:rPr>
          <w:rFonts w:ascii="Times New Roman" w:hAnsi="Times New Roman" w:cs="Times New Roman"/>
          <w:sz w:val="24"/>
          <w:szCs w:val="24"/>
        </w:rPr>
        <w:t>., 1984) que pressupõe retornos variáveis à escala. Além disso, tanto o</w:t>
      </w:r>
      <w:r w:rsidRPr="00E35799">
        <w:rPr>
          <w:rFonts w:ascii="Times New Roman" w:hAnsi="Times New Roman" w:cs="Times New Roman"/>
          <w:sz w:val="24"/>
          <w:szCs w:val="24"/>
        </w:rPr>
        <w:t xml:space="preserve"> modelo CCR como o modelo BCC podem ser expressos em duas formas: uma centrada na redução dos </w:t>
      </w:r>
      <w:r w:rsidRPr="00E35799">
        <w:rPr>
          <w:rFonts w:ascii="Times New Roman" w:hAnsi="Times New Roman" w:cs="Times New Roman"/>
          <w:i/>
          <w:sz w:val="24"/>
          <w:szCs w:val="24"/>
        </w:rPr>
        <w:t>inputs</w:t>
      </w:r>
      <w:r w:rsidRPr="00E35799">
        <w:rPr>
          <w:rFonts w:ascii="Times New Roman" w:hAnsi="Times New Roman" w:cs="Times New Roman"/>
          <w:sz w:val="24"/>
          <w:szCs w:val="24"/>
        </w:rPr>
        <w:t xml:space="preserve"> e a outra no aumento dos </w:t>
      </w:r>
      <w:r w:rsidRPr="00E35799">
        <w:rPr>
          <w:rFonts w:ascii="Times New Roman" w:hAnsi="Times New Roman" w:cs="Times New Roman"/>
          <w:i/>
          <w:sz w:val="24"/>
          <w:szCs w:val="24"/>
        </w:rPr>
        <w:t>outputs</w:t>
      </w:r>
      <w:r w:rsidRPr="00E35799">
        <w:rPr>
          <w:rFonts w:ascii="Times New Roman" w:hAnsi="Times New Roman" w:cs="Times New Roman"/>
          <w:sz w:val="24"/>
          <w:szCs w:val="24"/>
        </w:rPr>
        <w:t xml:space="preserve">; essencialmente, ambos os modelos são adaptáveis </w:t>
      </w:r>
      <w:r>
        <w:rPr>
          <w:rFonts w:ascii="Times New Roman" w:hAnsi="Times New Roman" w:cs="Times New Roman"/>
          <w:sz w:val="24"/>
          <w:szCs w:val="24"/>
        </w:rPr>
        <w:t>tanto</w:t>
      </w:r>
      <w:r w:rsidRPr="00E35799">
        <w:rPr>
          <w:rFonts w:ascii="Times New Roman" w:hAnsi="Times New Roman" w:cs="Times New Roman"/>
          <w:sz w:val="24"/>
          <w:szCs w:val="24"/>
        </w:rPr>
        <w:t xml:space="preserve"> aos </w:t>
      </w:r>
      <w:r w:rsidRPr="00E35799">
        <w:rPr>
          <w:rFonts w:ascii="Times New Roman" w:hAnsi="Times New Roman" w:cs="Times New Roman"/>
          <w:i/>
          <w:sz w:val="24"/>
          <w:szCs w:val="24"/>
        </w:rPr>
        <w:t>inputs</w:t>
      </w:r>
      <w:r w:rsidRPr="00E35799">
        <w:rPr>
          <w:rFonts w:ascii="Times New Roman" w:hAnsi="Times New Roman" w:cs="Times New Roman"/>
          <w:sz w:val="24"/>
          <w:szCs w:val="24"/>
        </w:rPr>
        <w:t xml:space="preserve"> </w:t>
      </w:r>
      <w:r>
        <w:rPr>
          <w:rFonts w:ascii="Times New Roman" w:hAnsi="Times New Roman" w:cs="Times New Roman"/>
          <w:sz w:val="24"/>
          <w:szCs w:val="24"/>
        </w:rPr>
        <w:t>quanto</w:t>
      </w:r>
      <w:r w:rsidRPr="00E35799">
        <w:rPr>
          <w:rFonts w:ascii="Times New Roman" w:hAnsi="Times New Roman" w:cs="Times New Roman"/>
          <w:sz w:val="24"/>
          <w:szCs w:val="24"/>
        </w:rPr>
        <w:t xml:space="preserve"> aos </w:t>
      </w:r>
      <w:r w:rsidRPr="00E35799">
        <w:rPr>
          <w:rFonts w:ascii="Times New Roman" w:hAnsi="Times New Roman" w:cs="Times New Roman"/>
          <w:i/>
          <w:sz w:val="24"/>
          <w:szCs w:val="24"/>
        </w:rPr>
        <w:t>outputs</w:t>
      </w:r>
      <w:r w:rsidRPr="00E35799">
        <w:rPr>
          <w:rFonts w:ascii="Times New Roman" w:hAnsi="Times New Roman" w:cs="Times New Roman"/>
          <w:sz w:val="24"/>
          <w:szCs w:val="24"/>
        </w:rPr>
        <w:t xml:space="preserve">, </w:t>
      </w:r>
      <w:r>
        <w:rPr>
          <w:rFonts w:ascii="Times New Roman" w:hAnsi="Times New Roman" w:cs="Times New Roman"/>
          <w:sz w:val="24"/>
          <w:szCs w:val="24"/>
        </w:rPr>
        <w:t>dependendo dos objetivos dos usuários (</w:t>
      </w:r>
      <w:r w:rsidRPr="00D608B7">
        <w:rPr>
          <w:rFonts w:ascii="Times New Roman" w:hAnsi="Times New Roman" w:cs="Times New Roman"/>
          <w:sz w:val="24"/>
          <w:szCs w:val="24"/>
        </w:rPr>
        <w:t xml:space="preserve">Bernardo </w:t>
      </w:r>
      <w:r w:rsidRPr="00CB6C3D">
        <w:rPr>
          <w:rFonts w:ascii="Times New Roman" w:hAnsi="Times New Roman" w:cs="Times New Roman"/>
          <w:i/>
          <w:sz w:val="24"/>
          <w:szCs w:val="24"/>
        </w:rPr>
        <w:t>et al</w:t>
      </w:r>
      <w:r w:rsidRPr="00D608B7">
        <w:rPr>
          <w:rFonts w:ascii="Times New Roman" w:hAnsi="Times New Roman" w:cs="Times New Roman"/>
          <w:sz w:val="24"/>
          <w:szCs w:val="24"/>
        </w:rPr>
        <w:t>., 2020).</w:t>
      </w:r>
    </w:p>
    <w:p w14:paraId="1C6D22C9" w14:textId="77777777" w:rsidR="00140F1E" w:rsidRPr="00D608B7" w:rsidRDefault="00140F1E" w:rsidP="00140F1E">
      <w:pPr>
        <w:spacing w:line="360" w:lineRule="auto"/>
        <w:jc w:val="both"/>
        <w:rPr>
          <w:rFonts w:ascii="Times New Roman" w:hAnsi="Times New Roman" w:cs="Times New Roman"/>
          <w:sz w:val="24"/>
          <w:szCs w:val="24"/>
        </w:rPr>
      </w:pPr>
      <w:r w:rsidRPr="00D608B7">
        <w:rPr>
          <w:rFonts w:ascii="Times New Roman" w:hAnsi="Times New Roman" w:cs="Times New Roman"/>
          <w:sz w:val="24"/>
          <w:szCs w:val="24"/>
        </w:rPr>
        <w:t xml:space="preserve">O modelo CCR calcula o desempenho utilizando os resultados da eficiência global; em outras palavras, a eficiência que compara uma DMU com todos os seus concorrentes. O modelo clássico CCR pressupõe total liberdade de produção, ou seja, admitem que a produção de uma DMU não interfere na produção de outras DMUs do conjunto em avaliação </w:t>
      </w:r>
      <w:r>
        <w:rPr>
          <w:rFonts w:ascii="Times New Roman" w:hAnsi="Times New Roman" w:cs="Times New Roman"/>
          <w:sz w:val="24"/>
          <w:szCs w:val="24"/>
        </w:rPr>
        <w:t>(</w:t>
      </w:r>
      <w:r w:rsidRPr="00D608B7">
        <w:rPr>
          <w:rFonts w:ascii="Times New Roman" w:hAnsi="Times New Roman" w:cs="Times New Roman"/>
          <w:sz w:val="24"/>
          <w:szCs w:val="24"/>
        </w:rPr>
        <w:t xml:space="preserve">Bernardo </w:t>
      </w:r>
      <w:r w:rsidRPr="00AE7D1E">
        <w:rPr>
          <w:rFonts w:ascii="Times New Roman" w:hAnsi="Times New Roman" w:cs="Times New Roman"/>
          <w:i/>
          <w:sz w:val="24"/>
          <w:szCs w:val="24"/>
        </w:rPr>
        <w:t>et al</w:t>
      </w:r>
      <w:r w:rsidRPr="00D608B7">
        <w:rPr>
          <w:rFonts w:ascii="Times New Roman" w:hAnsi="Times New Roman" w:cs="Times New Roman"/>
          <w:sz w:val="24"/>
          <w:szCs w:val="24"/>
        </w:rPr>
        <w:t>., 2020).</w:t>
      </w:r>
    </w:p>
    <w:p w14:paraId="21DC2A1A" w14:textId="77777777" w:rsidR="00140F1E" w:rsidRDefault="00140F1E" w:rsidP="00140F1E">
      <w:pPr>
        <w:spacing w:after="120" w:line="360" w:lineRule="auto"/>
        <w:jc w:val="both"/>
        <w:rPr>
          <w:rFonts w:ascii="Times New Roman" w:hAnsi="Times New Roman" w:cs="Times New Roman"/>
          <w:sz w:val="24"/>
          <w:szCs w:val="24"/>
        </w:rPr>
      </w:pPr>
      <w:r w:rsidRPr="00F074D5">
        <w:rPr>
          <w:rFonts w:ascii="Times New Roman" w:hAnsi="Times New Roman" w:cs="Times New Roman"/>
          <w:sz w:val="24"/>
          <w:szCs w:val="24"/>
        </w:rPr>
        <w:t xml:space="preserve">Segundo </w:t>
      </w:r>
      <w:r w:rsidRPr="00E35799">
        <w:rPr>
          <w:rFonts w:ascii="Times New Roman" w:hAnsi="Times New Roman" w:cs="Times New Roman"/>
          <w:sz w:val="24"/>
          <w:szCs w:val="24"/>
        </w:rPr>
        <w:t>Charnes</w:t>
      </w:r>
      <w:r>
        <w:rPr>
          <w:rFonts w:ascii="Times New Roman" w:hAnsi="Times New Roman" w:cs="Times New Roman"/>
          <w:sz w:val="24"/>
          <w:szCs w:val="24"/>
        </w:rPr>
        <w:t xml:space="preserve"> </w:t>
      </w:r>
      <w:r w:rsidRPr="00F074D5">
        <w:rPr>
          <w:rFonts w:ascii="Times New Roman" w:hAnsi="Times New Roman" w:cs="Times New Roman"/>
          <w:i/>
          <w:sz w:val="24"/>
          <w:szCs w:val="24"/>
        </w:rPr>
        <w:t>et al</w:t>
      </w:r>
      <w:r>
        <w:rPr>
          <w:rFonts w:ascii="Times New Roman" w:hAnsi="Times New Roman" w:cs="Times New Roman"/>
          <w:sz w:val="24"/>
          <w:szCs w:val="24"/>
        </w:rPr>
        <w:t>.</w:t>
      </w:r>
      <w:r w:rsidRPr="00E35799">
        <w:rPr>
          <w:rFonts w:ascii="Times New Roman" w:hAnsi="Times New Roman" w:cs="Times New Roman"/>
          <w:sz w:val="24"/>
          <w:szCs w:val="24"/>
        </w:rPr>
        <w:t xml:space="preserve"> </w:t>
      </w:r>
      <w:r>
        <w:rPr>
          <w:rFonts w:ascii="Times New Roman" w:hAnsi="Times New Roman" w:cs="Times New Roman"/>
          <w:sz w:val="24"/>
          <w:szCs w:val="24"/>
        </w:rPr>
        <w:t>(1978), o modelo CCR segue a formulação:</w:t>
      </w:r>
    </w:p>
    <w:p w14:paraId="1647D9F3" w14:textId="77777777" w:rsidR="00140F1E" w:rsidRPr="00F074D5" w:rsidRDefault="00000000" w:rsidP="00140F1E">
      <w:pPr>
        <w:spacing w:after="120" w:line="360" w:lineRule="auto"/>
        <w:jc w:val="both"/>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o</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r>
                      <w:rPr>
                        <w:rFonts w:ascii="Cambria Math" w:hAnsi="Cambria Math" w:cs="Times New Roman"/>
                        <w:sz w:val="24"/>
                        <w:szCs w:val="24"/>
                      </w:rPr>
                      <m:t>=1</m:t>
                    </m:r>
                  </m:sub>
                  <m:sup>
                    <m:r>
                      <w:rPr>
                        <w:rFonts w:ascii="Cambria Math" w:hAnsi="Cambria Math" w:cs="Times New Roman"/>
                        <w:sz w:val="24"/>
                        <w:szCs w:val="24"/>
                      </w:rPr>
                      <m:t>s</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m:t>
                        </m:r>
                        <m:r>
                          <w:rPr>
                            <w:rFonts w:ascii="Cambria Math" w:hAnsi="Cambria Math" w:cs="Times New Roman"/>
                            <w:sz w:val="24"/>
                            <w:szCs w:val="24"/>
                          </w:rPr>
                          <m:t>0</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0</m:t>
                        </m:r>
                      </m:sub>
                    </m:sSub>
                  </m:e>
                </m:nary>
              </m:den>
            </m:f>
          </m:e>
        </m:func>
      </m:oMath>
      <w:r w:rsidR="00140F1E">
        <w:rPr>
          <w:rFonts w:ascii="Times New Roman" w:eastAsiaTheme="minorEastAsia" w:hAnsi="Times New Roman" w:cs="Times New Roman"/>
          <w:sz w:val="24"/>
          <w:szCs w:val="24"/>
        </w:rPr>
        <w:t xml:space="preserve">                                                                                                            (Eq.1)</w:t>
      </w:r>
    </w:p>
    <w:p w14:paraId="5D810316" w14:textId="77777777" w:rsidR="00140F1E" w:rsidRDefault="00140F1E" w:rsidP="00140F1E">
      <w:pPr>
        <w:spacing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Sujeito a:</w:t>
      </w:r>
    </w:p>
    <w:p w14:paraId="39604B98" w14:textId="77777777" w:rsidR="00140F1E" w:rsidRPr="0045053E" w:rsidRDefault="00000000" w:rsidP="00140F1E">
      <w:pPr>
        <w:spacing w:after="120" w:line="360" w:lineRule="auto"/>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r</m:t>
                </m:r>
                <m:r>
                  <w:rPr>
                    <w:rFonts w:ascii="Cambria Math" w:hAnsi="Cambria Math" w:cs="Times New Roman"/>
                    <w:sz w:val="24"/>
                    <w:szCs w:val="24"/>
                  </w:rPr>
                  <m:t>=1</m:t>
                </m:r>
              </m:sub>
              <m:sup>
                <m:r>
                  <w:rPr>
                    <w:rFonts w:ascii="Cambria Math" w:hAnsi="Cambria Math" w:cs="Times New Roman"/>
                    <w:sz w:val="24"/>
                    <w:szCs w:val="24"/>
                  </w:rPr>
                  <m:t>s</m:t>
                </m:r>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rj</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den>
        </m:f>
        <m:r>
          <w:rPr>
            <w:rFonts w:ascii="Cambria Math" w:hAnsi="Cambria Math" w:cs="Times New Roman"/>
            <w:sz w:val="24"/>
            <w:szCs w:val="24"/>
          </w:rPr>
          <m:t xml:space="preserve"> ≤1;      </m:t>
        </m:r>
        <m:r>
          <w:rPr>
            <w:rFonts w:ascii="Cambria Math" w:hAnsi="Cambria Math" w:cs="Times New Roman"/>
            <w:sz w:val="24"/>
            <w:szCs w:val="24"/>
          </w:rPr>
          <m:t>j</m:t>
        </m:r>
        <m:r>
          <w:rPr>
            <w:rFonts w:ascii="Cambria Math" w:hAnsi="Cambria Math" w:cs="Times New Roman"/>
            <w:sz w:val="24"/>
            <w:szCs w:val="24"/>
          </w:rPr>
          <m:t>=1,…,</m:t>
        </m:r>
        <m:r>
          <w:rPr>
            <w:rFonts w:ascii="Cambria Math" w:hAnsi="Cambria Math" w:cs="Times New Roman"/>
            <w:sz w:val="24"/>
            <w:szCs w:val="24"/>
          </w:rPr>
          <m:t>n</m:t>
        </m:r>
        <m:r>
          <w:rPr>
            <w:rFonts w:ascii="Cambria Math" w:hAnsi="Cambria Math" w:cs="Times New Roman"/>
            <w:sz w:val="24"/>
            <w:szCs w:val="24"/>
          </w:rPr>
          <m:t>.</m:t>
        </m:r>
      </m:oMath>
      <w:r w:rsidR="00140F1E" w:rsidRPr="0045053E">
        <w:rPr>
          <w:rFonts w:ascii="Times New Roman" w:eastAsiaTheme="minorEastAsia" w:hAnsi="Times New Roman" w:cs="Times New Roman"/>
          <w:sz w:val="24"/>
          <w:szCs w:val="24"/>
        </w:rPr>
        <w:t xml:space="preserve">   </w:t>
      </w:r>
    </w:p>
    <w:p w14:paraId="3E40CF93" w14:textId="77777777" w:rsidR="00140F1E" w:rsidRPr="0045053E" w:rsidRDefault="00000000" w:rsidP="00140F1E">
      <w:pPr>
        <w:spacing w:after="120"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≥0;      </m:t>
        </m:r>
        <m:r>
          <w:rPr>
            <w:rFonts w:ascii="Cambria Math" w:hAnsi="Cambria Math" w:cs="Times New Roman"/>
            <w:sz w:val="24"/>
            <w:szCs w:val="24"/>
          </w:rPr>
          <m:t>r</m:t>
        </m:r>
        <m:r>
          <w:rPr>
            <w:rFonts w:ascii="Cambria Math" w:hAnsi="Cambria Math" w:cs="Times New Roman"/>
            <w:sz w:val="24"/>
            <w:szCs w:val="24"/>
          </w:rPr>
          <m:t>=1,…,</m:t>
        </m:r>
        <m:r>
          <w:rPr>
            <w:rFonts w:ascii="Cambria Math" w:hAnsi="Cambria Math" w:cs="Times New Roman"/>
            <w:sz w:val="24"/>
            <w:szCs w:val="24"/>
          </w:rPr>
          <m:t>s</m:t>
        </m:r>
        <m:r>
          <w:rPr>
            <w:rFonts w:ascii="Cambria Math" w:hAnsi="Cambria Math" w:cs="Times New Roman"/>
            <w:sz w:val="24"/>
            <w:szCs w:val="24"/>
          </w:rPr>
          <m:t xml:space="preserve">;        </m:t>
        </m:r>
        <m:r>
          <w:rPr>
            <w:rFonts w:ascii="Cambria Math" w:hAnsi="Cambria Math" w:cs="Times New Roman"/>
            <w:sz w:val="24"/>
            <w:szCs w:val="24"/>
          </w:rPr>
          <m:t>i</m:t>
        </m:r>
        <m:r>
          <w:rPr>
            <w:rFonts w:ascii="Cambria Math" w:hAnsi="Cambria Math" w:cs="Times New Roman"/>
            <w:sz w:val="24"/>
            <w:szCs w:val="24"/>
          </w:rPr>
          <m:t>=1,…,</m:t>
        </m:r>
        <m:r>
          <w:rPr>
            <w:rFonts w:ascii="Cambria Math" w:hAnsi="Cambria Math" w:cs="Times New Roman"/>
            <w:sz w:val="24"/>
            <w:szCs w:val="24"/>
          </w:rPr>
          <m:t>m</m:t>
        </m:r>
        <m:r>
          <w:rPr>
            <w:rFonts w:ascii="Cambria Math" w:hAnsi="Cambria Math" w:cs="Times New Roman"/>
            <w:sz w:val="24"/>
            <w:szCs w:val="24"/>
          </w:rPr>
          <m:t>.</m:t>
        </m:r>
      </m:oMath>
      <w:r w:rsidR="00140F1E" w:rsidRPr="0045053E">
        <w:rPr>
          <w:rFonts w:ascii="Times New Roman" w:eastAsiaTheme="minorEastAsia" w:hAnsi="Times New Roman" w:cs="Times New Roman"/>
          <w:sz w:val="24"/>
          <w:szCs w:val="24"/>
        </w:rPr>
        <w:t xml:space="preserve"> </w:t>
      </w:r>
    </w:p>
    <w:p w14:paraId="57680D92" w14:textId="56338141" w:rsidR="00140F1E" w:rsidRPr="00FC64D9" w:rsidRDefault="005C2E85" w:rsidP="00140F1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 qual</w:t>
      </w:r>
      <w:r w:rsidR="00140F1E" w:rsidRPr="00FC64D9">
        <w:rPr>
          <w:rFonts w:ascii="Times New Roman" w:hAnsi="Times New Roman" w:cs="Times New Roman"/>
          <w:sz w:val="24"/>
          <w:szCs w:val="24"/>
        </w:rPr>
        <w:t xml:space="preserve">, </w:t>
      </w:r>
      <w:proofErr w:type="spellStart"/>
      <w:r w:rsidR="00140F1E" w:rsidRPr="00FC64D9">
        <w:rPr>
          <w:rFonts w:ascii="Times New Roman" w:hAnsi="Times New Roman" w:cs="Times New Roman"/>
          <w:i/>
          <w:sz w:val="24"/>
          <w:szCs w:val="24"/>
        </w:rPr>
        <w:t>y</w:t>
      </w:r>
      <w:r w:rsidR="00140F1E" w:rsidRPr="00FC64D9">
        <w:rPr>
          <w:rFonts w:ascii="Times New Roman" w:hAnsi="Times New Roman" w:cs="Times New Roman"/>
          <w:i/>
          <w:sz w:val="24"/>
          <w:szCs w:val="24"/>
          <w:vertAlign w:val="subscript"/>
        </w:rPr>
        <w:t>rj</w:t>
      </w:r>
      <w:proofErr w:type="spellEnd"/>
      <w:r w:rsidR="00140F1E" w:rsidRPr="00FC64D9">
        <w:rPr>
          <w:rFonts w:ascii="Times New Roman" w:hAnsi="Times New Roman" w:cs="Times New Roman"/>
          <w:i/>
          <w:sz w:val="24"/>
          <w:szCs w:val="24"/>
        </w:rPr>
        <w:t xml:space="preserve"> e </w:t>
      </w:r>
      <w:proofErr w:type="spellStart"/>
      <w:r w:rsidR="00140F1E" w:rsidRPr="00FC64D9">
        <w:rPr>
          <w:rFonts w:ascii="Times New Roman" w:hAnsi="Times New Roman" w:cs="Times New Roman"/>
          <w:i/>
          <w:sz w:val="24"/>
          <w:szCs w:val="24"/>
        </w:rPr>
        <w:t>x</w:t>
      </w:r>
      <w:r w:rsidR="00140F1E" w:rsidRPr="00FC64D9">
        <w:rPr>
          <w:rFonts w:ascii="Times New Roman" w:hAnsi="Times New Roman" w:cs="Times New Roman"/>
          <w:i/>
          <w:sz w:val="24"/>
          <w:szCs w:val="24"/>
          <w:vertAlign w:val="subscript"/>
        </w:rPr>
        <w:t>ij</w:t>
      </w:r>
      <w:proofErr w:type="spellEnd"/>
      <w:r w:rsidR="00140F1E">
        <w:rPr>
          <w:rFonts w:ascii="Times New Roman" w:hAnsi="Times New Roman" w:cs="Times New Roman"/>
          <w:sz w:val="24"/>
          <w:szCs w:val="24"/>
        </w:rPr>
        <w:t xml:space="preserve"> (positivos) são os </w:t>
      </w:r>
      <w:r w:rsidR="00140F1E" w:rsidRPr="00FC64D9">
        <w:rPr>
          <w:rFonts w:ascii="Times New Roman" w:hAnsi="Times New Roman" w:cs="Times New Roman"/>
          <w:i/>
          <w:sz w:val="24"/>
          <w:szCs w:val="24"/>
        </w:rPr>
        <w:t>outputs</w:t>
      </w:r>
      <w:r w:rsidR="00140F1E">
        <w:rPr>
          <w:rFonts w:ascii="Times New Roman" w:hAnsi="Times New Roman" w:cs="Times New Roman"/>
          <w:sz w:val="24"/>
          <w:szCs w:val="24"/>
        </w:rPr>
        <w:t xml:space="preserve"> e </w:t>
      </w:r>
      <w:r w:rsidR="00140F1E" w:rsidRPr="00FC64D9">
        <w:rPr>
          <w:rFonts w:ascii="Times New Roman" w:hAnsi="Times New Roman" w:cs="Times New Roman"/>
          <w:i/>
          <w:sz w:val="24"/>
          <w:szCs w:val="24"/>
        </w:rPr>
        <w:t>inputs</w:t>
      </w:r>
      <w:r w:rsidR="00140F1E">
        <w:rPr>
          <w:rFonts w:ascii="Times New Roman" w:hAnsi="Times New Roman" w:cs="Times New Roman"/>
          <w:sz w:val="24"/>
          <w:szCs w:val="24"/>
        </w:rPr>
        <w:t xml:space="preserve"> da </w:t>
      </w:r>
      <w:r w:rsidR="00140F1E" w:rsidRPr="00FC64D9">
        <w:rPr>
          <w:rFonts w:ascii="Times New Roman" w:hAnsi="Times New Roman" w:cs="Times New Roman"/>
          <w:i/>
          <w:sz w:val="24"/>
          <w:szCs w:val="24"/>
        </w:rPr>
        <w:t>j-ésima</w:t>
      </w:r>
      <w:r w:rsidR="00140F1E">
        <w:rPr>
          <w:rFonts w:ascii="Times New Roman" w:hAnsi="Times New Roman" w:cs="Times New Roman"/>
          <w:sz w:val="24"/>
          <w:szCs w:val="24"/>
        </w:rPr>
        <w:t xml:space="preserve"> DMU e </w:t>
      </w:r>
      <w:r w:rsidR="00140F1E" w:rsidRPr="00FC64D9">
        <w:rPr>
          <w:rFonts w:ascii="Times New Roman" w:hAnsi="Times New Roman" w:cs="Times New Roman"/>
          <w:i/>
          <w:sz w:val="24"/>
          <w:szCs w:val="24"/>
        </w:rPr>
        <w:t>u</w:t>
      </w:r>
      <w:r w:rsidR="00140F1E" w:rsidRPr="00FC64D9">
        <w:rPr>
          <w:rFonts w:ascii="Times New Roman" w:hAnsi="Times New Roman" w:cs="Times New Roman"/>
          <w:i/>
          <w:sz w:val="24"/>
          <w:szCs w:val="24"/>
          <w:vertAlign w:val="subscript"/>
        </w:rPr>
        <w:t>r</w:t>
      </w:r>
      <w:r w:rsidR="00140F1E" w:rsidRPr="00FC64D9">
        <w:rPr>
          <w:rFonts w:ascii="Times New Roman" w:hAnsi="Times New Roman" w:cs="Times New Roman"/>
          <w:i/>
          <w:sz w:val="24"/>
          <w:szCs w:val="24"/>
        </w:rPr>
        <w:t xml:space="preserve"> e v</w:t>
      </w:r>
      <w:r w:rsidR="00140F1E" w:rsidRPr="00FC64D9">
        <w:rPr>
          <w:rFonts w:ascii="Times New Roman" w:hAnsi="Times New Roman" w:cs="Times New Roman"/>
          <w:i/>
          <w:sz w:val="24"/>
          <w:szCs w:val="24"/>
          <w:vertAlign w:val="subscript"/>
        </w:rPr>
        <w:t>i</w:t>
      </w:r>
      <w:r w:rsidR="00140F1E">
        <w:rPr>
          <w:rFonts w:ascii="Times New Roman" w:hAnsi="Times New Roman" w:cs="Times New Roman"/>
          <w:sz w:val="24"/>
          <w:szCs w:val="24"/>
          <w:vertAlign w:val="subscript"/>
        </w:rPr>
        <w:t xml:space="preserve"> </w:t>
      </w:r>
      <w:r w:rsidR="00140F1E" w:rsidRPr="00FC64D9">
        <w:rPr>
          <w:rFonts w:ascii="Times New Roman" w:hAnsi="Times New Roman" w:cs="Times New Roman"/>
          <w:sz w:val="24"/>
          <w:szCs w:val="24"/>
        </w:rPr>
        <w:t>≥ 0 são os pesos variáveis para determinar</w:t>
      </w:r>
      <w:r w:rsidR="00140F1E">
        <w:rPr>
          <w:rFonts w:ascii="Times New Roman" w:hAnsi="Times New Roman" w:cs="Times New Roman"/>
          <w:sz w:val="24"/>
          <w:szCs w:val="24"/>
          <w:vertAlign w:val="subscript"/>
        </w:rPr>
        <w:t xml:space="preserve"> </w:t>
      </w:r>
      <w:r w:rsidR="00140F1E">
        <w:rPr>
          <w:rFonts w:ascii="Times New Roman" w:hAnsi="Times New Roman" w:cs="Times New Roman"/>
          <w:sz w:val="24"/>
          <w:szCs w:val="24"/>
        </w:rPr>
        <w:t>a solução do problema.</w:t>
      </w:r>
    </w:p>
    <w:p w14:paraId="4DDD8BB4" w14:textId="77777777" w:rsidR="00140F1E" w:rsidRPr="00FC64D9" w:rsidRDefault="00140F1E" w:rsidP="00140F1E">
      <w:pPr>
        <w:spacing w:after="120" w:line="360" w:lineRule="auto"/>
        <w:jc w:val="both"/>
        <w:rPr>
          <w:rFonts w:ascii="Times New Roman" w:hAnsi="Times New Roman" w:cs="Times New Roman"/>
          <w:sz w:val="24"/>
          <w:szCs w:val="24"/>
        </w:rPr>
      </w:pPr>
      <w:r w:rsidRPr="00F052F6">
        <w:rPr>
          <w:rFonts w:ascii="Times New Roman" w:hAnsi="Times New Roman" w:cs="Times New Roman"/>
          <w:sz w:val="24"/>
          <w:szCs w:val="24"/>
        </w:rPr>
        <w:t>Ao calcular a eficiência relativa das DMU, a DEA fornece uma classificação das diferentes alternativas cujo comportamento é medido em relação a uma referência</w:t>
      </w:r>
      <w:r>
        <w:rPr>
          <w:rFonts w:ascii="Times New Roman" w:hAnsi="Times New Roman" w:cs="Times New Roman"/>
          <w:sz w:val="24"/>
          <w:szCs w:val="24"/>
        </w:rPr>
        <w:t xml:space="preserve"> (</w:t>
      </w:r>
      <w:r w:rsidRPr="0002029A">
        <w:rPr>
          <w:rFonts w:ascii="Times New Roman" w:hAnsi="Times New Roman" w:cs="Times New Roman"/>
          <w:i/>
          <w:sz w:val="24"/>
          <w:szCs w:val="24"/>
        </w:rPr>
        <w:t>benchmark</w:t>
      </w:r>
      <w:r>
        <w:rPr>
          <w:rFonts w:ascii="Times New Roman" w:hAnsi="Times New Roman" w:cs="Times New Roman"/>
          <w:sz w:val="24"/>
          <w:szCs w:val="24"/>
        </w:rPr>
        <w:t>)</w:t>
      </w:r>
      <w:r w:rsidRPr="00F052F6">
        <w:rPr>
          <w:rFonts w:ascii="Times New Roman" w:hAnsi="Times New Roman" w:cs="Times New Roman"/>
          <w:sz w:val="24"/>
          <w:szCs w:val="24"/>
        </w:rPr>
        <w:t xml:space="preserve"> definida pela mais eficiente. Estes valores de eficiência resultam de um problema de otimização que avalia a capacidade das DMU para produzir um determinado conjunto de </w:t>
      </w:r>
      <w:r w:rsidRPr="0002029A">
        <w:rPr>
          <w:rFonts w:ascii="Times New Roman" w:hAnsi="Times New Roman" w:cs="Times New Roman"/>
          <w:i/>
          <w:sz w:val="24"/>
          <w:szCs w:val="24"/>
        </w:rPr>
        <w:t>outputs</w:t>
      </w:r>
      <w:r w:rsidRPr="00F052F6">
        <w:rPr>
          <w:rFonts w:ascii="Times New Roman" w:hAnsi="Times New Roman" w:cs="Times New Roman"/>
          <w:sz w:val="24"/>
          <w:szCs w:val="24"/>
        </w:rPr>
        <w:t xml:space="preserve"> utilizando uma série de </w:t>
      </w:r>
      <w:r w:rsidRPr="0002029A">
        <w:rPr>
          <w:rFonts w:ascii="Times New Roman" w:hAnsi="Times New Roman" w:cs="Times New Roman"/>
          <w:i/>
          <w:sz w:val="24"/>
          <w:szCs w:val="24"/>
        </w:rPr>
        <w:t>inputs</w:t>
      </w:r>
      <w:r>
        <w:rPr>
          <w:rFonts w:ascii="Times New Roman" w:hAnsi="Times New Roman" w:cs="Times New Roman"/>
          <w:sz w:val="24"/>
          <w:szCs w:val="24"/>
        </w:rPr>
        <w:t xml:space="preserve"> (Tavana </w:t>
      </w:r>
      <w:r w:rsidRPr="0002029A">
        <w:rPr>
          <w:rFonts w:ascii="Times New Roman" w:hAnsi="Times New Roman" w:cs="Times New Roman"/>
          <w:i/>
          <w:sz w:val="24"/>
          <w:szCs w:val="24"/>
        </w:rPr>
        <w:t>et al.,</w:t>
      </w:r>
      <w:r>
        <w:rPr>
          <w:rFonts w:ascii="Times New Roman" w:hAnsi="Times New Roman" w:cs="Times New Roman"/>
          <w:sz w:val="24"/>
          <w:szCs w:val="24"/>
        </w:rPr>
        <w:t xml:space="preserve"> 2023).</w:t>
      </w:r>
    </w:p>
    <w:p w14:paraId="47456749" w14:textId="77777777" w:rsidR="00140F1E" w:rsidRPr="003E0E4E" w:rsidRDefault="00140F1E" w:rsidP="00140F1E">
      <w:pPr>
        <w:spacing w:after="120" w:line="360" w:lineRule="auto"/>
        <w:jc w:val="both"/>
        <w:rPr>
          <w:rFonts w:ascii="Times New Roman" w:hAnsi="Times New Roman" w:cs="Times New Roman"/>
          <w:sz w:val="24"/>
          <w:szCs w:val="24"/>
        </w:rPr>
      </w:pPr>
      <w:r w:rsidRPr="003E0E4E">
        <w:rPr>
          <w:rFonts w:ascii="Times New Roman" w:hAnsi="Times New Roman" w:cs="Times New Roman"/>
          <w:sz w:val="24"/>
          <w:szCs w:val="24"/>
        </w:rPr>
        <w:t xml:space="preserve">O </w:t>
      </w:r>
      <w:r w:rsidRPr="00A83BB6">
        <w:rPr>
          <w:rFonts w:ascii="Times New Roman" w:hAnsi="Times New Roman" w:cs="Times New Roman"/>
          <w:i/>
          <w:sz w:val="24"/>
          <w:szCs w:val="24"/>
        </w:rPr>
        <w:t>benchmarking</w:t>
      </w:r>
      <w:r w:rsidRPr="003E0E4E">
        <w:rPr>
          <w:rFonts w:ascii="Times New Roman" w:hAnsi="Times New Roman" w:cs="Times New Roman"/>
          <w:sz w:val="24"/>
          <w:szCs w:val="24"/>
        </w:rPr>
        <w:t xml:space="preserve"> é um processo de definição de medidas de comparação de desempenho entre DMUs semelhantes, usando-as para determinar as posições relativas das DMUs e, por fim, estabelecer um padrão de excelência. Nesse sentido, a DEA pode ser considerada uma ferramenta de </w:t>
      </w:r>
      <w:r w:rsidRPr="00A83BB6">
        <w:rPr>
          <w:rFonts w:ascii="Times New Roman" w:hAnsi="Times New Roman" w:cs="Times New Roman"/>
          <w:i/>
          <w:sz w:val="24"/>
          <w:szCs w:val="24"/>
        </w:rPr>
        <w:t>benchmarking</w:t>
      </w:r>
      <w:r w:rsidRPr="003E0E4E">
        <w:rPr>
          <w:rFonts w:ascii="Times New Roman" w:hAnsi="Times New Roman" w:cs="Times New Roman"/>
          <w:sz w:val="24"/>
          <w:szCs w:val="24"/>
        </w:rPr>
        <w:t>, pois a fronteira identificada pode ser considerada um padrão empírico de excelência. Depois que a fronteira é estabelecida, podemos comparar um conjunto de novas DMUs com a fronteira (Zhu, 2009).</w:t>
      </w:r>
    </w:p>
    <w:p w14:paraId="57D24CF4" w14:textId="77777777" w:rsidR="00A56E44" w:rsidRDefault="00A56E44" w:rsidP="002C6DEE">
      <w:pPr>
        <w:spacing w:line="360" w:lineRule="auto"/>
        <w:rPr>
          <w:rFonts w:ascii="Times New Roman" w:hAnsi="Times New Roman" w:cs="Times New Roman"/>
          <w:b/>
          <w:bCs/>
          <w:sz w:val="24"/>
          <w:szCs w:val="24"/>
        </w:rPr>
      </w:pPr>
    </w:p>
    <w:p w14:paraId="157BC2A6" w14:textId="2C1FB793" w:rsidR="00DD44D5" w:rsidRDefault="00DD44D5" w:rsidP="002C6DEE">
      <w:pPr>
        <w:spacing w:line="360" w:lineRule="auto"/>
        <w:rPr>
          <w:rFonts w:ascii="Times New Roman" w:hAnsi="Times New Roman" w:cs="Times New Roman"/>
          <w:b/>
          <w:bCs/>
          <w:sz w:val="24"/>
          <w:szCs w:val="24"/>
        </w:rPr>
      </w:pPr>
      <w:r>
        <w:rPr>
          <w:rFonts w:ascii="Times New Roman" w:hAnsi="Times New Roman" w:cs="Times New Roman"/>
          <w:b/>
          <w:bCs/>
          <w:sz w:val="24"/>
          <w:szCs w:val="24"/>
        </w:rPr>
        <w:t>3. Método de Pesquisa</w:t>
      </w:r>
    </w:p>
    <w:p w14:paraId="7FE1122C" w14:textId="77777777" w:rsidR="008F0D3A" w:rsidRDefault="00C445F2" w:rsidP="008F0D3A">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De acordo com</w:t>
      </w:r>
      <w:r w:rsidRPr="00C445F2">
        <w:rPr>
          <w:rFonts w:ascii="Times New Roman" w:hAnsi="Times New Roman" w:cs="Times New Roman"/>
          <w:sz w:val="24"/>
          <w:szCs w:val="24"/>
        </w:rPr>
        <w:t xml:space="preserve"> Bertrand et al. (2024), este estudo </w:t>
      </w:r>
      <w:r>
        <w:rPr>
          <w:rFonts w:ascii="Times New Roman" w:hAnsi="Times New Roman" w:cs="Times New Roman"/>
          <w:sz w:val="24"/>
          <w:szCs w:val="24"/>
        </w:rPr>
        <w:t>pode ser</w:t>
      </w:r>
      <w:r w:rsidRPr="00C445F2">
        <w:rPr>
          <w:rFonts w:ascii="Times New Roman" w:hAnsi="Times New Roman" w:cs="Times New Roman"/>
          <w:sz w:val="24"/>
          <w:szCs w:val="24"/>
        </w:rPr>
        <w:t xml:space="preserve"> caracterizado como </w:t>
      </w:r>
      <w:r>
        <w:rPr>
          <w:rFonts w:ascii="Times New Roman" w:hAnsi="Times New Roman" w:cs="Times New Roman"/>
          <w:sz w:val="24"/>
          <w:szCs w:val="24"/>
        </w:rPr>
        <w:t xml:space="preserve">uma </w:t>
      </w:r>
      <w:r w:rsidRPr="00C445F2">
        <w:rPr>
          <w:rFonts w:ascii="Times New Roman" w:hAnsi="Times New Roman" w:cs="Times New Roman"/>
          <w:sz w:val="24"/>
          <w:szCs w:val="24"/>
        </w:rPr>
        <w:t xml:space="preserve">pesquisa aplicada, com objetivos empíricos normativos. </w:t>
      </w:r>
      <w:r>
        <w:rPr>
          <w:rFonts w:ascii="Times New Roman" w:hAnsi="Times New Roman" w:cs="Times New Roman"/>
          <w:sz w:val="24"/>
          <w:szCs w:val="24"/>
        </w:rPr>
        <w:t>Esta classificação é justificada já que possui como</w:t>
      </w:r>
      <w:r w:rsidRPr="00C445F2">
        <w:rPr>
          <w:rFonts w:ascii="Times New Roman" w:hAnsi="Times New Roman" w:cs="Times New Roman"/>
          <w:sz w:val="24"/>
          <w:szCs w:val="24"/>
        </w:rPr>
        <w:t xml:space="preserve"> foco formular políticas e estratégias destinadas a melhorar uma situação presente. A abordagem metodológica adotada é predominantemente quantitativa, utilizando pesquisa de campo como meio e procedimentos técnicos de modelagem </w:t>
      </w:r>
      <w:r w:rsidR="008F0D3A">
        <w:rPr>
          <w:rFonts w:ascii="Times New Roman" w:hAnsi="Times New Roman" w:cs="Times New Roman"/>
          <w:sz w:val="24"/>
          <w:szCs w:val="24"/>
        </w:rPr>
        <w:t>matemática</w:t>
      </w:r>
      <w:r w:rsidRPr="00C445F2">
        <w:rPr>
          <w:rFonts w:ascii="Times New Roman" w:hAnsi="Times New Roman" w:cs="Times New Roman"/>
          <w:sz w:val="24"/>
          <w:szCs w:val="24"/>
        </w:rPr>
        <w:t>. Esses elementos são essenciais para compreender e enfrentar o problema em questão</w:t>
      </w:r>
      <w:r w:rsidR="008F0D3A">
        <w:rPr>
          <w:rFonts w:ascii="Times New Roman" w:hAnsi="Times New Roman" w:cs="Times New Roman"/>
          <w:sz w:val="24"/>
          <w:szCs w:val="24"/>
        </w:rPr>
        <w:t>.</w:t>
      </w:r>
      <w:r w:rsidRPr="00C445F2">
        <w:rPr>
          <w:rFonts w:ascii="Times New Roman" w:hAnsi="Times New Roman" w:cs="Times New Roman"/>
          <w:sz w:val="24"/>
          <w:szCs w:val="24"/>
        </w:rPr>
        <w:t xml:space="preserve"> </w:t>
      </w:r>
    </w:p>
    <w:p w14:paraId="56B5805C" w14:textId="747F3C85" w:rsidR="008F0D3A" w:rsidRDefault="008F0D3A" w:rsidP="00C445F2">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aplicação do Modelo DEA CCR aos municípios brasileiros segue a estrutura proposta na Figura 1. </w:t>
      </w:r>
    </w:p>
    <w:p w14:paraId="637CB08D" w14:textId="79241A1F" w:rsidR="00294DE1" w:rsidRDefault="006D7B29" w:rsidP="00294DE1">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Figura 1 – Estrutura de A</w:t>
      </w:r>
      <w:r w:rsidR="00294DE1">
        <w:rPr>
          <w:rFonts w:ascii="Times New Roman" w:hAnsi="Times New Roman" w:cs="Times New Roman"/>
          <w:sz w:val="24"/>
          <w:szCs w:val="24"/>
        </w:rPr>
        <w:t xml:space="preserve">plicação dos </w:t>
      </w:r>
      <w:r>
        <w:rPr>
          <w:rFonts w:ascii="Times New Roman" w:hAnsi="Times New Roman" w:cs="Times New Roman"/>
          <w:sz w:val="24"/>
          <w:szCs w:val="24"/>
        </w:rPr>
        <w:t>P</w:t>
      </w:r>
      <w:r w:rsidR="00294DE1">
        <w:rPr>
          <w:rFonts w:ascii="Times New Roman" w:hAnsi="Times New Roman" w:cs="Times New Roman"/>
          <w:sz w:val="24"/>
          <w:szCs w:val="24"/>
        </w:rPr>
        <w:t>assos da Pesquisa</w:t>
      </w:r>
    </w:p>
    <w:p w14:paraId="21C125DA" w14:textId="70A76BFB" w:rsidR="00C445F2" w:rsidRDefault="00294DE1" w:rsidP="00294DE1">
      <w:pPr>
        <w:spacing w:after="12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14:anchorId="47756FE9" wp14:editId="6E5FE7A5">
            <wp:extent cx="4540616" cy="3858260"/>
            <wp:effectExtent l="0" t="0" r="0" b="8890"/>
            <wp:docPr id="7185805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8874" cy="3865277"/>
                    </a:xfrm>
                    <a:prstGeom prst="rect">
                      <a:avLst/>
                    </a:prstGeom>
                    <a:noFill/>
                  </pic:spPr>
                </pic:pic>
              </a:graphicData>
            </a:graphic>
          </wp:inline>
        </w:drawing>
      </w:r>
    </w:p>
    <w:p w14:paraId="6CD17108" w14:textId="5E7845BA" w:rsidR="00C445F2" w:rsidRDefault="006D7B29" w:rsidP="00C445F2">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A pesquisa se divide em 7 etapas:</w:t>
      </w:r>
    </w:p>
    <w:p w14:paraId="4717E575" w14:textId="4F548B42" w:rsidR="006D7B29" w:rsidRPr="006D7B29" w:rsidRDefault="006D7B29" w:rsidP="006D7B29">
      <w:pPr>
        <w:pStyle w:val="PargrafodaLista"/>
        <w:numPr>
          <w:ilvl w:val="0"/>
          <w:numId w:val="3"/>
        </w:numPr>
        <w:spacing w:after="120" w:line="360" w:lineRule="auto"/>
        <w:jc w:val="both"/>
        <w:rPr>
          <w:rFonts w:ascii="Times New Roman" w:hAnsi="Times New Roman" w:cs="Times New Roman"/>
          <w:sz w:val="24"/>
          <w:szCs w:val="24"/>
        </w:rPr>
      </w:pPr>
      <w:r w:rsidRPr="006D7B29">
        <w:rPr>
          <w:rFonts w:ascii="Times New Roman" w:hAnsi="Times New Roman" w:cs="Times New Roman"/>
          <w:sz w:val="24"/>
          <w:szCs w:val="24"/>
        </w:rPr>
        <w:t xml:space="preserve">Definição dos municípios: </w:t>
      </w:r>
      <w:r>
        <w:rPr>
          <w:rFonts w:ascii="Times New Roman" w:hAnsi="Times New Roman" w:cs="Times New Roman"/>
          <w:sz w:val="24"/>
          <w:szCs w:val="24"/>
        </w:rPr>
        <w:t>todos os 5570 municípios brasileiros são elegíveis a participarem da presente pesquisa, logo a pesquisa inicia com a possibilidade de se utilizar todos os municípios brasileiros, no entanto, a pesquisa se limitará aos municípios para os quais existam dados disponíveis</w:t>
      </w:r>
      <w:r w:rsidR="005B0A9F">
        <w:rPr>
          <w:rFonts w:ascii="Times New Roman" w:hAnsi="Times New Roman" w:cs="Times New Roman"/>
          <w:sz w:val="24"/>
          <w:szCs w:val="24"/>
        </w:rPr>
        <w:t xml:space="preserve"> em órgãos oficiais do estado ou de apoio a esta pesquisa. </w:t>
      </w:r>
      <w:r>
        <w:rPr>
          <w:rFonts w:ascii="Times New Roman" w:hAnsi="Times New Roman" w:cs="Times New Roman"/>
          <w:sz w:val="24"/>
          <w:szCs w:val="24"/>
        </w:rPr>
        <w:t xml:space="preserve">  </w:t>
      </w:r>
    </w:p>
    <w:p w14:paraId="6C6B9D2C" w14:textId="3EEC5082" w:rsidR="006D7B29" w:rsidRDefault="006D7B29" w:rsidP="005B0A9F">
      <w:pPr>
        <w:pStyle w:val="PargrafodaLista"/>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Levantamento dos Dados: serão utilizados nesta pesquisa o orçamento </w:t>
      </w:r>
      <w:r w:rsidR="005B0A9F">
        <w:rPr>
          <w:rFonts w:ascii="Times New Roman" w:hAnsi="Times New Roman" w:cs="Times New Roman"/>
          <w:sz w:val="24"/>
          <w:szCs w:val="24"/>
        </w:rPr>
        <w:t xml:space="preserve">público </w:t>
      </w:r>
      <w:r>
        <w:rPr>
          <w:rFonts w:ascii="Times New Roman" w:hAnsi="Times New Roman" w:cs="Times New Roman"/>
          <w:sz w:val="24"/>
          <w:szCs w:val="24"/>
        </w:rPr>
        <w:t>municipal dividido por suas principais contas, normalizado p</w:t>
      </w:r>
      <w:r w:rsidR="005B0A9F">
        <w:rPr>
          <w:rFonts w:ascii="Times New Roman" w:hAnsi="Times New Roman" w:cs="Times New Roman"/>
          <w:sz w:val="24"/>
          <w:szCs w:val="24"/>
        </w:rPr>
        <w:t xml:space="preserve">ela população de cada município. Os dados dos orçamentos municipais serão obtidos do </w:t>
      </w:r>
      <w:r w:rsidR="005B0A9F" w:rsidRPr="005B0A9F">
        <w:rPr>
          <w:rFonts w:ascii="Times New Roman" w:hAnsi="Times New Roman" w:cs="Times New Roman"/>
          <w:sz w:val="24"/>
          <w:szCs w:val="24"/>
        </w:rPr>
        <w:t>Sistema de Informações Contábeis e Fiscais do Setor Público Brasileiro</w:t>
      </w:r>
      <w:r w:rsidR="005B0A9F">
        <w:rPr>
          <w:rFonts w:ascii="Times New Roman" w:hAnsi="Times New Roman" w:cs="Times New Roman"/>
          <w:sz w:val="24"/>
          <w:szCs w:val="24"/>
        </w:rPr>
        <w:t xml:space="preserve"> (SICONFI, 2024) e os dados populacionais do Instituto Brasileiro de Geografia e Estatística (IBGE, 2024).</w:t>
      </w:r>
      <w:r>
        <w:rPr>
          <w:rFonts w:ascii="Times New Roman" w:hAnsi="Times New Roman" w:cs="Times New Roman"/>
          <w:sz w:val="24"/>
          <w:szCs w:val="24"/>
        </w:rPr>
        <w:t xml:space="preserve"> </w:t>
      </w:r>
      <w:r w:rsidR="005B0A9F">
        <w:rPr>
          <w:rFonts w:ascii="Times New Roman" w:hAnsi="Times New Roman" w:cs="Times New Roman"/>
          <w:sz w:val="24"/>
          <w:szCs w:val="24"/>
        </w:rPr>
        <w:t>S</w:t>
      </w:r>
      <w:r>
        <w:rPr>
          <w:rFonts w:ascii="Times New Roman" w:hAnsi="Times New Roman" w:cs="Times New Roman"/>
          <w:sz w:val="24"/>
          <w:szCs w:val="24"/>
        </w:rPr>
        <w:t>erão utilizados também as notas médias dos Objetivos de Desen</w:t>
      </w:r>
      <w:r w:rsidR="005B0A9F">
        <w:rPr>
          <w:rFonts w:ascii="Times New Roman" w:hAnsi="Times New Roman" w:cs="Times New Roman"/>
          <w:sz w:val="24"/>
          <w:szCs w:val="24"/>
        </w:rPr>
        <w:t xml:space="preserve">volvimento Sustentável por município que </w:t>
      </w:r>
      <w:r w:rsidR="005B0A9F" w:rsidRPr="005B0A9F">
        <w:rPr>
          <w:rFonts w:ascii="Times New Roman" w:hAnsi="Times New Roman" w:cs="Times New Roman"/>
          <w:sz w:val="24"/>
          <w:szCs w:val="24"/>
        </w:rPr>
        <w:t>compõem o Índice de Desenvolvimento Sustentável das Cidades</w:t>
      </w:r>
      <w:r w:rsidR="005B0A9F">
        <w:rPr>
          <w:rFonts w:ascii="Times New Roman" w:hAnsi="Times New Roman" w:cs="Times New Roman"/>
          <w:sz w:val="24"/>
          <w:szCs w:val="24"/>
        </w:rPr>
        <w:t>, disponibilizado em</w:t>
      </w:r>
      <w:r w:rsidR="005B0A9F" w:rsidRPr="005B0A9F">
        <w:rPr>
          <w:rFonts w:ascii="Times New Roman" w:hAnsi="Times New Roman" w:cs="Times New Roman"/>
          <w:sz w:val="24"/>
          <w:szCs w:val="24"/>
        </w:rPr>
        <w:t xml:space="preserve"> </w:t>
      </w:r>
      <w:r w:rsidR="005B0A9F">
        <w:rPr>
          <w:rFonts w:ascii="Times New Roman" w:hAnsi="Times New Roman" w:cs="Times New Roman"/>
          <w:sz w:val="24"/>
          <w:szCs w:val="24"/>
        </w:rPr>
        <w:t>IDSC-BR (</w:t>
      </w:r>
      <w:r w:rsidR="005B0A9F" w:rsidRPr="005B0A9F">
        <w:rPr>
          <w:rFonts w:ascii="Times New Roman" w:hAnsi="Times New Roman" w:cs="Times New Roman"/>
          <w:sz w:val="24"/>
          <w:szCs w:val="24"/>
        </w:rPr>
        <w:t>2024)</w:t>
      </w:r>
      <w:r w:rsidR="005B0A9F">
        <w:rPr>
          <w:rFonts w:ascii="Times New Roman" w:hAnsi="Times New Roman" w:cs="Times New Roman"/>
          <w:sz w:val="24"/>
          <w:szCs w:val="24"/>
        </w:rPr>
        <w:t>. Optou-se por trabalhar com as contas aprovadas dos municípios, fato este que justifica a aplicação da presente pesquisa em dados de 2022</w:t>
      </w:r>
      <w:r w:rsidR="005C2E85">
        <w:rPr>
          <w:rFonts w:ascii="Times New Roman" w:hAnsi="Times New Roman" w:cs="Times New Roman"/>
          <w:sz w:val="24"/>
          <w:szCs w:val="24"/>
        </w:rPr>
        <w:t>, já que as contas municipais de 2023 ainda não se encontram aprovadas pelo SICONFI</w:t>
      </w:r>
      <w:r w:rsidR="005B0A9F">
        <w:rPr>
          <w:rFonts w:ascii="Times New Roman" w:hAnsi="Times New Roman" w:cs="Times New Roman"/>
          <w:sz w:val="24"/>
          <w:szCs w:val="24"/>
        </w:rPr>
        <w:t>.</w:t>
      </w:r>
      <w:r>
        <w:rPr>
          <w:rFonts w:ascii="Times New Roman" w:hAnsi="Times New Roman" w:cs="Times New Roman"/>
          <w:sz w:val="24"/>
          <w:szCs w:val="24"/>
        </w:rPr>
        <w:t xml:space="preserve">  </w:t>
      </w:r>
    </w:p>
    <w:p w14:paraId="2F04D601" w14:textId="74D4526C" w:rsidR="006D7B29" w:rsidRDefault="006D7B29" w:rsidP="006D7B29">
      <w:pPr>
        <w:pStyle w:val="PargrafodaLista"/>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Separação dos municípios por Hierarquia</w:t>
      </w:r>
      <w:r w:rsidR="005B0A9F">
        <w:rPr>
          <w:rFonts w:ascii="Times New Roman" w:hAnsi="Times New Roman" w:cs="Times New Roman"/>
          <w:sz w:val="24"/>
          <w:szCs w:val="24"/>
        </w:rPr>
        <w:t>: para os 5</w:t>
      </w:r>
      <w:r w:rsidR="005C2E85">
        <w:rPr>
          <w:rFonts w:ascii="Times New Roman" w:hAnsi="Times New Roman" w:cs="Times New Roman"/>
          <w:sz w:val="24"/>
          <w:szCs w:val="24"/>
        </w:rPr>
        <w:t>393</w:t>
      </w:r>
      <w:r w:rsidR="005B0A9F">
        <w:rPr>
          <w:rFonts w:ascii="Times New Roman" w:hAnsi="Times New Roman" w:cs="Times New Roman"/>
          <w:sz w:val="24"/>
          <w:szCs w:val="24"/>
        </w:rPr>
        <w:t xml:space="preserve"> municípios para os quais se conseguiram tod</w:t>
      </w:r>
      <w:r w:rsidR="009533F5">
        <w:rPr>
          <w:rFonts w:ascii="Times New Roman" w:hAnsi="Times New Roman" w:cs="Times New Roman"/>
          <w:sz w:val="24"/>
          <w:szCs w:val="24"/>
        </w:rPr>
        <w:t>o</w:t>
      </w:r>
      <w:r w:rsidR="005B0A9F">
        <w:rPr>
          <w:rFonts w:ascii="Times New Roman" w:hAnsi="Times New Roman" w:cs="Times New Roman"/>
          <w:sz w:val="24"/>
          <w:szCs w:val="24"/>
        </w:rPr>
        <w:t xml:space="preserve">s os dados </w:t>
      </w:r>
      <w:r w:rsidR="005C2E85">
        <w:rPr>
          <w:rFonts w:ascii="Times New Roman" w:hAnsi="Times New Roman" w:cs="Times New Roman"/>
          <w:sz w:val="24"/>
          <w:szCs w:val="24"/>
        </w:rPr>
        <w:t>mencionados</w:t>
      </w:r>
      <w:r w:rsidR="005B0A9F">
        <w:rPr>
          <w:rFonts w:ascii="Times New Roman" w:hAnsi="Times New Roman" w:cs="Times New Roman"/>
          <w:sz w:val="24"/>
          <w:szCs w:val="24"/>
        </w:rPr>
        <w:t xml:space="preserve"> anteriormente, estes foram divididos segundo a Hierarquia das cidades de aco</w:t>
      </w:r>
      <w:r w:rsidR="009533F5">
        <w:rPr>
          <w:rFonts w:ascii="Times New Roman" w:hAnsi="Times New Roman" w:cs="Times New Roman"/>
          <w:sz w:val="24"/>
          <w:szCs w:val="24"/>
        </w:rPr>
        <w:t>r</w:t>
      </w:r>
      <w:r w:rsidR="005B0A9F">
        <w:rPr>
          <w:rFonts w:ascii="Times New Roman" w:hAnsi="Times New Roman" w:cs="Times New Roman"/>
          <w:sz w:val="24"/>
          <w:szCs w:val="24"/>
        </w:rPr>
        <w:t xml:space="preserve">do com </w:t>
      </w:r>
      <w:r w:rsidR="009533F5">
        <w:rPr>
          <w:rFonts w:ascii="Times New Roman" w:hAnsi="Times New Roman" w:cs="Times New Roman"/>
          <w:sz w:val="24"/>
          <w:szCs w:val="24"/>
        </w:rPr>
        <w:t>REGIC (2018)</w:t>
      </w:r>
      <w:r w:rsidR="002E719F">
        <w:rPr>
          <w:rFonts w:ascii="Times New Roman" w:hAnsi="Times New Roman" w:cs="Times New Roman"/>
          <w:sz w:val="24"/>
          <w:szCs w:val="24"/>
        </w:rPr>
        <w:t>, que classifica os municípios brasileiros em 5 grandes classes</w:t>
      </w:r>
      <w:r w:rsidR="005C2E85">
        <w:rPr>
          <w:rFonts w:ascii="Times New Roman" w:hAnsi="Times New Roman" w:cs="Times New Roman"/>
          <w:sz w:val="24"/>
          <w:szCs w:val="24"/>
        </w:rPr>
        <w:t xml:space="preserve">: </w:t>
      </w:r>
      <w:r w:rsidR="005C2E85" w:rsidRPr="00ED374E">
        <w:rPr>
          <w:rFonts w:ascii="Times New Roman" w:hAnsi="Times New Roman" w:cs="Times New Roman"/>
          <w:sz w:val="24"/>
          <w:szCs w:val="24"/>
        </w:rPr>
        <w:t xml:space="preserve">Metrópoles, Capitais Regionais, Centros </w:t>
      </w:r>
      <w:proofErr w:type="gramStart"/>
      <w:r w:rsidR="005C2E85" w:rsidRPr="00ED374E">
        <w:rPr>
          <w:rFonts w:ascii="Times New Roman" w:hAnsi="Times New Roman" w:cs="Times New Roman"/>
          <w:sz w:val="24"/>
          <w:szCs w:val="24"/>
        </w:rPr>
        <w:t>Sub-Regionais</w:t>
      </w:r>
      <w:proofErr w:type="gramEnd"/>
      <w:r w:rsidR="005C2E85" w:rsidRPr="00ED374E">
        <w:rPr>
          <w:rFonts w:ascii="Times New Roman" w:hAnsi="Times New Roman" w:cs="Times New Roman"/>
          <w:sz w:val="24"/>
          <w:szCs w:val="24"/>
        </w:rPr>
        <w:t>, Centros de Zona e Centros Locais</w:t>
      </w:r>
      <w:r w:rsidR="009533F5">
        <w:rPr>
          <w:rFonts w:ascii="Times New Roman" w:hAnsi="Times New Roman" w:cs="Times New Roman"/>
          <w:sz w:val="24"/>
          <w:szCs w:val="24"/>
        </w:rPr>
        <w:t xml:space="preserve">. </w:t>
      </w:r>
    </w:p>
    <w:p w14:paraId="36CCFAD8" w14:textId="7FBE3E33" w:rsidR="006D7B29" w:rsidRPr="009506EC" w:rsidRDefault="006D7B29" w:rsidP="006D7B29">
      <w:pPr>
        <w:pStyle w:val="PargrafodaLista"/>
        <w:numPr>
          <w:ilvl w:val="0"/>
          <w:numId w:val="3"/>
        </w:numPr>
        <w:spacing w:after="120" w:line="360" w:lineRule="auto"/>
        <w:jc w:val="both"/>
        <w:rPr>
          <w:rFonts w:ascii="Times New Roman" w:hAnsi="Times New Roman" w:cs="Times New Roman"/>
          <w:sz w:val="24"/>
          <w:szCs w:val="24"/>
        </w:rPr>
      </w:pPr>
      <w:r w:rsidRPr="009506EC">
        <w:rPr>
          <w:rFonts w:ascii="Times New Roman" w:hAnsi="Times New Roman" w:cs="Times New Roman"/>
          <w:sz w:val="24"/>
          <w:szCs w:val="24"/>
        </w:rPr>
        <w:t>Definição de Insumos e Produtos</w:t>
      </w:r>
      <w:r w:rsidR="002E719F" w:rsidRPr="009506EC">
        <w:rPr>
          <w:rFonts w:ascii="Times New Roman" w:hAnsi="Times New Roman" w:cs="Times New Roman"/>
          <w:sz w:val="24"/>
          <w:szCs w:val="24"/>
        </w:rPr>
        <w:t>: O orçamento municipal per capita foi dividido em 12 principais contas</w:t>
      </w:r>
      <w:r w:rsidR="005C2E85" w:rsidRPr="009506EC">
        <w:rPr>
          <w:rFonts w:ascii="Times New Roman" w:hAnsi="Times New Roman" w:cs="Times New Roman"/>
          <w:sz w:val="24"/>
          <w:szCs w:val="24"/>
        </w:rPr>
        <w:t xml:space="preserve"> (Educação e Cultura; Saúde; Urbanismo, Saneamento e Transporte; Administração; Previdência Social</w:t>
      </w:r>
      <w:r w:rsidR="009506EC" w:rsidRPr="009506EC">
        <w:rPr>
          <w:rFonts w:ascii="Times New Roman" w:hAnsi="Times New Roman" w:cs="Times New Roman"/>
          <w:sz w:val="24"/>
          <w:szCs w:val="24"/>
        </w:rPr>
        <w:t xml:space="preserve">; </w:t>
      </w:r>
      <w:r w:rsidR="005C2E85" w:rsidRPr="009506EC">
        <w:rPr>
          <w:rFonts w:ascii="Times New Roman" w:hAnsi="Times New Roman" w:cs="Times New Roman"/>
          <w:sz w:val="24"/>
          <w:szCs w:val="24"/>
        </w:rPr>
        <w:t>Assistência Social</w:t>
      </w:r>
      <w:r w:rsidR="009506EC" w:rsidRPr="009506EC">
        <w:rPr>
          <w:rFonts w:ascii="Times New Roman" w:hAnsi="Times New Roman" w:cs="Times New Roman"/>
          <w:sz w:val="24"/>
          <w:szCs w:val="24"/>
        </w:rPr>
        <w:t xml:space="preserve">; </w:t>
      </w:r>
      <w:r w:rsidR="005C2E85" w:rsidRPr="009506EC">
        <w:rPr>
          <w:rFonts w:ascii="Times New Roman" w:hAnsi="Times New Roman" w:cs="Times New Roman"/>
          <w:sz w:val="24"/>
          <w:szCs w:val="24"/>
        </w:rPr>
        <w:t>Legislativo; Gestão ambiental e Agricultura; Segurança Pública</w:t>
      </w:r>
      <w:r w:rsidR="009506EC" w:rsidRPr="009506EC">
        <w:rPr>
          <w:rFonts w:ascii="Times New Roman" w:hAnsi="Times New Roman" w:cs="Times New Roman"/>
          <w:sz w:val="24"/>
          <w:szCs w:val="24"/>
        </w:rPr>
        <w:t xml:space="preserve">; </w:t>
      </w:r>
      <w:r w:rsidR="005C2E85" w:rsidRPr="009506EC">
        <w:rPr>
          <w:rFonts w:ascii="Times New Roman" w:hAnsi="Times New Roman" w:cs="Times New Roman"/>
          <w:sz w:val="24"/>
          <w:szCs w:val="24"/>
        </w:rPr>
        <w:t>Desporto e Lazer; Comércio e Serviços e Outros)</w:t>
      </w:r>
      <w:r w:rsidR="002E719F" w:rsidRPr="009506EC">
        <w:rPr>
          <w:rFonts w:ascii="Times New Roman" w:hAnsi="Times New Roman" w:cs="Times New Roman"/>
          <w:sz w:val="24"/>
          <w:szCs w:val="24"/>
        </w:rPr>
        <w:t>, que representaram os insumos do problema. Já 16 ODS foram classificados como outputs do modelo DEA CCR.</w:t>
      </w:r>
      <w:r w:rsidR="009506EC" w:rsidRPr="009506EC">
        <w:rPr>
          <w:rFonts w:ascii="Times New Roman" w:hAnsi="Times New Roman" w:cs="Times New Roman"/>
          <w:sz w:val="24"/>
          <w:szCs w:val="24"/>
        </w:rPr>
        <w:t xml:space="preserve"> O ODS 14 (Vida na água) não foi analisado neste trabalho</w:t>
      </w:r>
      <w:r w:rsidR="009506EC">
        <w:rPr>
          <w:rFonts w:ascii="Times New Roman" w:hAnsi="Times New Roman" w:cs="Times New Roman"/>
          <w:sz w:val="24"/>
          <w:szCs w:val="24"/>
        </w:rPr>
        <w:t>,</w:t>
      </w:r>
      <w:r w:rsidR="009506EC" w:rsidRPr="009506EC">
        <w:rPr>
          <w:rFonts w:ascii="Times New Roman" w:hAnsi="Times New Roman" w:cs="Times New Roman"/>
          <w:sz w:val="24"/>
          <w:szCs w:val="24"/>
        </w:rPr>
        <w:t xml:space="preserve"> uma </w:t>
      </w:r>
      <w:proofErr w:type="gramStart"/>
      <w:r w:rsidR="009506EC" w:rsidRPr="009506EC">
        <w:rPr>
          <w:rFonts w:ascii="Times New Roman" w:hAnsi="Times New Roman" w:cs="Times New Roman"/>
          <w:sz w:val="24"/>
          <w:szCs w:val="24"/>
        </w:rPr>
        <w:t>vez  que</w:t>
      </w:r>
      <w:proofErr w:type="gramEnd"/>
      <w:r w:rsidR="009506EC" w:rsidRPr="009506EC">
        <w:rPr>
          <w:rFonts w:ascii="Times New Roman" w:hAnsi="Times New Roman" w:cs="Times New Roman"/>
          <w:sz w:val="24"/>
          <w:szCs w:val="24"/>
        </w:rPr>
        <w:t xml:space="preserve"> apenas os municípios litorâneos</w:t>
      </w:r>
      <w:r w:rsidR="002E719F" w:rsidRPr="009506EC">
        <w:rPr>
          <w:rFonts w:ascii="Times New Roman" w:hAnsi="Times New Roman" w:cs="Times New Roman"/>
          <w:sz w:val="24"/>
          <w:szCs w:val="24"/>
        </w:rPr>
        <w:t xml:space="preserve"> </w:t>
      </w:r>
      <w:r w:rsidR="009506EC" w:rsidRPr="009506EC">
        <w:rPr>
          <w:rFonts w:ascii="Times New Roman" w:hAnsi="Times New Roman" w:cs="Times New Roman"/>
          <w:sz w:val="24"/>
          <w:szCs w:val="24"/>
        </w:rPr>
        <w:t>possuíam dados para este ODS.</w:t>
      </w:r>
      <w:r w:rsidR="002E719F" w:rsidRPr="009506EC">
        <w:rPr>
          <w:rFonts w:ascii="Times New Roman" w:hAnsi="Times New Roman" w:cs="Times New Roman"/>
          <w:sz w:val="24"/>
          <w:szCs w:val="24"/>
        </w:rPr>
        <w:t xml:space="preserve">  </w:t>
      </w:r>
    </w:p>
    <w:p w14:paraId="7BA90131" w14:textId="2E505DD4" w:rsidR="006D7B29" w:rsidRPr="0016390E" w:rsidRDefault="006D7B29" w:rsidP="006D7B29">
      <w:pPr>
        <w:pStyle w:val="PargrafodaLista"/>
        <w:numPr>
          <w:ilvl w:val="0"/>
          <w:numId w:val="3"/>
        </w:numPr>
        <w:spacing w:after="120" w:line="360" w:lineRule="auto"/>
        <w:jc w:val="both"/>
        <w:rPr>
          <w:rFonts w:ascii="Times New Roman" w:hAnsi="Times New Roman" w:cs="Times New Roman"/>
          <w:sz w:val="24"/>
          <w:szCs w:val="24"/>
        </w:rPr>
      </w:pPr>
      <w:r w:rsidRPr="0016390E">
        <w:rPr>
          <w:rFonts w:ascii="Times New Roman" w:hAnsi="Times New Roman" w:cs="Times New Roman"/>
          <w:sz w:val="24"/>
          <w:szCs w:val="24"/>
        </w:rPr>
        <w:t>Aplicação do modelo DEA CCR</w:t>
      </w:r>
      <w:r w:rsidR="002E719F" w:rsidRPr="0016390E">
        <w:rPr>
          <w:rFonts w:ascii="Times New Roman" w:hAnsi="Times New Roman" w:cs="Times New Roman"/>
          <w:sz w:val="24"/>
          <w:szCs w:val="24"/>
        </w:rPr>
        <w:t xml:space="preserve">: Com os dados reunidos </w:t>
      </w:r>
      <w:r w:rsidR="0016390E">
        <w:rPr>
          <w:rFonts w:ascii="Times New Roman" w:hAnsi="Times New Roman" w:cs="Times New Roman"/>
          <w:sz w:val="24"/>
          <w:szCs w:val="24"/>
        </w:rPr>
        <w:t xml:space="preserve">de inputs e outputs </w:t>
      </w:r>
      <w:r w:rsidR="002E719F" w:rsidRPr="0016390E">
        <w:rPr>
          <w:rFonts w:ascii="Times New Roman" w:hAnsi="Times New Roman" w:cs="Times New Roman"/>
          <w:sz w:val="24"/>
          <w:szCs w:val="24"/>
        </w:rPr>
        <w:t>dos 5</w:t>
      </w:r>
      <w:r w:rsidR="005C2E85" w:rsidRPr="0016390E">
        <w:rPr>
          <w:rFonts w:ascii="Times New Roman" w:hAnsi="Times New Roman" w:cs="Times New Roman"/>
          <w:sz w:val="24"/>
          <w:szCs w:val="24"/>
        </w:rPr>
        <w:t>393</w:t>
      </w:r>
      <w:r w:rsidR="002E719F" w:rsidRPr="0016390E">
        <w:rPr>
          <w:rFonts w:ascii="Times New Roman" w:hAnsi="Times New Roman" w:cs="Times New Roman"/>
          <w:sz w:val="24"/>
          <w:szCs w:val="24"/>
        </w:rPr>
        <w:t xml:space="preserve"> municípios brasileiros divididos por hierarquia fo</w:t>
      </w:r>
      <w:r w:rsidR="0016390E">
        <w:rPr>
          <w:rFonts w:ascii="Times New Roman" w:hAnsi="Times New Roman" w:cs="Times New Roman"/>
          <w:sz w:val="24"/>
          <w:szCs w:val="24"/>
        </w:rPr>
        <w:t>i</w:t>
      </w:r>
      <w:r w:rsidR="002E719F" w:rsidRPr="0016390E">
        <w:rPr>
          <w:rFonts w:ascii="Times New Roman" w:hAnsi="Times New Roman" w:cs="Times New Roman"/>
          <w:sz w:val="24"/>
          <w:szCs w:val="24"/>
        </w:rPr>
        <w:t xml:space="preserve"> aplicado o modelo DEA CCR com orientação a produtos</w:t>
      </w:r>
      <w:r w:rsidR="0016390E" w:rsidRPr="0016390E">
        <w:rPr>
          <w:rFonts w:ascii="Times New Roman" w:hAnsi="Times New Roman" w:cs="Times New Roman"/>
          <w:sz w:val="24"/>
          <w:szCs w:val="24"/>
        </w:rPr>
        <w:t xml:space="preserve">, </w:t>
      </w:r>
      <w:r w:rsidR="0016390E" w:rsidRPr="0016390E">
        <w:rPr>
          <w:rFonts w:ascii="Times New Roman" w:hAnsi="Times New Roman" w:cs="Times New Roman"/>
          <w:color w:val="0D0D0D"/>
          <w:sz w:val="24"/>
          <w:szCs w:val="24"/>
        </w:rPr>
        <w:t>partindo do princípio de que todo o orçamento</w:t>
      </w:r>
      <w:r w:rsidR="0016390E">
        <w:rPr>
          <w:rFonts w:ascii="Times New Roman" w:hAnsi="Times New Roman" w:cs="Times New Roman"/>
          <w:color w:val="0D0D0D"/>
          <w:sz w:val="24"/>
          <w:szCs w:val="24"/>
        </w:rPr>
        <w:t xml:space="preserve"> municipal</w:t>
      </w:r>
      <w:r w:rsidR="0016390E" w:rsidRPr="0016390E">
        <w:rPr>
          <w:rFonts w:ascii="Times New Roman" w:hAnsi="Times New Roman" w:cs="Times New Roman"/>
          <w:color w:val="0D0D0D"/>
          <w:sz w:val="24"/>
          <w:szCs w:val="24"/>
        </w:rPr>
        <w:t xml:space="preserve"> deverá ser aplicado no município visando a maximização dos ODS.</w:t>
      </w:r>
      <w:r w:rsidR="0016390E" w:rsidRPr="0016390E">
        <w:rPr>
          <w:rFonts w:ascii="Times New Roman" w:hAnsi="Times New Roman" w:cs="Times New Roman"/>
          <w:sz w:val="24"/>
          <w:szCs w:val="24"/>
        </w:rPr>
        <w:t xml:space="preserve"> Apesar do score de eficiência não variar de acordo com a orientação, </w:t>
      </w:r>
      <w:r w:rsidR="002E719F" w:rsidRPr="0016390E">
        <w:rPr>
          <w:rFonts w:ascii="Times New Roman" w:hAnsi="Times New Roman" w:cs="Times New Roman"/>
          <w:sz w:val="24"/>
          <w:szCs w:val="24"/>
        </w:rPr>
        <w:t xml:space="preserve">a análise de </w:t>
      </w:r>
      <w:r w:rsidR="002E719F" w:rsidRPr="0016390E">
        <w:rPr>
          <w:rFonts w:ascii="Times New Roman" w:hAnsi="Times New Roman" w:cs="Times New Roman"/>
          <w:i/>
          <w:sz w:val="24"/>
          <w:szCs w:val="24"/>
        </w:rPr>
        <w:t>benchmarks</w:t>
      </w:r>
      <w:r w:rsidR="0016390E" w:rsidRPr="0016390E">
        <w:rPr>
          <w:rFonts w:ascii="Times New Roman" w:hAnsi="Times New Roman" w:cs="Times New Roman"/>
          <w:i/>
          <w:sz w:val="24"/>
          <w:szCs w:val="24"/>
        </w:rPr>
        <w:t xml:space="preserve"> </w:t>
      </w:r>
      <w:r w:rsidR="0016390E" w:rsidRPr="0016390E">
        <w:rPr>
          <w:rFonts w:ascii="Times New Roman" w:hAnsi="Times New Roman" w:cs="Times New Roman"/>
          <w:iCs/>
          <w:sz w:val="24"/>
          <w:szCs w:val="24"/>
        </w:rPr>
        <w:t xml:space="preserve">e </w:t>
      </w:r>
      <w:r w:rsidR="0016390E">
        <w:rPr>
          <w:rFonts w:ascii="Times New Roman" w:hAnsi="Times New Roman" w:cs="Times New Roman"/>
          <w:iCs/>
          <w:sz w:val="24"/>
          <w:szCs w:val="24"/>
        </w:rPr>
        <w:t xml:space="preserve">a </w:t>
      </w:r>
      <w:r w:rsidR="0016390E" w:rsidRPr="0016390E">
        <w:rPr>
          <w:rFonts w:ascii="Times New Roman" w:hAnsi="Times New Roman" w:cs="Times New Roman"/>
          <w:iCs/>
          <w:sz w:val="24"/>
          <w:szCs w:val="24"/>
        </w:rPr>
        <w:t>distribuição de pesos no modelo</w:t>
      </w:r>
      <w:r w:rsidR="002E719F" w:rsidRPr="0016390E">
        <w:rPr>
          <w:rFonts w:ascii="Times New Roman" w:hAnsi="Times New Roman" w:cs="Times New Roman"/>
          <w:iCs/>
          <w:sz w:val="24"/>
          <w:szCs w:val="24"/>
        </w:rPr>
        <w:t>,</w:t>
      </w:r>
      <w:r w:rsidR="002E719F" w:rsidRPr="0016390E">
        <w:rPr>
          <w:rFonts w:ascii="Times New Roman" w:hAnsi="Times New Roman" w:cs="Times New Roman"/>
          <w:i/>
          <w:sz w:val="24"/>
          <w:szCs w:val="24"/>
        </w:rPr>
        <w:t xml:space="preserve"> </w:t>
      </w:r>
      <w:r w:rsidR="002E719F" w:rsidRPr="0016390E">
        <w:rPr>
          <w:rFonts w:ascii="Times New Roman" w:hAnsi="Times New Roman" w:cs="Times New Roman"/>
          <w:sz w:val="24"/>
          <w:szCs w:val="24"/>
        </w:rPr>
        <w:t>podem variar de acordo com a orientação do modelo.</w:t>
      </w:r>
    </w:p>
    <w:p w14:paraId="2B3E1913" w14:textId="2D9EA177" w:rsidR="006D7B29" w:rsidRDefault="006D7B29" w:rsidP="006D7B29">
      <w:pPr>
        <w:pStyle w:val="PargrafodaLista"/>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Análise dos Dados</w:t>
      </w:r>
      <w:r w:rsidR="002142F1">
        <w:rPr>
          <w:rFonts w:ascii="Times New Roman" w:hAnsi="Times New Roman" w:cs="Times New Roman"/>
          <w:sz w:val="24"/>
          <w:szCs w:val="24"/>
        </w:rPr>
        <w:t>: De posse dos resultados alcançados</w:t>
      </w:r>
      <w:r w:rsidR="00190938">
        <w:rPr>
          <w:rFonts w:ascii="Times New Roman" w:hAnsi="Times New Roman" w:cs="Times New Roman"/>
          <w:sz w:val="24"/>
          <w:szCs w:val="24"/>
        </w:rPr>
        <w:t xml:space="preserve"> foram realizadas análise por hierarquia, levantamento de hipótese e aplicação de testes estatísticos para comprovação ou não das hipóteses formuladas.  </w:t>
      </w:r>
      <w:r w:rsidR="002142F1">
        <w:rPr>
          <w:rFonts w:ascii="Times New Roman" w:hAnsi="Times New Roman" w:cs="Times New Roman"/>
          <w:sz w:val="24"/>
          <w:szCs w:val="24"/>
        </w:rPr>
        <w:t xml:space="preserve"> </w:t>
      </w:r>
    </w:p>
    <w:p w14:paraId="0EEB266D" w14:textId="77777777" w:rsidR="00190938" w:rsidRDefault="006D7B29" w:rsidP="00190938">
      <w:pPr>
        <w:pStyle w:val="PargrafodaLista"/>
        <w:numPr>
          <w:ilvl w:val="0"/>
          <w:numId w:val="3"/>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Conclusões</w:t>
      </w:r>
      <w:r w:rsidR="00190938">
        <w:rPr>
          <w:rFonts w:ascii="Times New Roman" w:hAnsi="Times New Roman" w:cs="Times New Roman"/>
          <w:sz w:val="24"/>
          <w:szCs w:val="24"/>
        </w:rPr>
        <w:t>: Nesta etapa, as principais conclusões advindas do estudo são apresentadas e direcionamentos para trabalhos futuros são formulados.</w:t>
      </w:r>
    </w:p>
    <w:p w14:paraId="5631DF10" w14:textId="17B73605" w:rsidR="002C6DEE" w:rsidRDefault="002C6DEE" w:rsidP="002C6DEE">
      <w:pPr>
        <w:spacing w:line="360" w:lineRule="auto"/>
        <w:rPr>
          <w:rFonts w:ascii="Times New Roman" w:hAnsi="Times New Roman" w:cs="Times New Roman"/>
          <w:b/>
          <w:bCs/>
          <w:sz w:val="24"/>
          <w:szCs w:val="24"/>
        </w:rPr>
      </w:pPr>
      <w:r>
        <w:rPr>
          <w:rFonts w:ascii="Times New Roman" w:hAnsi="Times New Roman" w:cs="Times New Roman"/>
          <w:b/>
          <w:bCs/>
          <w:sz w:val="24"/>
          <w:szCs w:val="24"/>
        </w:rPr>
        <w:t>4. Aplicação d</w:t>
      </w:r>
      <w:r w:rsidR="005A3D59">
        <w:rPr>
          <w:rFonts w:ascii="Times New Roman" w:hAnsi="Times New Roman" w:cs="Times New Roman"/>
          <w:b/>
          <w:bCs/>
          <w:sz w:val="24"/>
          <w:szCs w:val="24"/>
        </w:rPr>
        <w:t>o</w:t>
      </w:r>
      <w:r>
        <w:rPr>
          <w:rFonts w:ascii="Times New Roman" w:hAnsi="Times New Roman" w:cs="Times New Roman"/>
          <w:b/>
          <w:bCs/>
          <w:sz w:val="24"/>
          <w:szCs w:val="24"/>
        </w:rPr>
        <w:t xml:space="preserve"> M</w:t>
      </w:r>
      <w:r w:rsidR="005A3D59">
        <w:rPr>
          <w:rFonts w:ascii="Times New Roman" w:hAnsi="Times New Roman" w:cs="Times New Roman"/>
          <w:b/>
          <w:bCs/>
          <w:sz w:val="24"/>
          <w:szCs w:val="24"/>
        </w:rPr>
        <w:t>é</w:t>
      </w:r>
      <w:r>
        <w:rPr>
          <w:rFonts w:ascii="Times New Roman" w:hAnsi="Times New Roman" w:cs="Times New Roman"/>
          <w:b/>
          <w:bCs/>
          <w:sz w:val="24"/>
          <w:szCs w:val="24"/>
        </w:rPr>
        <w:t>todo</w:t>
      </w:r>
    </w:p>
    <w:p w14:paraId="6814D061" w14:textId="3B58BC05" w:rsidR="00892B46" w:rsidRDefault="002C6DEE" w:rsidP="002C6DE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4.1 </w:t>
      </w:r>
      <w:r w:rsidRPr="002C6DEE">
        <w:rPr>
          <w:rFonts w:ascii="Times New Roman" w:hAnsi="Times New Roman" w:cs="Times New Roman"/>
          <w:b/>
          <w:bCs/>
          <w:sz w:val="24"/>
          <w:szCs w:val="24"/>
        </w:rPr>
        <w:t xml:space="preserve">Cidades Analisadas </w:t>
      </w:r>
    </w:p>
    <w:p w14:paraId="577F5CB7" w14:textId="7823A78D" w:rsidR="00190938" w:rsidRDefault="002C6DEE" w:rsidP="008577EA">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Participaram da análise </w:t>
      </w:r>
      <w:r w:rsidR="008A30FB">
        <w:rPr>
          <w:rFonts w:ascii="Times New Roman" w:hAnsi="Times New Roman" w:cs="Times New Roman"/>
          <w:sz w:val="24"/>
          <w:szCs w:val="24"/>
        </w:rPr>
        <w:t>5393</w:t>
      </w:r>
      <w:r>
        <w:rPr>
          <w:rFonts w:ascii="Times New Roman" w:hAnsi="Times New Roman" w:cs="Times New Roman"/>
          <w:sz w:val="24"/>
          <w:szCs w:val="24"/>
        </w:rPr>
        <w:t xml:space="preserve"> municípios brasileiros, pertencentes a</w:t>
      </w:r>
      <w:r w:rsidR="008577EA">
        <w:rPr>
          <w:rFonts w:ascii="Times New Roman" w:hAnsi="Times New Roman" w:cs="Times New Roman"/>
          <w:sz w:val="24"/>
          <w:szCs w:val="24"/>
        </w:rPr>
        <w:t>s</w:t>
      </w:r>
      <w:r>
        <w:rPr>
          <w:rFonts w:ascii="Times New Roman" w:hAnsi="Times New Roman" w:cs="Times New Roman"/>
          <w:sz w:val="24"/>
          <w:szCs w:val="24"/>
        </w:rPr>
        <w:t xml:space="preserve"> </w:t>
      </w:r>
      <w:r w:rsidR="008577EA">
        <w:rPr>
          <w:rFonts w:ascii="Times New Roman" w:hAnsi="Times New Roman" w:cs="Times New Roman"/>
          <w:sz w:val="24"/>
          <w:szCs w:val="24"/>
        </w:rPr>
        <w:t>cinco</w:t>
      </w:r>
      <w:r>
        <w:rPr>
          <w:rFonts w:ascii="Times New Roman" w:hAnsi="Times New Roman" w:cs="Times New Roman"/>
          <w:sz w:val="24"/>
          <w:szCs w:val="24"/>
        </w:rPr>
        <w:t xml:space="preserve"> grandes regiões do país</w:t>
      </w:r>
      <w:r w:rsidR="008577EA">
        <w:rPr>
          <w:rFonts w:ascii="Times New Roman" w:hAnsi="Times New Roman" w:cs="Times New Roman"/>
          <w:sz w:val="24"/>
          <w:szCs w:val="24"/>
        </w:rPr>
        <w:t xml:space="preserve">: </w:t>
      </w:r>
      <w:r>
        <w:rPr>
          <w:rFonts w:ascii="Times New Roman" w:hAnsi="Times New Roman" w:cs="Times New Roman"/>
          <w:sz w:val="24"/>
          <w:szCs w:val="24"/>
        </w:rPr>
        <w:t>Centro-</w:t>
      </w:r>
      <w:r w:rsidR="008577EA">
        <w:rPr>
          <w:rFonts w:ascii="Times New Roman" w:hAnsi="Times New Roman" w:cs="Times New Roman"/>
          <w:sz w:val="24"/>
          <w:szCs w:val="24"/>
        </w:rPr>
        <w:t>O</w:t>
      </w:r>
      <w:r>
        <w:rPr>
          <w:rFonts w:ascii="Times New Roman" w:hAnsi="Times New Roman" w:cs="Times New Roman"/>
          <w:sz w:val="24"/>
          <w:szCs w:val="24"/>
        </w:rPr>
        <w:t>este, Norte, Nordeste, Sudeste e Sul</w:t>
      </w:r>
      <w:r w:rsidR="00190938">
        <w:rPr>
          <w:rFonts w:ascii="Times New Roman" w:hAnsi="Times New Roman" w:cs="Times New Roman"/>
          <w:sz w:val="24"/>
          <w:szCs w:val="24"/>
        </w:rPr>
        <w:t>,</w:t>
      </w:r>
      <w:r>
        <w:rPr>
          <w:rFonts w:ascii="Times New Roman" w:hAnsi="Times New Roman" w:cs="Times New Roman"/>
          <w:sz w:val="24"/>
          <w:szCs w:val="24"/>
        </w:rPr>
        <w:t xml:space="preserve"> </w:t>
      </w:r>
      <w:r w:rsidR="00190938">
        <w:rPr>
          <w:rFonts w:ascii="Times New Roman" w:hAnsi="Times New Roman" w:cs="Times New Roman"/>
          <w:sz w:val="24"/>
          <w:szCs w:val="24"/>
        </w:rPr>
        <w:t>d</w:t>
      </w:r>
      <w:r>
        <w:rPr>
          <w:rFonts w:ascii="Times New Roman" w:hAnsi="Times New Roman" w:cs="Times New Roman"/>
          <w:sz w:val="24"/>
          <w:szCs w:val="24"/>
        </w:rPr>
        <w:t>istribuídos em 26 estados</w:t>
      </w:r>
      <w:r w:rsidR="00190938">
        <w:rPr>
          <w:rFonts w:ascii="Times New Roman" w:hAnsi="Times New Roman" w:cs="Times New Roman"/>
          <w:sz w:val="24"/>
          <w:szCs w:val="24"/>
        </w:rPr>
        <w:t xml:space="preserve"> da </w:t>
      </w:r>
      <w:r w:rsidR="008A30FB">
        <w:rPr>
          <w:rFonts w:ascii="Times New Roman" w:hAnsi="Times New Roman" w:cs="Times New Roman"/>
          <w:sz w:val="24"/>
          <w:szCs w:val="24"/>
        </w:rPr>
        <w:t>F</w:t>
      </w:r>
      <w:r w:rsidR="00190938">
        <w:rPr>
          <w:rFonts w:ascii="Times New Roman" w:hAnsi="Times New Roman" w:cs="Times New Roman"/>
          <w:sz w:val="24"/>
          <w:szCs w:val="24"/>
        </w:rPr>
        <w:t>ederação</w:t>
      </w:r>
      <w:r>
        <w:rPr>
          <w:rFonts w:ascii="Times New Roman" w:hAnsi="Times New Roman" w:cs="Times New Roman"/>
          <w:sz w:val="24"/>
          <w:szCs w:val="24"/>
        </w:rPr>
        <w:t xml:space="preserve">. </w:t>
      </w:r>
      <w:r w:rsidR="00190938">
        <w:rPr>
          <w:rFonts w:ascii="Times New Roman" w:hAnsi="Times New Roman" w:cs="Times New Roman"/>
          <w:sz w:val="24"/>
          <w:szCs w:val="24"/>
        </w:rPr>
        <w:t>Seguindo os passos do método, para 1</w:t>
      </w:r>
      <w:r w:rsidR="008A30FB">
        <w:rPr>
          <w:rFonts w:ascii="Times New Roman" w:hAnsi="Times New Roman" w:cs="Times New Roman"/>
          <w:sz w:val="24"/>
          <w:szCs w:val="24"/>
        </w:rPr>
        <w:t>77</w:t>
      </w:r>
      <w:r w:rsidR="00190938">
        <w:rPr>
          <w:rFonts w:ascii="Times New Roman" w:hAnsi="Times New Roman" w:cs="Times New Roman"/>
          <w:sz w:val="24"/>
          <w:szCs w:val="24"/>
        </w:rPr>
        <w:t xml:space="preserve"> municípios não foram encontrados dados ou os dados apresentavam algum erro, inviabilizando sua utilização. </w:t>
      </w:r>
    </w:p>
    <w:p w14:paraId="4082F902" w14:textId="42892BDA" w:rsidR="002C6DEE" w:rsidRDefault="002C6DEE" w:rsidP="00190938">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Os municípios </w:t>
      </w:r>
      <w:r w:rsidR="008577EA">
        <w:rPr>
          <w:rFonts w:ascii="Times New Roman" w:hAnsi="Times New Roman" w:cs="Times New Roman"/>
          <w:sz w:val="24"/>
          <w:szCs w:val="24"/>
        </w:rPr>
        <w:t>analisados neste trabalho</w:t>
      </w:r>
      <w:r>
        <w:rPr>
          <w:rFonts w:ascii="Times New Roman" w:hAnsi="Times New Roman" w:cs="Times New Roman"/>
          <w:sz w:val="24"/>
          <w:szCs w:val="24"/>
        </w:rPr>
        <w:t xml:space="preserve"> representam 9</w:t>
      </w:r>
      <w:r w:rsidR="00B14C6D">
        <w:rPr>
          <w:rFonts w:ascii="Times New Roman" w:hAnsi="Times New Roman" w:cs="Times New Roman"/>
          <w:sz w:val="24"/>
          <w:szCs w:val="24"/>
        </w:rPr>
        <w:t>6.8</w:t>
      </w:r>
      <w:r>
        <w:rPr>
          <w:rFonts w:ascii="Times New Roman" w:hAnsi="Times New Roman" w:cs="Times New Roman"/>
          <w:sz w:val="24"/>
          <w:szCs w:val="24"/>
        </w:rPr>
        <w:t xml:space="preserve">% do </w:t>
      </w:r>
      <w:r w:rsidR="008577EA">
        <w:rPr>
          <w:rFonts w:ascii="Times New Roman" w:hAnsi="Times New Roman" w:cs="Times New Roman"/>
          <w:sz w:val="24"/>
          <w:szCs w:val="24"/>
        </w:rPr>
        <w:t xml:space="preserve">total de </w:t>
      </w:r>
      <w:r>
        <w:rPr>
          <w:rFonts w:ascii="Times New Roman" w:hAnsi="Times New Roman" w:cs="Times New Roman"/>
          <w:sz w:val="24"/>
          <w:szCs w:val="24"/>
        </w:rPr>
        <w:t>municípios brasileiros</w:t>
      </w:r>
      <w:r w:rsidR="008577EA">
        <w:rPr>
          <w:rFonts w:ascii="Times New Roman" w:hAnsi="Times New Roman" w:cs="Times New Roman"/>
          <w:sz w:val="24"/>
          <w:szCs w:val="24"/>
        </w:rPr>
        <w:t>, que somados representam</w:t>
      </w:r>
      <w:r>
        <w:rPr>
          <w:rFonts w:ascii="Times New Roman" w:hAnsi="Times New Roman" w:cs="Times New Roman"/>
          <w:sz w:val="24"/>
          <w:szCs w:val="24"/>
        </w:rPr>
        <w:t xml:space="preserve"> 5570</w:t>
      </w:r>
      <w:r w:rsidR="008577EA">
        <w:rPr>
          <w:rFonts w:ascii="Times New Roman" w:hAnsi="Times New Roman" w:cs="Times New Roman"/>
          <w:sz w:val="24"/>
          <w:szCs w:val="24"/>
        </w:rPr>
        <w:t xml:space="preserve"> municípios distribuídos em mais de 8,510 mil km</w:t>
      </w:r>
      <w:r w:rsidR="008577EA" w:rsidRPr="008577EA">
        <w:rPr>
          <w:rFonts w:ascii="Times New Roman" w:hAnsi="Times New Roman" w:cs="Times New Roman"/>
          <w:sz w:val="24"/>
          <w:szCs w:val="24"/>
          <w:vertAlign w:val="superscript"/>
        </w:rPr>
        <w:t>2</w:t>
      </w:r>
      <w:r w:rsidR="008577EA">
        <w:rPr>
          <w:rFonts w:ascii="Times New Roman" w:hAnsi="Times New Roman" w:cs="Times New Roman"/>
          <w:sz w:val="24"/>
          <w:szCs w:val="24"/>
        </w:rPr>
        <w:t xml:space="preserve"> de área territorial</w:t>
      </w:r>
      <w:r w:rsidR="0071165A">
        <w:rPr>
          <w:rFonts w:ascii="Times New Roman" w:hAnsi="Times New Roman" w:cs="Times New Roman"/>
          <w:sz w:val="24"/>
          <w:szCs w:val="24"/>
        </w:rPr>
        <w:t xml:space="preserve"> e onde habitam mais de 200 milhões de brasileiros</w:t>
      </w:r>
      <w:r>
        <w:rPr>
          <w:rFonts w:ascii="Times New Roman" w:hAnsi="Times New Roman" w:cs="Times New Roman"/>
          <w:sz w:val="24"/>
          <w:szCs w:val="24"/>
        </w:rPr>
        <w:t>. Além da distribuição dos municípios por região e estado foi considerada para fins de aplicação do modelo DEA</w:t>
      </w:r>
      <w:r w:rsidR="008577EA">
        <w:rPr>
          <w:rFonts w:ascii="Times New Roman" w:hAnsi="Times New Roman" w:cs="Times New Roman"/>
          <w:sz w:val="24"/>
          <w:szCs w:val="24"/>
        </w:rPr>
        <w:t>,</w:t>
      </w:r>
      <w:r>
        <w:rPr>
          <w:rFonts w:ascii="Times New Roman" w:hAnsi="Times New Roman" w:cs="Times New Roman"/>
          <w:sz w:val="24"/>
          <w:szCs w:val="24"/>
        </w:rPr>
        <w:t xml:space="preserve"> a Hierarquia</w:t>
      </w:r>
      <w:r w:rsidR="008577EA">
        <w:rPr>
          <w:rFonts w:ascii="Times New Roman" w:hAnsi="Times New Roman" w:cs="Times New Roman"/>
          <w:sz w:val="24"/>
          <w:szCs w:val="24"/>
        </w:rPr>
        <w:t xml:space="preserve"> dos Municípios</w:t>
      </w:r>
      <w:r>
        <w:rPr>
          <w:rFonts w:ascii="Times New Roman" w:hAnsi="Times New Roman" w:cs="Times New Roman"/>
          <w:sz w:val="24"/>
          <w:szCs w:val="24"/>
        </w:rPr>
        <w:t xml:space="preserve"> considerada pelo Instituto Brasileiro de Geografia e Estatística</w:t>
      </w:r>
      <w:r w:rsidR="00ED374E">
        <w:rPr>
          <w:rFonts w:ascii="Times New Roman" w:hAnsi="Times New Roman" w:cs="Times New Roman"/>
          <w:sz w:val="24"/>
          <w:szCs w:val="24"/>
        </w:rPr>
        <w:t xml:space="preserve"> (IBGE, 2024).</w:t>
      </w:r>
    </w:p>
    <w:p w14:paraId="01776B94" w14:textId="77777777" w:rsidR="00ED374E" w:rsidRDefault="00ED374E" w:rsidP="008577EA">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Segundo REGIC (2018), a</w:t>
      </w:r>
      <w:r w:rsidRPr="00ED374E">
        <w:rPr>
          <w:rFonts w:ascii="Times New Roman" w:hAnsi="Times New Roman" w:cs="Times New Roman"/>
          <w:sz w:val="24"/>
          <w:szCs w:val="24"/>
        </w:rPr>
        <w:t xml:space="preserve"> hierarquia urbana </w:t>
      </w:r>
      <w:r>
        <w:rPr>
          <w:rFonts w:ascii="Times New Roman" w:hAnsi="Times New Roman" w:cs="Times New Roman"/>
          <w:sz w:val="24"/>
          <w:szCs w:val="24"/>
        </w:rPr>
        <w:t xml:space="preserve">brasileira </w:t>
      </w:r>
      <w:r w:rsidRPr="00ED374E">
        <w:rPr>
          <w:rFonts w:ascii="Times New Roman" w:hAnsi="Times New Roman" w:cs="Times New Roman"/>
          <w:sz w:val="24"/>
          <w:szCs w:val="24"/>
        </w:rPr>
        <w:t xml:space="preserve">reflete a centralidade das cidades, determinada pela atração que exercem sobre populações de outros centros urbanos em busca de bens e serviços, bem como pelo nível de articulação territorial derivado de suas atividades de gestão pública e empresarial. </w:t>
      </w:r>
    </w:p>
    <w:p w14:paraId="396C2E14" w14:textId="77777777" w:rsidR="0077677F" w:rsidRDefault="00ED374E" w:rsidP="008577EA">
      <w:pPr>
        <w:spacing w:after="120" w:line="360" w:lineRule="auto"/>
        <w:ind w:firstLine="708"/>
        <w:jc w:val="both"/>
        <w:rPr>
          <w:rFonts w:ascii="Times New Roman" w:hAnsi="Times New Roman" w:cs="Times New Roman"/>
          <w:sz w:val="24"/>
          <w:szCs w:val="24"/>
        </w:rPr>
      </w:pPr>
      <w:r w:rsidRPr="00ED374E">
        <w:rPr>
          <w:rFonts w:ascii="Times New Roman" w:hAnsi="Times New Roman" w:cs="Times New Roman"/>
          <w:sz w:val="24"/>
          <w:szCs w:val="24"/>
        </w:rPr>
        <w:t xml:space="preserve">Essa hierarquia compreende cinco níveis principais, cada um subdividido em onze categorias: Metrópoles (1A, 1B e 1C), Capitais Regionais (2A, 2B e 2C), Centros </w:t>
      </w:r>
      <w:proofErr w:type="gramStart"/>
      <w:r w:rsidRPr="00ED374E">
        <w:rPr>
          <w:rFonts w:ascii="Times New Roman" w:hAnsi="Times New Roman" w:cs="Times New Roman"/>
          <w:sz w:val="24"/>
          <w:szCs w:val="24"/>
        </w:rPr>
        <w:t>Sub-Regionais</w:t>
      </w:r>
      <w:proofErr w:type="gramEnd"/>
      <w:r w:rsidRPr="00ED374E">
        <w:rPr>
          <w:rFonts w:ascii="Times New Roman" w:hAnsi="Times New Roman" w:cs="Times New Roman"/>
          <w:sz w:val="24"/>
          <w:szCs w:val="24"/>
        </w:rPr>
        <w:t xml:space="preserve"> (3A e 3B), Centros de Zona (4A e 4B) e Centros Locais (5).</w:t>
      </w:r>
      <w:r>
        <w:rPr>
          <w:rFonts w:ascii="Times New Roman" w:hAnsi="Times New Roman" w:cs="Times New Roman"/>
          <w:sz w:val="24"/>
          <w:szCs w:val="24"/>
        </w:rPr>
        <w:t xml:space="preserve"> </w:t>
      </w:r>
    </w:p>
    <w:p w14:paraId="646BF682" w14:textId="0CD8540C" w:rsidR="00ED374E" w:rsidRDefault="0077677F" w:rsidP="008577EA">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Segundo IBGE (2024):</w:t>
      </w:r>
    </w:p>
    <w:p w14:paraId="731E35B6" w14:textId="77777777" w:rsidR="00ED374E" w:rsidRPr="00ED374E" w:rsidRDefault="00ED374E" w:rsidP="008577EA">
      <w:pPr>
        <w:pStyle w:val="standard"/>
        <w:numPr>
          <w:ilvl w:val="0"/>
          <w:numId w:val="1"/>
        </w:numPr>
        <w:spacing w:before="0" w:beforeAutospacing="0" w:after="120" w:afterAutospacing="0" w:line="360" w:lineRule="auto"/>
        <w:ind w:right="-1"/>
        <w:jc w:val="both"/>
        <w:rPr>
          <w:rFonts w:eastAsiaTheme="minorHAnsi"/>
          <w:kern w:val="2"/>
          <w:lang w:eastAsia="en-US"/>
          <w14:ligatures w14:val="standardContextual"/>
        </w:rPr>
      </w:pPr>
      <w:r w:rsidRPr="00ED374E">
        <w:rPr>
          <w:rFonts w:eastAsiaTheme="minorHAnsi"/>
          <w:kern w:val="2"/>
          <w:lang w:eastAsia="en-US"/>
          <w14:ligatures w14:val="standardContextual"/>
        </w:rPr>
        <w:t>Metrópoles: São os principais centros urbanos do país, exercendo influência direta sobre todas as outras cidades, seja de uma ou mais Metrópoles simultaneamente.</w:t>
      </w:r>
    </w:p>
    <w:p w14:paraId="68FF8E23" w14:textId="77777777" w:rsidR="00ED374E" w:rsidRPr="00ED374E" w:rsidRDefault="00ED374E" w:rsidP="008577EA">
      <w:pPr>
        <w:pStyle w:val="standard"/>
        <w:numPr>
          <w:ilvl w:val="0"/>
          <w:numId w:val="1"/>
        </w:numPr>
        <w:spacing w:before="0" w:beforeAutospacing="0" w:after="120" w:afterAutospacing="0" w:line="360" w:lineRule="auto"/>
        <w:ind w:right="-1"/>
        <w:jc w:val="both"/>
        <w:rPr>
          <w:rFonts w:eastAsiaTheme="minorHAnsi"/>
          <w:kern w:val="2"/>
          <w:lang w:eastAsia="en-US"/>
          <w14:ligatures w14:val="standardContextual"/>
        </w:rPr>
      </w:pPr>
      <w:r w:rsidRPr="00ED374E">
        <w:rPr>
          <w:rFonts w:eastAsiaTheme="minorHAnsi"/>
          <w:kern w:val="2"/>
          <w:lang w:eastAsia="en-US"/>
          <w14:ligatures w14:val="standardContextual"/>
        </w:rPr>
        <w:t>Capitais Regionais: Estes centros urbanos possuem uma alta concentração de atividades de gestão, embora tenham uma área de influência regional menor em comparação com as Metrópoles.</w:t>
      </w:r>
    </w:p>
    <w:p w14:paraId="2EFCBAD8" w14:textId="77777777" w:rsidR="00ED374E" w:rsidRPr="00ED374E" w:rsidRDefault="00ED374E" w:rsidP="008577EA">
      <w:pPr>
        <w:pStyle w:val="standard"/>
        <w:numPr>
          <w:ilvl w:val="0"/>
          <w:numId w:val="1"/>
        </w:numPr>
        <w:spacing w:before="0" w:beforeAutospacing="0" w:after="120" w:afterAutospacing="0" w:line="360" w:lineRule="auto"/>
        <w:ind w:right="-1"/>
        <w:jc w:val="both"/>
        <w:rPr>
          <w:rFonts w:eastAsiaTheme="minorHAnsi"/>
          <w:kern w:val="2"/>
          <w:lang w:eastAsia="en-US"/>
          <w14:ligatures w14:val="standardContextual"/>
        </w:rPr>
      </w:pPr>
      <w:r w:rsidRPr="00ED374E">
        <w:rPr>
          <w:rFonts w:eastAsiaTheme="minorHAnsi"/>
          <w:kern w:val="2"/>
          <w:lang w:eastAsia="en-US"/>
          <w14:ligatures w14:val="standardContextual"/>
        </w:rPr>
        <w:t xml:space="preserve">Centros </w:t>
      </w:r>
      <w:proofErr w:type="gramStart"/>
      <w:r w:rsidRPr="00ED374E">
        <w:rPr>
          <w:rFonts w:eastAsiaTheme="minorHAnsi"/>
          <w:kern w:val="2"/>
          <w:lang w:eastAsia="en-US"/>
          <w14:ligatures w14:val="standardContextual"/>
        </w:rPr>
        <w:t>Sub-Regionais</w:t>
      </w:r>
      <w:proofErr w:type="gramEnd"/>
      <w:r w:rsidRPr="00ED374E">
        <w:rPr>
          <w:rFonts w:eastAsiaTheme="minorHAnsi"/>
          <w:kern w:val="2"/>
          <w:lang w:eastAsia="en-US"/>
          <w14:ligatures w14:val="standardContextual"/>
        </w:rPr>
        <w:t>: No terceiro nível hierárquico, as cidades possuem atividades de gestão menos complexas (todas são classificadas como nível 3 na gestão do território), com uma área de influência menor do que as Capitais Regionais.</w:t>
      </w:r>
    </w:p>
    <w:p w14:paraId="3098BA0D" w14:textId="1090AE03" w:rsidR="00ED374E" w:rsidRPr="00ED374E" w:rsidRDefault="00ED374E" w:rsidP="008577EA">
      <w:pPr>
        <w:pStyle w:val="standard"/>
        <w:numPr>
          <w:ilvl w:val="0"/>
          <w:numId w:val="1"/>
        </w:numPr>
        <w:spacing w:before="0" w:beforeAutospacing="0" w:after="120" w:afterAutospacing="0" w:line="360" w:lineRule="auto"/>
        <w:ind w:right="-1"/>
        <w:jc w:val="both"/>
        <w:rPr>
          <w:rFonts w:eastAsiaTheme="minorHAnsi"/>
          <w:kern w:val="2"/>
          <w:lang w:eastAsia="en-US"/>
          <w14:ligatures w14:val="standardContextual"/>
        </w:rPr>
      </w:pPr>
      <w:r w:rsidRPr="00ED374E">
        <w:rPr>
          <w:rFonts w:eastAsiaTheme="minorHAnsi"/>
          <w:kern w:val="2"/>
          <w:lang w:eastAsia="en-US"/>
          <w14:ligatures w14:val="standardContextual"/>
        </w:rPr>
        <w:t>Centros de Zona: Caracterizam-se por menores níveis de atividades de gestão, polarizando um número inferior de cidades vizinhas devido à atração direta da</w:t>
      </w:r>
      <w:r>
        <w:rPr>
          <w:rFonts w:eastAsiaTheme="minorHAnsi"/>
          <w:kern w:val="2"/>
          <w:lang w:eastAsia="en-US"/>
          <w14:ligatures w14:val="standardContextual"/>
        </w:rPr>
        <w:t xml:space="preserve"> </w:t>
      </w:r>
      <w:r w:rsidRPr="00ED374E">
        <w:rPr>
          <w:rFonts w:eastAsiaTheme="minorHAnsi"/>
          <w:kern w:val="2"/>
          <w:lang w:eastAsia="en-US"/>
          <w14:ligatures w14:val="standardContextual"/>
        </w:rPr>
        <w:t>população por comércio e serviços, baseada em relações de proximidade.</w:t>
      </w:r>
    </w:p>
    <w:p w14:paraId="59A5A881" w14:textId="60CC22E9" w:rsidR="002C6DEE" w:rsidRDefault="00ED374E" w:rsidP="00B77B8F">
      <w:pPr>
        <w:pStyle w:val="standard"/>
        <w:numPr>
          <w:ilvl w:val="0"/>
          <w:numId w:val="1"/>
        </w:numPr>
        <w:spacing w:before="0" w:beforeAutospacing="0" w:after="120" w:afterAutospacing="0" w:line="360" w:lineRule="auto"/>
        <w:ind w:right="-1"/>
        <w:jc w:val="both"/>
        <w:rPr>
          <w:rFonts w:eastAsiaTheme="minorHAnsi"/>
          <w:kern w:val="2"/>
          <w:lang w:eastAsia="en-US"/>
          <w14:ligatures w14:val="standardContextual"/>
        </w:rPr>
      </w:pPr>
      <w:r w:rsidRPr="00ED374E">
        <w:rPr>
          <w:rFonts w:eastAsiaTheme="minorHAnsi"/>
          <w:kern w:val="2"/>
          <w:lang w:eastAsia="en-US"/>
          <w14:ligatures w14:val="standardContextual"/>
        </w:rPr>
        <w:t xml:space="preserve">Centros Locais são cidades que têm influência limitada apenas dentro de seus próprios limites territoriais. Embora possam atrair alguma população de outras cidades para assuntos específicos, não são o principal destino de nenhuma outra cidade. Geralmente têm uma centralidade fraca em atividades empresariais e de gestão pública, dependendo de centros urbanos de hierarquia superior para </w:t>
      </w:r>
      <w:r w:rsidRPr="00ED374E">
        <w:rPr>
          <w:rFonts w:eastAsiaTheme="minorHAnsi"/>
          <w:kern w:val="2"/>
          <w:lang w:eastAsia="en-US"/>
          <w14:ligatures w14:val="standardContextual"/>
        </w:rPr>
        <w:lastRenderedPageBreak/>
        <w:t>atividades cotidianas, compras, serviços, acesso a serviços públicos e dinâmica empresarial.</w:t>
      </w:r>
    </w:p>
    <w:p w14:paraId="32A104B3" w14:textId="2BCDE21F" w:rsidR="00B77B8F" w:rsidRDefault="00B77B8F" w:rsidP="00B77B8F">
      <w:pPr>
        <w:spacing w:after="120" w:line="360" w:lineRule="auto"/>
        <w:ind w:firstLine="709"/>
        <w:jc w:val="both"/>
        <w:rPr>
          <w:rFonts w:ascii="Times New Roman" w:hAnsi="Times New Roman" w:cs="Times New Roman"/>
          <w:sz w:val="24"/>
          <w:szCs w:val="24"/>
        </w:rPr>
      </w:pPr>
      <w:r w:rsidRPr="00B77B8F">
        <w:rPr>
          <w:rFonts w:ascii="Times New Roman" w:hAnsi="Times New Roman" w:cs="Times New Roman"/>
          <w:sz w:val="24"/>
          <w:szCs w:val="24"/>
        </w:rPr>
        <w:t>A Tabela 1 apresenta o orçamento total alocado por municípios separados por região e estados</w:t>
      </w:r>
      <w:r w:rsidR="004F668C">
        <w:rPr>
          <w:rFonts w:ascii="Times New Roman" w:hAnsi="Times New Roman" w:cs="Times New Roman"/>
          <w:sz w:val="24"/>
          <w:szCs w:val="24"/>
        </w:rPr>
        <w:t xml:space="preserve"> para o ano de 2022</w:t>
      </w:r>
      <w:r w:rsidRPr="00B77B8F">
        <w:rPr>
          <w:rFonts w:ascii="Times New Roman" w:hAnsi="Times New Roman" w:cs="Times New Roman"/>
          <w:sz w:val="24"/>
          <w:szCs w:val="24"/>
        </w:rPr>
        <w:t xml:space="preserve">. Apresentam-se também </w:t>
      </w:r>
      <w:r>
        <w:rPr>
          <w:rFonts w:ascii="Times New Roman" w:hAnsi="Times New Roman" w:cs="Times New Roman"/>
          <w:sz w:val="24"/>
          <w:szCs w:val="24"/>
        </w:rPr>
        <w:t xml:space="preserve">a população total e o número de cidades analisadas neste trabalho. </w:t>
      </w:r>
    </w:p>
    <w:p w14:paraId="39A4E81D" w14:textId="465D2190" w:rsidR="00E10153" w:rsidRPr="00E10153" w:rsidRDefault="00E10153" w:rsidP="00E10153">
      <w:pPr>
        <w:spacing w:after="120" w:line="360" w:lineRule="auto"/>
        <w:ind w:firstLine="709"/>
        <w:jc w:val="center"/>
        <w:rPr>
          <w:rFonts w:ascii="Times New Roman" w:hAnsi="Times New Roman" w:cs="Times New Roman"/>
          <w:sz w:val="20"/>
          <w:szCs w:val="20"/>
        </w:rPr>
      </w:pPr>
      <w:r w:rsidRPr="00E10153">
        <w:rPr>
          <w:rFonts w:ascii="Times New Roman" w:hAnsi="Times New Roman" w:cs="Times New Roman"/>
          <w:sz w:val="20"/>
          <w:szCs w:val="20"/>
        </w:rPr>
        <w:t xml:space="preserve">Tabela 1 </w:t>
      </w:r>
      <w:r w:rsidR="008B5CC7">
        <w:rPr>
          <w:rFonts w:ascii="Times New Roman" w:hAnsi="Times New Roman" w:cs="Times New Roman"/>
          <w:sz w:val="20"/>
          <w:szCs w:val="20"/>
        </w:rPr>
        <w:t>– Orçamento, População e Municípios por Estados e Regiões do Brasil</w:t>
      </w:r>
    </w:p>
    <w:tbl>
      <w:tblPr>
        <w:tblW w:w="9498" w:type="dxa"/>
        <w:jc w:val="center"/>
        <w:tblCellMar>
          <w:left w:w="70" w:type="dxa"/>
          <w:right w:w="70" w:type="dxa"/>
        </w:tblCellMar>
        <w:tblLook w:val="04A0" w:firstRow="1" w:lastRow="0" w:firstColumn="1" w:lastColumn="0" w:noHBand="0" w:noVBand="1"/>
      </w:tblPr>
      <w:tblGrid>
        <w:gridCol w:w="2553"/>
        <w:gridCol w:w="2126"/>
        <w:gridCol w:w="1040"/>
        <w:gridCol w:w="1431"/>
        <w:gridCol w:w="1180"/>
        <w:gridCol w:w="1168"/>
      </w:tblGrid>
      <w:tr w:rsidR="00011C50" w:rsidRPr="00DE28A4" w14:paraId="736F85D0" w14:textId="2EA8BE7A" w:rsidTr="00497652">
        <w:trPr>
          <w:trHeight w:val="300"/>
          <w:jc w:val="center"/>
        </w:trPr>
        <w:tc>
          <w:tcPr>
            <w:tcW w:w="2552" w:type="dxa"/>
            <w:tcBorders>
              <w:top w:val="nil"/>
              <w:left w:val="nil"/>
              <w:bottom w:val="single" w:sz="4" w:space="0" w:color="95B3D7"/>
              <w:right w:val="nil"/>
            </w:tcBorders>
            <w:shd w:val="clear" w:color="DCE6F1" w:fill="DCE6F1"/>
            <w:noWrap/>
            <w:vAlign w:val="center"/>
            <w:hideMark/>
          </w:tcPr>
          <w:p w14:paraId="4BBF233D" w14:textId="43676852" w:rsidR="008C601D" w:rsidRPr="009F6D99" w:rsidRDefault="008C601D" w:rsidP="00DE28A4">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E28A4">
              <w:rPr>
                <w:rFonts w:ascii="Times New Roman" w:eastAsia="Times New Roman" w:hAnsi="Times New Roman" w:cs="Times New Roman"/>
                <w:b/>
                <w:bCs/>
                <w:color w:val="000000"/>
                <w:kern w:val="0"/>
                <w:sz w:val="20"/>
                <w:szCs w:val="20"/>
                <w:lang w:eastAsia="pt-BR"/>
                <w14:ligatures w14:val="none"/>
              </w:rPr>
              <w:t>Região / Estado</w:t>
            </w:r>
          </w:p>
        </w:tc>
        <w:tc>
          <w:tcPr>
            <w:tcW w:w="2126" w:type="dxa"/>
            <w:tcBorders>
              <w:top w:val="nil"/>
              <w:left w:val="nil"/>
              <w:bottom w:val="single" w:sz="4" w:space="0" w:color="95B3D7"/>
              <w:right w:val="nil"/>
            </w:tcBorders>
            <w:shd w:val="clear" w:color="DCE6F1" w:fill="DCE6F1"/>
            <w:noWrap/>
            <w:vAlign w:val="center"/>
            <w:hideMark/>
          </w:tcPr>
          <w:p w14:paraId="63EC4241" w14:textId="77777777" w:rsidR="008C601D" w:rsidRDefault="008C601D" w:rsidP="00DE28A4">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O</w:t>
            </w:r>
            <w:r w:rsidRPr="009F6D99">
              <w:rPr>
                <w:rFonts w:ascii="Times New Roman" w:eastAsia="Times New Roman" w:hAnsi="Times New Roman" w:cs="Times New Roman"/>
                <w:b/>
                <w:bCs/>
                <w:color w:val="000000"/>
                <w:kern w:val="0"/>
                <w:sz w:val="20"/>
                <w:szCs w:val="20"/>
                <w:lang w:eastAsia="pt-BR"/>
                <w14:ligatures w14:val="none"/>
              </w:rPr>
              <w:t>rçamento</w:t>
            </w:r>
            <w:r>
              <w:rPr>
                <w:rFonts w:ascii="Times New Roman" w:eastAsia="Times New Roman" w:hAnsi="Times New Roman" w:cs="Times New Roman"/>
                <w:b/>
                <w:bCs/>
                <w:color w:val="000000"/>
                <w:kern w:val="0"/>
                <w:sz w:val="20"/>
                <w:szCs w:val="20"/>
                <w:lang w:eastAsia="pt-BR"/>
                <w14:ligatures w14:val="none"/>
              </w:rPr>
              <w:t xml:space="preserve"> Total dos </w:t>
            </w:r>
          </w:p>
          <w:p w14:paraId="7EB7C6E7" w14:textId="0F5FA93D" w:rsidR="008C601D" w:rsidRPr="009F6D99" w:rsidRDefault="008C601D" w:rsidP="00DE28A4">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Município</w:t>
            </w:r>
          </w:p>
        </w:tc>
        <w:tc>
          <w:tcPr>
            <w:tcW w:w="654" w:type="dxa"/>
            <w:tcBorders>
              <w:top w:val="nil"/>
              <w:left w:val="nil"/>
              <w:bottom w:val="single" w:sz="4" w:space="0" w:color="95B3D7"/>
              <w:right w:val="nil"/>
            </w:tcBorders>
            <w:shd w:val="clear" w:color="DCE6F1" w:fill="DCE6F1"/>
            <w:noWrap/>
            <w:vAlign w:val="center"/>
            <w:hideMark/>
          </w:tcPr>
          <w:p w14:paraId="6B5693C3" w14:textId="41E6B451" w:rsidR="008C601D" w:rsidRPr="009F6D99" w:rsidRDefault="008C601D" w:rsidP="00DE28A4">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P</w:t>
            </w:r>
            <w:r w:rsidRPr="009F6D99">
              <w:rPr>
                <w:rFonts w:ascii="Times New Roman" w:eastAsia="Times New Roman" w:hAnsi="Times New Roman" w:cs="Times New Roman"/>
                <w:b/>
                <w:bCs/>
                <w:color w:val="000000"/>
                <w:kern w:val="0"/>
                <w:sz w:val="20"/>
                <w:szCs w:val="20"/>
                <w:lang w:eastAsia="pt-BR"/>
                <w14:ligatures w14:val="none"/>
              </w:rPr>
              <w:t>opulação</w:t>
            </w:r>
          </w:p>
        </w:tc>
        <w:tc>
          <w:tcPr>
            <w:tcW w:w="1680" w:type="dxa"/>
            <w:tcBorders>
              <w:top w:val="nil"/>
              <w:left w:val="nil"/>
              <w:bottom w:val="single" w:sz="4" w:space="0" w:color="95B3D7"/>
              <w:right w:val="nil"/>
            </w:tcBorders>
            <w:shd w:val="clear" w:color="DCE6F1" w:fill="DCE6F1"/>
          </w:tcPr>
          <w:p w14:paraId="00B1F933" w14:textId="743F2991" w:rsidR="008C601D" w:rsidRPr="00DE28A4" w:rsidRDefault="008C601D" w:rsidP="00DE28A4">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Orçamento Per Capita</w:t>
            </w:r>
          </w:p>
        </w:tc>
        <w:tc>
          <w:tcPr>
            <w:tcW w:w="1245" w:type="dxa"/>
            <w:tcBorders>
              <w:top w:val="nil"/>
              <w:left w:val="nil"/>
              <w:bottom w:val="single" w:sz="4" w:space="0" w:color="95B3D7"/>
              <w:right w:val="nil"/>
            </w:tcBorders>
            <w:shd w:val="clear" w:color="DCE6F1" w:fill="DCE6F1"/>
            <w:vAlign w:val="center"/>
          </w:tcPr>
          <w:p w14:paraId="177023FF" w14:textId="5AC2DD55" w:rsidR="008C601D" w:rsidRPr="00DE28A4" w:rsidRDefault="008C601D" w:rsidP="00DE28A4">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E28A4">
              <w:rPr>
                <w:rFonts w:ascii="Times New Roman" w:eastAsia="Times New Roman" w:hAnsi="Times New Roman" w:cs="Times New Roman"/>
                <w:b/>
                <w:bCs/>
                <w:color w:val="000000"/>
                <w:kern w:val="0"/>
                <w:sz w:val="20"/>
                <w:szCs w:val="20"/>
                <w:lang w:eastAsia="pt-BR"/>
                <w14:ligatures w14:val="none"/>
              </w:rPr>
              <w:t xml:space="preserve">Número de </w:t>
            </w:r>
            <w:r>
              <w:rPr>
                <w:rFonts w:ascii="Times New Roman" w:eastAsia="Times New Roman" w:hAnsi="Times New Roman" w:cs="Times New Roman"/>
                <w:b/>
                <w:bCs/>
                <w:color w:val="000000"/>
                <w:kern w:val="0"/>
                <w:sz w:val="20"/>
                <w:szCs w:val="20"/>
                <w:lang w:eastAsia="pt-BR"/>
                <w14:ligatures w14:val="none"/>
              </w:rPr>
              <w:t>Municípios</w:t>
            </w:r>
          </w:p>
        </w:tc>
        <w:tc>
          <w:tcPr>
            <w:tcW w:w="1241" w:type="dxa"/>
            <w:tcBorders>
              <w:top w:val="nil"/>
              <w:left w:val="nil"/>
              <w:bottom w:val="single" w:sz="4" w:space="0" w:color="95B3D7"/>
              <w:right w:val="nil"/>
            </w:tcBorders>
            <w:shd w:val="clear" w:color="DCE6F1" w:fill="DCE6F1"/>
            <w:vAlign w:val="center"/>
          </w:tcPr>
          <w:p w14:paraId="1AA00A7E" w14:textId="729CDA1A" w:rsidR="008C601D" w:rsidRPr="00DE28A4" w:rsidRDefault="008C601D" w:rsidP="00DE28A4">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E28A4">
              <w:rPr>
                <w:rFonts w:ascii="Times New Roman" w:eastAsia="Times New Roman" w:hAnsi="Times New Roman" w:cs="Times New Roman"/>
                <w:b/>
                <w:bCs/>
                <w:color w:val="000000"/>
                <w:kern w:val="0"/>
                <w:sz w:val="20"/>
                <w:szCs w:val="20"/>
                <w:lang w:eastAsia="pt-BR"/>
                <w14:ligatures w14:val="none"/>
              </w:rPr>
              <w:t>% Cidades Analisadas</w:t>
            </w:r>
          </w:p>
        </w:tc>
      </w:tr>
      <w:tr w:rsidR="00497652" w:rsidRPr="00DE28A4" w14:paraId="3866ABA0" w14:textId="08BF31C8" w:rsidTr="00497652">
        <w:trPr>
          <w:trHeight w:val="300"/>
          <w:jc w:val="center"/>
        </w:trPr>
        <w:tc>
          <w:tcPr>
            <w:tcW w:w="2552" w:type="dxa"/>
            <w:tcBorders>
              <w:top w:val="nil"/>
              <w:left w:val="nil"/>
              <w:bottom w:val="single" w:sz="4" w:space="0" w:color="95B3D7"/>
              <w:right w:val="nil"/>
            </w:tcBorders>
            <w:shd w:val="clear" w:color="auto" w:fill="auto"/>
            <w:noWrap/>
            <w:vAlign w:val="center"/>
            <w:hideMark/>
          </w:tcPr>
          <w:p w14:paraId="186D8502" w14:textId="1AA3B3A8" w:rsidR="00EC7090" w:rsidRPr="009F6D99" w:rsidRDefault="00EC7090" w:rsidP="00EC7090">
            <w:pPr>
              <w:spacing w:after="0" w:line="240" w:lineRule="auto"/>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CENTRO-OESTE</w:t>
            </w:r>
          </w:p>
        </w:tc>
        <w:tc>
          <w:tcPr>
            <w:tcW w:w="2126" w:type="dxa"/>
            <w:tcBorders>
              <w:top w:val="nil"/>
              <w:left w:val="nil"/>
              <w:bottom w:val="single" w:sz="4" w:space="0" w:color="95B3D7"/>
              <w:right w:val="nil"/>
            </w:tcBorders>
            <w:shd w:val="clear" w:color="auto" w:fill="auto"/>
            <w:noWrap/>
            <w:vAlign w:val="center"/>
            <w:hideMark/>
          </w:tcPr>
          <w:p w14:paraId="3C946EB9" w14:textId="3340315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R$ 67.633.373.038,71</w:t>
            </w:r>
          </w:p>
        </w:tc>
        <w:tc>
          <w:tcPr>
            <w:tcW w:w="654" w:type="dxa"/>
            <w:tcBorders>
              <w:top w:val="nil"/>
              <w:left w:val="nil"/>
              <w:bottom w:val="single" w:sz="4" w:space="0" w:color="95B3D7"/>
              <w:right w:val="nil"/>
            </w:tcBorders>
            <w:shd w:val="clear" w:color="auto" w:fill="auto"/>
            <w:noWrap/>
            <w:vAlign w:val="center"/>
            <w:hideMark/>
          </w:tcPr>
          <w:p w14:paraId="2568969C" w14:textId="7F8E75F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12986314</w:t>
            </w:r>
          </w:p>
        </w:tc>
        <w:tc>
          <w:tcPr>
            <w:tcW w:w="1680" w:type="dxa"/>
            <w:tcBorders>
              <w:top w:val="nil"/>
              <w:left w:val="nil"/>
              <w:bottom w:val="single" w:sz="4" w:space="0" w:color="95B3D7"/>
              <w:right w:val="nil"/>
            </w:tcBorders>
            <w:vAlign w:val="center"/>
          </w:tcPr>
          <w:p w14:paraId="2B74AF2C" w14:textId="18D448A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R$ 7.320,89</w:t>
            </w:r>
          </w:p>
        </w:tc>
        <w:tc>
          <w:tcPr>
            <w:tcW w:w="1245" w:type="dxa"/>
            <w:tcBorders>
              <w:top w:val="nil"/>
              <w:left w:val="nil"/>
              <w:bottom w:val="single" w:sz="4" w:space="0" w:color="95B3D7"/>
              <w:right w:val="nil"/>
            </w:tcBorders>
            <w:vAlign w:val="center"/>
          </w:tcPr>
          <w:p w14:paraId="599EC229" w14:textId="1D2BCCB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443</w:t>
            </w:r>
          </w:p>
        </w:tc>
        <w:tc>
          <w:tcPr>
            <w:tcW w:w="1241" w:type="dxa"/>
            <w:tcBorders>
              <w:top w:val="nil"/>
              <w:left w:val="nil"/>
              <w:bottom w:val="single" w:sz="4" w:space="0" w:color="95B3D7"/>
              <w:right w:val="nil"/>
            </w:tcBorders>
            <w:vAlign w:val="center"/>
          </w:tcPr>
          <w:p w14:paraId="29E58D5D" w14:textId="696D584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94,9%</w:t>
            </w:r>
          </w:p>
        </w:tc>
      </w:tr>
      <w:tr w:rsidR="00497652" w:rsidRPr="00DE28A4" w14:paraId="263CF32F" w14:textId="666CFC1A" w:rsidTr="00497652">
        <w:trPr>
          <w:trHeight w:val="300"/>
          <w:jc w:val="center"/>
        </w:trPr>
        <w:tc>
          <w:tcPr>
            <w:tcW w:w="2552" w:type="dxa"/>
            <w:tcBorders>
              <w:top w:val="nil"/>
              <w:left w:val="nil"/>
              <w:bottom w:val="nil"/>
              <w:right w:val="nil"/>
            </w:tcBorders>
            <w:shd w:val="clear" w:color="auto" w:fill="auto"/>
            <w:noWrap/>
            <w:vAlign w:val="center"/>
            <w:hideMark/>
          </w:tcPr>
          <w:p w14:paraId="55D2E181" w14:textId="546FCCBF"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G</w:t>
            </w:r>
            <w:r>
              <w:rPr>
                <w:rFonts w:ascii="Times New Roman" w:eastAsia="Times New Roman" w:hAnsi="Times New Roman" w:cs="Times New Roman"/>
                <w:color w:val="000000"/>
                <w:kern w:val="0"/>
                <w:sz w:val="20"/>
                <w:szCs w:val="20"/>
                <w:lang w:eastAsia="pt-BR"/>
                <w14:ligatures w14:val="none"/>
              </w:rPr>
              <w:t>oiás</w:t>
            </w:r>
            <w:r w:rsidR="00497652">
              <w:rPr>
                <w:rFonts w:ascii="Times New Roman" w:eastAsia="Times New Roman" w:hAnsi="Times New Roman" w:cs="Times New Roman"/>
                <w:color w:val="000000"/>
                <w:kern w:val="0"/>
                <w:sz w:val="20"/>
                <w:szCs w:val="20"/>
                <w:lang w:eastAsia="pt-BR"/>
                <w14:ligatures w14:val="none"/>
              </w:rPr>
              <w:t xml:space="preserve"> (GO)</w:t>
            </w:r>
          </w:p>
        </w:tc>
        <w:tc>
          <w:tcPr>
            <w:tcW w:w="2126" w:type="dxa"/>
            <w:tcBorders>
              <w:top w:val="nil"/>
              <w:left w:val="nil"/>
              <w:bottom w:val="nil"/>
              <w:right w:val="nil"/>
            </w:tcBorders>
            <w:shd w:val="clear" w:color="auto" w:fill="auto"/>
            <w:noWrap/>
            <w:vAlign w:val="center"/>
            <w:hideMark/>
          </w:tcPr>
          <w:p w14:paraId="1621FD8A" w14:textId="0256EA2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R$ 30.607.562.851,89</w:t>
            </w:r>
          </w:p>
        </w:tc>
        <w:tc>
          <w:tcPr>
            <w:tcW w:w="654" w:type="dxa"/>
            <w:tcBorders>
              <w:top w:val="nil"/>
              <w:left w:val="nil"/>
              <w:bottom w:val="nil"/>
              <w:right w:val="nil"/>
            </w:tcBorders>
            <w:shd w:val="clear" w:color="auto" w:fill="auto"/>
            <w:noWrap/>
            <w:vAlign w:val="center"/>
            <w:hideMark/>
          </w:tcPr>
          <w:p w14:paraId="31084B49" w14:textId="6D2F804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6836648</w:t>
            </w:r>
          </w:p>
        </w:tc>
        <w:tc>
          <w:tcPr>
            <w:tcW w:w="1680" w:type="dxa"/>
            <w:tcBorders>
              <w:top w:val="nil"/>
              <w:left w:val="nil"/>
              <w:bottom w:val="nil"/>
              <w:right w:val="nil"/>
            </w:tcBorders>
            <w:vAlign w:val="center"/>
          </w:tcPr>
          <w:p w14:paraId="24E4D197" w14:textId="77EBE29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R$ 6.833,29</w:t>
            </w:r>
          </w:p>
        </w:tc>
        <w:tc>
          <w:tcPr>
            <w:tcW w:w="1245" w:type="dxa"/>
            <w:tcBorders>
              <w:top w:val="nil"/>
              <w:left w:val="nil"/>
              <w:bottom w:val="nil"/>
              <w:right w:val="nil"/>
            </w:tcBorders>
            <w:vAlign w:val="center"/>
          </w:tcPr>
          <w:p w14:paraId="183B4114" w14:textId="2A52671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236</w:t>
            </w:r>
          </w:p>
        </w:tc>
        <w:tc>
          <w:tcPr>
            <w:tcW w:w="1241" w:type="dxa"/>
            <w:tcBorders>
              <w:top w:val="nil"/>
              <w:left w:val="nil"/>
              <w:bottom w:val="nil"/>
              <w:right w:val="nil"/>
            </w:tcBorders>
            <w:vAlign w:val="center"/>
          </w:tcPr>
          <w:p w14:paraId="7E10710B" w14:textId="62FDD1A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95,9%</w:t>
            </w:r>
          </w:p>
        </w:tc>
      </w:tr>
      <w:tr w:rsidR="00497652" w:rsidRPr="00DE28A4" w14:paraId="3673F196" w14:textId="57CDC003" w:rsidTr="00497652">
        <w:trPr>
          <w:trHeight w:val="300"/>
          <w:jc w:val="center"/>
        </w:trPr>
        <w:tc>
          <w:tcPr>
            <w:tcW w:w="2552" w:type="dxa"/>
            <w:tcBorders>
              <w:top w:val="nil"/>
              <w:left w:val="nil"/>
              <w:bottom w:val="nil"/>
              <w:right w:val="nil"/>
            </w:tcBorders>
            <w:shd w:val="clear" w:color="auto" w:fill="auto"/>
            <w:noWrap/>
            <w:vAlign w:val="center"/>
            <w:hideMark/>
          </w:tcPr>
          <w:p w14:paraId="0B4A0661" w14:textId="2C38F331"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M</w:t>
            </w:r>
            <w:r>
              <w:rPr>
                <w:rFonts w:ascii="Times New Roman" w:eastAsia="Times New Roman" w:hAnsi="Times New Roman" w:cs="Times New Roman"/>
                <w:color w:val="000000"/>
                <w:kern w:val="0"/>
                <w:sz w:val="20"/>
                <w:szCs w:val="20"/>
                <w:lang w:eastAsia="pt-BR"/>
                <w14:ligatures w14:val="none"/>
              </w:rPr>
              <w:t xml:space="preserve">ato Grosso do </w:t>
            </w:r>
            <w:r w:rsidRPr="009F6D99">
              <w:rPr>
                <w:rFonts w:ascii="Times New Roman" w:eastAsia="Times New Roman" w:hAnsi="Times New Roman" w:cs="Times New Roman"/>
                <w:color w:val="000000"/>
                <w:kern w:val="0"/>
                <w:sz w:val="20"/>
                <w:szCs w:val="20"/>
                <w:lang w:eastAsia="pt-BR"/>
                <w14:ligatures w14:val="none"/>
              </w:rPr>
              <w:t>S</w:t>
            </w:r>
            <w:r>
              <w:rPr>
                <w:rFonts w:ascii="Times New Roman" w:eastAsia="Times New Roman" w:hAnsi="Times New Roman" w:cs="Times New Roman"/>
                <w:color w:val="000000"/>
                <w:kern w:val="0"/>
                <w:sz w:val="20"/>
                <w:szCs w:val="20"/>
                <w:lang w:eastAsia="pt-BR"/>
                <w14:ligatures w14:val="none"/>
              </w:rPr>
              <w:t>ul</w:t>
            </w:r>
            <w:r w:rsidR="00497652">
              <w:rPr>
                <w:rFonts w:ascii="Times New Roman" w:eastAsia="Times New Roman" w:hAnsi="Times New Roman" w:cs="Times New Roman"/>
                <w:color w:val="000000"/>
                <w:kern w:val="0"/>
                <w:sz w:val="20"/>
                <w:szCs w:val="20"/>
                <w:lang w:eastAsia="pt-BR"/>
                <w14:ligatures w14:val="none"/>
              </w:rPr>
              <w:t xml:space="preserve"> (MS)</w:t>
            </w:r>
          </w:p>
        </w:tc>
        <w:tc>
          <w:tcPr>
            <w:tcW w:w="2126" w:type="dxa"/>
            <w:tcBorders>
              <w:top w:val="nil"/>
              <w:left w:val="nil"/>
              <w:bottom w:val="nil"/>
              <w:right w:val="nil"/>
            </w:tcBorders>
            <w:shd w:val="clear" w:color="auto" w:fill="auto"/>
            <w:noWrap/>
            <w:vAlign w:val="center"/>
            <w:hideMark/>
          </w:tcPr>
          <w:p w14:paraId="31E36279" w14:textId="38C2185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R$ 16.433.192.362,90</w:t>
            </w:r>
          </w:p>
        </w:tc>
        <w:tc>
          <w:tcPr>
            <w:tcW w:w="654" w:type="dxa"/>
            <w:tcBorders>
              <w:top w:val="nil"/>
              <w:left w:val="nil"/>
              <w:bottom w:val="nil"/>
              <w:right w:val="nil"/>
            </w:tcBorders>
            <w:shd w:val="clear" w:color="auto" w:fill="auto"/>
            <w:noWrap/>
            <w:vAlign w:val="center"/>
            <w:hideMark/>
          </w:tcPr>
          <w:p w14:paraId="7B458E60" w14:textId="3DA4C36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2648373</w:t>
            </w:r>
          </w:p>
        </w:tc>
        <w:tc>
          <w:tcPr>
            <w:tcW w:w="1680" w:type="dxa"/>
            <w:tcBorders>
              <w:top w:val="nil"/>
              <w:left w:val="nil"/>
              <w:bottom w:val="nil"/>
              <w:right w:val="nil"/>
            </w:tcBorders>
            <w:vAlign w:val="center"/>
          </w:tcPr>
          <w:p w14:paraId="0DBA84C2" w14:textId="1D6BB3C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R$ 7.336,78</w:t>
            </w:r>
          </w:p>
        </w:tc>
        <w:tc>
          <w:tcPr>
            <w:tcW w:w="1245" w:type="dxa"/>
            <w:tcBorders>
              <w:top w:val="nil"/>
              <w:left w:val="nil"/>
              <w:bottom w:val="nil"/>
              <w:right w:val="nil"/>
            </w:tcBorders>
            <w:vAlign w:val="center"/>
          </w:tcPr>
          <w:p w14:paraId="09199A35" w14:textId="35930CC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72</w:t>
            </w:r>
          </w:p>
        </w:tc>
        <w:tc>
          <w:tcPr>
            <w:tcW w:w="1241" w:type="dxa"/>
            <w:tcBorders>
              <w:top w:val="nil"/>
              <w:left w:val="nil"/>
              <w:bottom w:val="nil"/>
              <w:right w:val="nil"/>
            </w:tcBorders>
            <w:vAlign w:val="center"/>
          </w:tcPr>
          <w:p w14:paraId="0B4C073D" w14:textId="4A46D395"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91,1%</w:t>
            </w:r>
          </w:p>
        </w:tc>
      </w:tr>
      <w:tr w:rsidR="00497652" w:rsidRPr="00DE28A4" w14:paraId="3731E354" w14:textId="7EBE61F5" w:rsidTr="00497652">
        <w:trPr>
          <w:trHeight w:val="300"/>
          <w:jc w:val="center"/>
        </w:trPr>
        <w:tc>
          <w:tcPr>
            <w:tcW w:w="2552" w:type="dxa"/>
            <w:tcBorders>
              <w:top w:val="nil"/>
              <w:left w:val="nil"/>
              <w:bottom w:val="nil"/>
              <w:right w:val="nil"/>
            </w:tcBorders>
            <w:shd w:val="clear" w:color="auto" w:fill="auto"/>
            <w:noWrap/>
            <w:vAlign w:val="center"/>
            <w:hideMark/>
          </w:tcPr>
          <w:p w14:paraId="1907D2F3" w14:textId="41813325"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M</w:t>
            </w:r>
            <w:r>
              <w:rPr>
                <w:rFonts w:ascii="Times New Roman" w:eastAsia="Times New Roman" w:hAnsi="Times New Roman" w:cs="Times New Roman"/>
                <w:color w:val="000000"/>
                <w:kern w:val="0"/>
                <w:sz w:val="20"/>
                <w:szCs w:val="20"/>
                <w:lang w:eastAsia="pt-BR"/>
                <w14:ligatures w14:val="none"/>
              </w:rPr>
              <w:t>ato Grosso</w:t>
            </w:r>
            <w:r w:rsidR="00497652">
              <w:rPr>
                <w:rFonts w:ascii="Times New Roman" w:eastAsia="Times New Roman" w:hAnsi="Times New Roman" w:cs="Times New Roman"/>
                <w:color w:val="000000"/>
                <w:kern w:val="0"/>
                <w:sz w:val="20"/>
                <w:szCs w:val="20"/>
                <w:lang w:eastAsia="pt-BR"/>
                <w14:ligatures w14:val="none"/>
              </w:rPr>
              <w:t xml:space="preserve"> (MT)</w:t>
            </w:r>
          </w:p>
        </w:tc>
        <w:tc>
          <w:tcPr>
            <w:tcW w:w="2126" w:type="dxa"/>
            <w:tcBorders>
              <w:top w:val="nil"/>
              <w:left w:val="nil"/>
              <w:bottom w:val="nil"/>
              <w:right w:val="nil"/>
            </w:tcBorders>
            <w:shd w:val="clear" w:color="auto" w:fill="auto"/>
            <w:noWrap/>
            <w:vAlign w:val="center"/>
            <w:hideMark/>
          </w:tcPr>
          <w:p w14:paraId="5C346461" w14:textId="7F90834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R$ 20.592.617.823,92</w:t>
            </w:r>
          </w:p>
        </w:tc>
        <w:tc>
          <w:tcPr>
            <w:tcW w:w="654" w:type="dxa"/>
            <w:tcBorders>
              <w:top w:val="nil"/>
              <w:left w:val="nil"/>
              <w:bottom w:val="nil"/>
              <w:right w:val="nil"/>
            </w:tcBorders>
            <w:shd w:val="clear" w:color="auto" w:fill="auto"/>
            <w:noWrap/>
            <w:vAlign w:val="center"/>
            <w:hideMark/>
          </w:tcPr>
          <w:p w14:paraId="60FBCE9A" w14:textId="1D0BBF0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3501293</w:t>
            </w:r>
          </w:p>
        </w:tc>
        <w:tc>
          <w:tcPr>
            <w:tcW w:w="1680" w:type="dxa"/>
            <w:tcBorders>
              <w:top w:val="nil"/>
              <w:left w:val="nil"/>
              <w:bottom w:val="nil"/>
              <w:right w:val="nil"/>
            </w:tcBorders>
            <w:vAlign w:val="center"/>
          </w:tcPr>
          <w:p w14:paraId="2228A6D5" w14:textId="249D954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R$ 8.164,81</w:t>
            </w:r>
          </w:p>
        </w:tc>
        <w:tc>
          <w:tcPr>
            <w:tcW w:w="1245" w:type="dxa"/>
            <w:tcBorders>
              <w:top w:val="nil"/>
              <w:left w:val="nil"/>
              <w:bottom w:val="nil"/>
              <w:right w:val="nil"/>
            </w:tcBorders>
            <w:vAlign w:val="center"/>
          </w:tcPr>
          <w:p w14:paraId="744DAFC8" w14:textId="3AF27E45"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135</w:t>
            </w:r>
          </w:p>
        </w:tc>
        <w:tc>
          <w:tcPr>
            <w:tcW w:w="1241" w:type="dxa"/>
            <w:tcBorders>
              <w:top w:val="nil"/>
              <w:left w:val="nil"/>
              <w:bottom w:val="nil"/>
              <w:right w:val="nil"/>
            </w:tcBorders>
            <w:vAlign w:val="center"/>
          </w:tcPr>
          <w:p w14:paraId="68C0FA0C" w14:textId="361B48F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95,7%</w:t>
            </w:r>
          </w:p>
        </w:tc>
      </w:tr>
      <w:tr w:rsidR="00497652" w:rsidRPr="00DE28A4" w14:paraId="51DD3324" w14:textId="4E459CEA" w:rsidTr="00497652">
        <w:trPr>
          <w:trHeight w:val="300"/>
          <w:jc w:val="center"/>
        </w:trPr>
        <w:tc>
          <w:tcPr>
            <w:tcW w:w="2552" w:type="dxa"/>
            <w:tcBorders>
              <w:top w:val="nil"/>
              <w:left w:val="nil"/>
              <w:bottom w:val="single" w:sz="4" w:space="0" w:color="95B3D7"/>
              <w:right w:val="nil"/>
            </w:tcBorders>
            <w:shd w:val="clear" w:color="auto" w:fill="auto"/>
            <w:noWrap/>
            <w:vAlign w:val="center"/>
            <w:hideMark/>
          </w:tcPr>
          <w:p w14:paraId="0FEAF140" w14:textId="6D2131BF" w:rsidR="00EC7090" w:rsidRPr="009F6D99" w:rsidRDefault="00EC7090" w:rsidP="00EC7090">
            <w:pPr>
              <w:spacing w:after="0" w:line="240" w:lineRule="auto"/>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NORDESTE</w:t>
            </w:r>
          </w:p>
        </w:tc>
        <w:tc>
          <w:tcPr>
            <w:tcW w:w="2126" w:type="dxa"/>
            <w:tcBorders>
              <w:top w:val="nil"/>
              <w:left w:val="nil"/>
              <w:bottom w:val="single" w:sz="4" w:space="0" w:color="95B3D7"/>
              <w:right w:val="nil"/>
            </w:tcBorders>
            <w:shd w:val="clear" w:color="auto" w:fill="auto"/>
            <w:noWrap/>
            <w:vAlign w:val="center"/>
            <w:hideMark/>
          </w:tcPr>
          <w:p w14:paraId="4335CEA9" w14:textId="2FF6AA0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R$ 222.133.147.917,67</w:t>
            </w:r>
          </w:p>
        </w:tc>
        <w:tc>
          <w:tcPr>
            <w:tcW w:w="654" w:type="dxa"/>
            <w:tcBorders>
              <w:top w:val="nil"/>
              <w:left w:val="nil"/>
              <w:bottom w:val="single" w:sz="4" w:space="0" w:color="95B3D7"/>
              <w:right w:val="nil"/>
            </w:tcBorders>
            <w:shd w:val="clear" w:color="auto" w:fill="auto"/>
            <w:noWrap/>
            <w:vAlign w:val="center"/>
            <w:hideMark/>
          </w:tcPr>
          <w:p w14:paraId="0245FBE5" w14:textId="5F33810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53630606</w:t>
            </w:r>
          </w:p>
        </w:tc>
        <w:tc>
          <w:tcPr>
            <w:tcW w:w="1680" w:type="dxa"/>
            <w:tcBorders>
              <w:top w:val="nil"/>
              <w:left w:val="nil"/>
              <w:bottom w:val="single" w:sz="4" w:space="0" w:color="95B3D7"/>
              <w:right w:val="nil"/>
            </w:tcBorders>
            <w:vAlign w:val="center"/>
          </w:tcPr>
          <w:p w14:paraId="4D5CE509" w14:textId="226102B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R$ 5.039,80</w:t>
            </w:r>
          </w:p>
        </w:tc>
        <w:tc>
          <w:tcPr>
            <w:tcW w:w="1245" w:type="dxa"/>
            <w:tcBorders>
              <w:top w:val="nil"/>
              <w:left w:val="nil"/>
              <w:bottom w:val="single" w:sz="4" w:space="0" w:color="95B3D7"/>
              <w:right w:val="nil"/>
            </w:tcBorders>
            <w:vAlign w:val="center"/>
          </w:tcPr>
          <w:p w14:paraId="17AE5E88" w14:textId="340FEF5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1741</w:t>
            </w:r>
          </w:p>
        </w:tc>
        <w:tc>
          <w:tcPr>
            <w:tcW w:w="1241" w:type="dxa"/>
            <w:tcBorders>
              <w:top w:val="nil"/>
              <w:left w:val="nil"/>
              <w:bottom w:val="single" w:sz="4" w:space="0" w:color="95B3D7"/>
              <w:right w:val="nil"/>
            </w:tcBorders>
            <w:vAlign w:val="center"/>
          </w:tcPr>
          <w:p w14:paraId="5FA18ED4" w14:textId="677120D5"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97,0%</w:t>
            </w:r>
          </w:p>
        </w:tc>
      </w:tr>
      <w:tr w:rsidR="00497652" w:rsidRPr="00DE28A4" w14:paraId="58A06327" w14:textId="53F14257" w:rsidTr="00497652">
        <w:trPr>
          <w:trHeight w:val="300"/>
          <w:jc w:val="center"/>
        </w:trPr>
        <w:tc>
          <w:tcPr>
            <w:tcW w:w="2552" w:type="dxa"/>
            <w:tcBorders>
              <w:top w:val="nil"/>
              <w:left w:val="nil"/>
              <w:bottom w:val="nil"/>
              <w:right w:val="nil"/>
            </w:tcBorders>
            <w:shd w:val="clear" w:color="auto" w:fill="auto"/>
            <w:noWrap/>
            <w:vAlign w:val="center"/>
            <w:hideMark/>
          </w:tcPr>
          <w:p w14:paraId="2DFFD9B4" w14:textId="35F355DD"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A</w:t>
            </w:r>
            <w:r>
              <w:rPr>
                <w:rFonts w:ascii="Times New Roman" w:eastAsia="Times New Roman" w:hAnsi="Times New Roman" w:cs="Times New Roman"/>
                <w:color w:val="000000"/>
                <w:kern w:val="0"/>
                <w:sz w:val="20"/>
                <w:szCs w:val="20"/>
                <w:lang w:eastAsia="pt-BR"/>
                <w14:ligatures w14:val="none"/>
              </w:rPr>
              <w:t>lagoas</w:t>
            </w:r>
            <w:r w:rsidR="00497652">
              <w:rPr>
                <w:rFonts w:ascii="Times New Roman" w:eastAsia="Times New Roman" w:hAnsi="Times New Roman" w:cs="Times New Roman"/>
                <w:color w:val="000000"/>
                <w:kern w:val="0"/>
                <w:sz w:val="20"/>
                <w:szCs w:val="20"/>
                <w:lang w:eastAsia="pt-BR"/>
                <w14:ligatures w14:val="none"/>
              </w:rPr>
              <w:t xml:space="preserve"> (AL)</w:t>
            </w:r>
          </w:p>
        </w:tc>
        <w:tc>
          <w:tcPr>
            <w:tcW w:w="2126" w:type="dxa"/>
            <w:tcBorders>
              <w:top w:val="nil"/>
              <w:left w:val="nil"/>
              <w:bottom w:val="nil"/>
              <w:right w:val="nil"/>
            </w:tcBorders>
            <w:shd w:val="clear" w:color="auto" w:fill="auto"/>
            <w:noWrap/>
            <w:vAlign w:val="center"/>
            <w:hideMark/>
          </w:tcPr>
          <w:p w14:paraId="4B4F8EE7" w14:textId="12608650"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R$ 14.122.851.426,74</w:t>
            </w:r>
          </w:p>
        </w:tc>
        <w:tc>
          <w:tcPr>
            <w:tcW w:w="654" w:type="dxa"/>
            <w:tcBorders>
              <w:top w:val="nil"/>
              <w:left w:val="nil"/>
              <w:bottom w:val="nil"/>
              <w:right w:val="nil"/>
            </w:tcBorders>
            <w:shd w:val="clear" w:color="auto" w:fill="auto"/>
            <w:noWrap/>
            <w:vAlign w:val="center"/>
            <w:hideMark/>
          </w:tcPr>
          <w:p w14:paraId="462A1CD1" w14:textId="2912ACF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2812621</w:t>
            </w:r>
          </w:p>
        </w:tc>
        <w:tc>
          <w:tcPr>
            <w:tcW w:w="1680" w:type="dxa"/>
            <w:tcBorders>
              <w:top w:val="nil"/>
              <w:left w:val="nil"/>
              <w:bottom w:val="nil"/>
              <w:right w:val="nil"/>
            </w:tcBorders>
            <w:vAlign w:val="center"/>
          </w:tcPr>
          <w:p w14:paraId="36C6EF20" w14:textId="4704F06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R$ 6.751,67</w:t>
            </w:r>
          </w:p>
        </w:tc>
        <w:tc>
          <w:tcPr>
            <w:tcW w:w="1245" w:type="dxa"/>
            <w:tcBorders>
              <w:top w:val="nil"/>
              <w:left w:val="nil"/>
              <w:bottom w:val="nil"/>
              <w:right w:val="nil"/>
            </w:tcBorders>
            <w:vAlign w:val="center"/>
          </w:tcPr>
          <w:p w14:paraId="53B26AB2" w14:textId="3DF470E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85</w:t>
            </w:r>
          </w:p>
        </w:tc>
        <w:tc>
          <w:tcPr>
            <w:tcW w:w="1241" w:type="dxa"/>
            <w:tcBorders>
              <w:top w:val="nil"/>
              <w:left w:val="nil"/>
              <w:bottom w:val="nil"/>
              <w:right w:val="nil"/>
            </w:tcBorders>
            <w:vAlign w:val="center"/>
          </w:tcPr>
          <w:p w14:paraId="698AEFF3" w14:textId="3080683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83,3%</w:t>
            </w:r>
          </w:p>
        </w:tc>
      </w:tr>
      <w:tr w:rsidR="00497652" w:rsidRPr="00DE28A4" w14:paraId="288BB1CD" w14:textId="12243025" w:rsidTr="00497652">
        <w:trPr>
          <w:trHeight w:val="300"/>
          <w:jc w:val="center"/>
        </w:trPr>
        <w:tc>
          <w:tcPr>
            <w:tcW w:w="2552" w:type="dxa"/>
            <w:tcBorders>
              <w:top w:val="nil"/>
              <w:left w:val="nil"/>
              <w:bottom w:val="nil"/>
              <w:right w:val="nil"/>
            </w:tcBorders>
            <w:shd w:val="clear" w:color="auto" w:fill="auto"/>
            <w:noWrap/>
            <w:vAlign w:val="center"/>
            <w:hideMark/>
          </w:tcPr>
          <w:p w14:paraId="1C08B838" w14:textId="77523D44"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B</w:t>
            </w:r>
            <w:r>
              <w:rPr>
                <w:rFonts w:ascii="Times New Roman" w:eastAsia="Times New Roman" w:hAnsi="Times New Roman" w:cs="Times New Roman"/>
                <w:color w:val="000000"/>
                <w:kern w:val="0"/>
                <w:sz w:val="20"/>
                <w:szCs w:val="20"/>
                <w:lang w:eastAsia="pt-BR"/>
                <w14:ligatures w14:val="none"/>
              </w:rPr>
              <w:t>ahia</w:t>
            </w:r>
            <w:r w:rsidR="00497652">
              <w:rPr>
                <w:rFonts w:ascii="Times New Roman" w:eastAsia="Times New Roman" w:hAnsi="Times New Roman" w:cs="Times New Roman"/>
                <w:color w:val="000000"/>
                <w:kern w:val="0"/>
                <w:sz w:val="20"/>
                <w:szCs w:val="20"/>
                <w:lang w:eastAsia="pt-BR"/>
                <w14:ligatures w14:val="none"/>
              </w:rPr>
              <w:t xml:space="preserve"> (BA)</w:t>
            </w:r>
          </w:p>
        </w:tc>
        <w:tc>
          <w:tcPr>
            <w:tcW w:w="2126" w:type="dxa"/>
            <w:tcBorders>
              <w:top w:val="nil"/>
              <w:left w:val="nil"/>
              <w:bottom w:val="nil"/>
              <w:right w:val="nil"/>
            </w:tcBorders>
            <w:shd w:val="clear" w:color="auto" w:fill="auto"/>
            <w:noWrap/>
            <w:vAlign w:val="center"/>
            <w:hideMark/>
          </w:tcPr>
          <w:p w14:paraId="15900926" w14:textId="299833A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R$ 58.470.617.946,40</w:t>
            </w:r>
          </w:p>
        </w:tc>
        <w:tc>
          <w:tcPr>
            <w:tcW w:w="654" w:type="dxa"/>
            <w:tcBorders>
              <w:top w:val="nil"/>
              <w:left w:val="nil"/>
              <w:bottom w:val="nil"/>
              <w:right w:val="nil"/>
            </w:tcBorders>
            <w:shd w:val="clear" w:color="auto" w:fill="auto"/>
            <w:noWrap/>
            <w:vAlign w:val="center"/>
            <w:hideMark/>
          </w:tcPr>
          <w:p w14:paraId="51BBB13F" w14:textId="5713BA7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13905681</w:t>
            </w:r>
          </w:p>
        </w:tc>
        <w:tc>
          <w:tcPr>
            <w:tcW w:w="1680" w:type="dxa"/>
            <w:tcBorders>
              <w:top w:val="nil"/>
              <w:left w:val="nil"/>
              <w:bottom w:val="nil"/>
              <w:right w:val="nil"/>
            </w:tcBorders>
            <w:vAlign w:val="center"/>
          </w:tcPr>
          <w:p w14:paraId="3CCD6B64" w14:textId="4234646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R$ 4.724,59</w:t>
            </w:r>
          </w:p>
        </w:tc>
        <w:tc>
          <w:tcPr>
            <w:tcW w:w="1245" w:type="dxa"/>
            <w:tcBorders>
              <w:top w:val="nil"/>
              <w:left w:val="nil"/>
              <w:bottom w:val="nil"/>
              <w:right w:val="nil"/>
            </w:tcBorders>
            <w:vAlign w:val="center"/>
          </w:tcPr>
          <w:p w14:paraId="5E045406" w14:textId="2E5ACB0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406</w:t>
            </w:r>
          </w:p>
        </w:tc>
        <w:tc>
          <w:tcPr>
            <w:tcW w:w="1241" w:type="dxa"/>
            <w:tcBorders>
              <w:top w:val="nil"/>
              <w:left w:val="nil"/>
              <w:bottom w:val="nil"/>
              <w:right w:val="nil"/>
            </w:tcBorders>
            <w:vAlign w:val="center"/>
          </w:tcPr>
          <w:p w14:paraId="1157C061" w14:textId="067C87C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97,4%</w:t>
            </w:r>
          </w:p>
        </w:tc>
      </w:tr>
      <w:tr w:rsidR="00497652" w:rsidRPr="00DE28A4" w14:paraId="2B3BC7F6" w14:textId="6E7C00E8" w:rsidTr="00497652">
        <w:trPr>
          <w:trHeight w:val="300"/>
          <w:jc w:val="center"/>
        </w:trPr>
        <w:tc>
          <w:tcPr>
            <w:tcW w:w="2552" w:type="dxa"/>
            <w:tcBorders>
              <w:top w:val="nil"/>
              <w:left w:val="nil"/>
              <w:bottom w:val="nil"/>
              <w:right w:val="nil"/>
            </w:tcBorders>
            <w:shd w:val="clear" w:color="auto" w:fill="auto"/>
            <w:noWrap/>
            <w:vAlign w:val="center"/>
            <w:hideMark/>
          </w:tcPr>
          <w:p w14:paraId="1230DF3D" w14:textId="22B1F1D2"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C</w:t>
            </w:r>
            <w:r>
              <w:rPr>
                <w:rFonts w:ascii="Times New Roman" w:eastAsia="Times New Roman" w:hAnsi="Times New Roman" w:cs="Times New Roman"/>
                <w:color w:val="000000"/>
                <w:kern w:val="0"/>
                <w:sz w:val="20"/>
                <w:szCs w:val="20"/>
                <w:lang w:eastAsia="pt-BR"/>
                <w14:ligatures w14:val="none"/>
              </w:rPr>
              <w:t>eará</w:t>
            </w:r>
            <w:r w:rsidR="00497652">
              <w:rPr>
                <w:rFonts w:ascii="Times New Roman" w:eastAsia="Times New Roman" w:hAnsi="Times New Roman" w:cs="Times New Roman"/>
                <w:color w:val="000000"/>
                <w:kern w:val="0"/>
                <w:sz w:val="20"/>
                <w:szCs w:val="20"/>
                <w:lang w:eastAsia="pt-BR"/>
                <w14:ligatures w14:val="none"/>
              </w:rPr>
              <w:t xml:space="preserve"> (CE)</w:t>
            </w:r>
          </w:p>
        </w:tc>
        <w:tc>
          <w:tcPr>
            <w:tcW w:w="2126" w:type="dxa"/>
            <w:tcBorders>
              <w:top w:val="nil"/>
              <w:left w:val="nil"/>
              <w:bottom w:val="nil"/>
              <w:right w:val="nil"/>
            </w:tcBorders>
            <w:shd w:val="clear" w:color="auto" w:fill="auto"/>
            <w:noWrap/>
            <w:vAlign w:val="center"/>
            <w:hideMark/>
          </w:tcPr>
          <w:p w14:paraId="77F0F1DC" w14:textId="1B30210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R$ 36.515.167.570,10</w:t>
            </w:r>
          </w:p>
        </w:tc>
        <w:tc>
          <w:tcPr>
            <w:tcW w:w="654" w:type="dxa"/>
            <w:tcBorders>
              <w:top w:val="nil"/>
              <w:left w:val="nil"/>
              <w:bottom w:val="nil"/>
              <w:right w:val="nil"/>
            </w:tcBorders>
            <w:shd w:val="clear" w:color="auto" w:fill="auto"/>
            <w:noWrap/>
            <w:vAlign w:val="center"/>
            <w:hideMark/>
          </w:tcPr>
          <w:p w14:paraId="717B88CB" w14:textId="28AD519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8794957</w:t>
            </w:r>
          </w:p>
        </w:tc>
        <w:tc>
          <w:tcPr>
            <w:tcW w:w="1680" w:type="dxa"/>
            <w:tcBorders>
              <w:top w:val="nil"/>
              <w:left w:val="nil"/>
              <w:bottom w:val="nil"/>
              <w:right w:val="nil"/>
            </w:tcBorders>
            <w:vAlign w:val="center"/>
          </w:tcPr>
          <w:p w14:paraId="4FE5C82C" w14:textId="05D3AED2"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w:t>
            </w:r>
            <w:proofErr w:type="gramStart"/>
            <w:r w:rsidRPr="00497652">
              <w:rPr>
                <w:rFonts w:ascii="Times New Roman" w:hAnsi="Times New Roman" w:cs="Times New Roman"/>
                <w:color w:val="000000"/>
                <w:sz w:val="20"/>
                <w:szCs w:val="20"/>
              </w:rPr>
              <w:t>$  4.569</w:t>
            </w:r>
            <w:proofErr w:type="gramEnd"/>
            <w:r w:rsidRPr="00497652">
              <w:rPr>
                <w:rFonts w:ascii="Times New Roman" w:hAnsi="Times New Roman" w:cs="Times New Roman"/>
                <w:color w:val="000000"/>
                <w:sz w:val="20"/>
                <w:szCs w:val="20"/>
              </w:rPr>
              <w:t>,48</w:t>
            </w:r>
          </w:p>
        </w:tc>
        <w:tc>
          <w:tcPr>
            <w:tcW w:w="1245" w:type="dxa"/>
            <w:tcBorders>
              <w:top w:val="nil"/>
              <w:left w:val="nil"/>
              <w:bottom w:val="nil"/>
              <w:right w:val="nil"/>
            </w:tcBorders>
            <w:vAlign w:val="center"/>
          </w:tcPr>
          <w:p w14:paraId="28C8478F" w14:textId="7123433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184</w:t>
            </w:r>
          </w:p>
        </w:tc>
        <w:tc>
          <w:tcPr>
            <w:tcW w:w="1241" w:type="dxa"/>
            <w:tcBorders>
              <w:top w:val="nil"/>
              <w:left w:val="nil"/>
              <w:bottom w:val="nil"/>
              <w:right w:val="nil"/>
            </w:tcBorders>
            <w:vAlign w:val="center"/>
          </w:tcPr>
          <w:p w14:paraId="263BC2E9" w14:textId="0F43B9F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100,0%</w:t>
            </w:r>
          </w:p>
        </w:tc>
      </w:tr>
      <w:tr w:rsidR="00497652" w:rsidRPr="00DE28A4" w14:paraId="1D18D240" w14:textId="5DB13D95" w:rsidTr="00497652">
        <w:trPr>
          <w:trHeight w:val="300"/>
          <w:jc w:val="center"/>
        </w:trPr>
        <w:tc>
          <w:tcPr>
            <w:tcW w:w="2552" w:type="dxa"/>
            <w:tcBorders>
              <w:top w:val="nil"/>
              <w:left w:val="nil"/>
              <w:bottom w:val="nil"/>
              <w:right w:val="nil"/>
            </w:tcBorders>
            <w:shd w:val="clear" w:color="auto" w:fill="auto"/>
            <w:noWrap/>
            <w:vAlign w:val="center"/>
            <w:hideMark/>
          </w:tcPr>
          <w:p w14:paraId="2F72F7B8" w14:textId="6EAD4CC4"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M</w:t>
            </w:r>
            <w:r>
              <w:rPr>
                <w:rFonts w:ascii="Times New Roman" w:eastAsia="Times New Roman" w:hAnsi="Times New Roman" w:cs="Times New Roman"/>
                <w:color w:val="000000"/>
                <w:kern w:val="0"/>
                <w:sz w:val="20"/>
                <w:szCs w:val="20"/>
                <w:lang w:eastAsia="pt-BR"/>
                <w14:ligatures w14:val="none"/>
              </w:rPr>
              <w:t>aranhão</w:t>
            </w:r>
            <w:r w:rsidR="00497652">
              <w:rPr>
                <w:rFonts w:ascii="Times New Roman" w:eastAsia="Times New Roman" w:hAnsi="Times New Roman" w:cs="Times New Roman"/>
                <w:color w:val="000000"/>
                <w:kern w:val="0"/>
                <w:sz w:val="20"/>
                <w:szCs w:val="20"/>
                <w:lang w:eastAsia="pt-BR"/>
                <w14:ligatures w14:val="none"/>
              </w:rPr>
              <w:t xml:space="preserve"> (MA)</w:t>
            </w:r>
          </w:p>
        </w:tc>
        <w:tc>
          <w:tcPr>
            <w:tcW w:w="2126" w:type="dxa"/>
            <w:tcBorders>
              <w:top w:val="nil"/>
              <w:left w:val="nil"/>
              <w:bottom w:val="nil"/>
              <w:right w:val="nil"/>
            </w:tcBorders>
            <w:shd w:val="clear" w:color="auto" w:fill="auto"/>
            <w:noWrap/>
            <w:vAlign w:val="center"/>
            <w:hideMark/>
          </w:tcPr>
          <w:p w14:paraId="68960F07" w14:textId="35192FB0"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R$ 27.690.148.626,15</w:t>
            </w:r>
          </w:p>
        </w:tc>
        <w:tc>
          <w:tcPr>
            <w:tcW w:w="654" w:type="dxa"/>
            <w:tcBorders>
              <w:top w:val="nil"/>
              <w:left w:val="nil"/>
              <w:bottom w:val="nil"/>
              <w:right w:val="nil"/>
            </w:tcBorders>
            <w:shd w:val="clear" w:color="auto" w:fill="auto"/>
            <w:noWrap/>
            <w:vAlign w:val="center"/>
            <w:hideMark/>
          </w:tcPr>
          <w:p w14:paraId="5FCB80CB" w14:textId="2EB83C61"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6721258</w:t>
            </w:r>
          </w:p>
        </w:tc>
        <w:tc>
          <w:tcPr>
            <w:tcW w:w="1680" w:type="dxa"/>
            <w:tcBorders>
              <w:top w:val="nil"/>
              <w:left w:val="nil"/>
              <w:bottom w:val="nil"/>
              <w:right w:val="nil"/>
            </w:tcBorders>
            <w:vAlign w:val="center"/>
          </w:tcPr>
          <w:p w14:paraId="6D4AF75B" w14:textId="216DE19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R$ 4.803,10</w:t>
            </w:r>
          </w:p>
        </w:tc>
        <w:tc>
          <w:tcPr>
            <w:tcW w:w="1245" w:type="dxa"/>
            <w:tcBorders>
              <w:top w:val="nil"/>
              <w:left w:val="nil"/>
              <w:bottom w:val="nil"/>
              <w:right w:val="nil"/>
            </w:tcBorders>
            <w:vAlign w:val="center"/>
          </w:tcPr>
          <w:p w14:paraId="66247474" w14:textId="0961A30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214</w:t>
            </w:r>
          </w:p>
        </w:tc>
        <w:tc>
          <w:tcPr>
            <w:tcW w:w="1241" w:type="dxa"/>
            <w:tcBorders>
              <w:top w:val="nil"/>
              <w:left w:val="nil"/>
              <w:bottom w:val="nil"/>
              <w:right w:val="nil"/>
            </w:tcBorders>
            <w:vAlign w:val="center"/>
          </w:tcPr>
          <w:p w14:paraId="73946E45" w14:textId="70B02AD0"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98,6%</w:t>
            </w:r>
          </w:p>
        </w:tc>
      </w:tr>
      <w:tr w:rsidR="00497652" w:rsidRPr="00DE28A4" w14:paraId="46FB2585" w14:textId="2057318C" w:rsidTr="00497652">
        <w:trPr>
          <w:trHeight w:val="300"/>
          <w:jc w:val="center"/>
        </w:trPr>
        <w:tc>
          <w:tcPr>
            <w:tcW w:w="2552" w:type="dxa"/>
            <w:tcBorders>
              <w:top w:val="nil"/>
              <w:left w:val="nil"/>
              <w:bottom w:val="nil"/>
              <w:right w:val="nil"/>
            </w:tcBorders>
            <w:shd w:val="clear" w:color="auto" w:fill="auto"/>
            <w:noWrap/>
            <w:vAlign w:val="center"/>
            <w:hideMark/>
          </w:tcPr>
          <w:p w14:paraId="5C46A74E" w14:textId="4AFC9D64"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P</w:t>
            </w:r>
            <w:r>
              <w:rPr>
                <w:rFonts w:ascii="Times New Roman" w:eastAsia="Times New Roman" w:hAnsi="Times New Roman" w:cs="Times New Roman"/>
                <w:color w:val="000000"/>
                <w:kern w:val="0"/>
                <w:sz w:val="20"/>
                <w:szCs w:val="20"/>
                <w:lang w:eastAsia="pt-BR"/>
                <w14:ligatures w14:val="none"/>
              </w:rPr>
              <w:t>araíba</w:t>
            </w:r>
            <w:r w:rsidR="00497652">
              <w:rPr>
                <w:rFonts w:ascii="Times New Roman" w:eastAsia="Times New Roman" w:hAnsi="Times New Roman" w:cs="Times New Roman"/>
                <w:color w:val="000000"/>
                <w:kern w:val="0"/>
                <w:sz w:val="20"/>
                <w:szCs w:val="20"/>
                <w:lang w:eastAsia="pt-BR"/>
                <w14:ligatures w14:val="none"/>
              </w:rPr>
              <w:t xml:space="preserve"> (PB)</w:t>
            </w:r>
          </w:p>
        </w:tc>
        <w:tc>
          <w:tcPr>
            <w:tcW w:w="2126" w:type="dxa"/>
            <w:tcBorders>
              <w:top w:val="nil"/>
              <w:left w:val="nil"/>
              <w:bottom w:val="nil"/>
              <w:right w:val="nil"/>
            </w:tcBorders>
            <w:shd w:val="clear" w:color="auto" w:fill="auto"/>
            <w:noWrap/>
            <w:vAlign w:val="center"/>
            <w:hideMark/>
          </w:tcPr>
          <w:p w14:paraId="1D8D552C" w14:textId="7810BEC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R$ 16.070.996.606,91</w:t>
            </w:r>
          </w:p>
        </w:tc>
        <w:tc>
          <w:tcPr>
            <w:tcW w:w="654" w:type="dxa"/>
            <w:tcBorders>
              <w:top w:val="nil"/>
              <w:left w:val="nil"/>
              <w:bottom w:val="nil"/>
              <w:right w:val="nil"/>
            </w:tcBorders>
            <w:shd w:val="clear" w:color="auto" w:fill="auto"/>
            <w:noWrap/>
            <w:vAlign w:val="center"/>
            <w:hideMark/>
          </w:tcPr>
          <w:p w14:paraId="520939CC" w14:textId="7AC1EE4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3901662</w:t>
            </w:r>
          </w:p>
        </w:tc>
        <w:tc>
          <w:tcPr>
            <w:tcW w:w="1680" w:type="dxa"/>
            <w:tcBorders>
              <w:top w:val="nil"/>
              <w:left w:val="nil"/>
              <w:bottom w:val="nil"/>
              <w:right w:val="nil"/>
            </w:tcBorders>
            <w:vAlign w:val="center"/>
          </w:tcPr>
          <w:p w14:paraId="55A66AB2" w14:textId="242639A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R$ 5.570,68</w:t>
            </w:r>
          </w:p>
        </w:tc>
        <w:tc>
          <w:tcPr>
            <w:tcW w:w="1245" w:type="dxa"/>
            <w:tcBorders>
              <w:top w:val="nil"/>
              <w:left w:val="nil"/>
              <w:bottom w:val="nil"/>
              <w:right w:val="nil"/>
            </w:tcBorders>
            <w:vAlign w:val="center"/>
          </w:tcPr>
          <w:p w14:paraId="1AC86B22" w14:textId="66E26CC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215</w:t>
            </w:r>
          </w:p>
        </w:tc>
        <w:tc>
          <w:tcPr>
            <w:tcW w:w="1241" w:type="dxa"/>
            <w:tcBorders>
              <w:top w:val="nil"/>
              <w:left w:val="nil"/>
              <w:bottom w:val="nil"/>
              <w:right w:val="nil"/>
            </w:tcBorders>
            <w:vAlign w:val="center"/>
          </w:tcPr>
          <w:p w14:paraId="4C1491AA" w14:textId="5283AA35"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96,4%</w:t>
            </w:r>
          </w:p>
        </w:tc>
      </w:tr>
      <w:tr w:rsidR="00497652" w:rsidRPr="00DE28A4" w14:paraId="11CF4B99" w14:textId="4C24FD60" w:rsidTr="00497652">
        <w:trPr>
          <w:trHeight w:val="300"/>
          <w:jc w:val="center"/>
        </w:trPr>
        <w:tc>
          <w:tcPr>
            <w:tcW w:w="2552" w:type="dxa"/>
            <w:tcBorders>
              <w:top w:val="nil"/>
              <w:left w:val="nil"/>
              <w:bottom w:val="nil"/>
              <w:right w:val="nil"/>
            </w:tcBorders>
            <w:shd w:val="clear" w:color="auto" w:fill="auto"/>
            <w:noWrap/>
            <w:vAlign w:val="center"/>
            <w:hideMark/>
          </w:tcPr>
          <w:p w14:paraId="2BDB3410" w14:textId="0BD6DEC0"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P</w:t>
            </w:r>
            <w:r>
              <w:rPr>
                <w:rFonts w:ascii="Times New Roman" w:eastAsia="Times New Roman" w:hAnsi="Times New Roman" w:cs="Times New Roman"/>
                <w:color w:val="000000"/>
                <w:kern w:val="0"/>
                <w:sz w:val="20"/>
                <w:szCs w:val="20"/>
                <w:lang w:eastAsia="pt-BR"/>
                <w14:ligatures w14:val="none"/>
              </w:rPr>
              <w:t>ernambuco</w:t>
            </w:r>
            <w:r w:rsidR="00497652">
              <w:rPr>
                <w:rFonts w:ascii="Times New Roman" w:eastAsia="Times New Roman" w:hAnsi="Times New Roman" w:cs="Times New Roman"/>
                <w:color w:val="000000"/>
                <w:kern w:val="0"/>
                <w:sz w:val="20"/>
                <w:szCs w:val="20"/>
                <w:lang w:eastAsia="pt-BR"/>
                <w14:ligatures w14:val="none"/>
              </w:rPr>
              <w:t xml:space="preserve"> (PE)</w:t>
            </w:r>
          </w:p>
        </w:tc>
        <w:tc>
          <w:tcPr>
            <w:tcW w:w="2126" w:type="dxa"/>
            <w:tcBorders>
              <w:top w:val="nil"/>
              <w:left w:val="nil"/>
              <w:bottom w:val="nil"/>
              <w:right w:val="nil"/>
            </w:tcBorders>
            <w:shd w:val="clear" w:color="auto" w:fill="auto"/>
            <w:noWrap/>
            <w:vAlign w:val="center"/>
            <w:hideMark/>
          </w:tcPr>
          <w:p w14:paraId="13690E00" w14:textId="1F55AC9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R$ 33.086.679.618,43</w:t>
            </w:r>
          </w:p>
        </w:tc>
        <w:tc>
          <w:tcPr>
            <w:tcW w:w="654" w:type="dxa"/>
            <w:tcBorders>
              <w:top w:val="nil"/>
              <w:left w:val="nil"/>
              <w:bottom w:val="nil"/>
              <w:right w:val="nil"/>
            </w:tcBorders>
            <w:shd w:val="clear" w:color="auto" w:fill="auto"/>
            <w:noWrap/>
            <w:vAlign w:val="center"/>
            <w:hideMark/>
          </w:tcPr>
          <w:p w14:paraId="404AD4B7" w14:textId="1953769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9037838</w:t>
            </w:r>
          </w:p>
        </w:tc>
        <w:tc>
          <w:tcPr>
            <w:tcW w:w="1680" w:type="dxa"/>
            <w:tcBorders>
              <w:top w:val="nil"/>
              <w:left w:val="nil"/>
              <w:bottom w:val="nil"/>
              <w:right w:val="nil"/>
            </w:tcBorders>
            <w:vAlign w:val="center"/>
          </w:tcPr>
          <w:p w14:paraId="07BB5501" w14:textId="0CB7259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R$ 4.161,29</w:t>
            </w:r>
          </w:p>
        </w:tc>
        <w:tc>
          <w:tcPr>
            <w:tcW w:w="1245" w:type="dxa"/>
            <w:tcBorders>
              <w:top w:val="nil"/>
              <w:left w:val="nil"/>
              <w:bottom w:val="nil"/>
              <w:right w:val="nil"/>
            </w:tcBorders>
            <w:vAlign w:val="center"/>
          </w:tcPr>
          <w:p w14:paraId="6A707E0B" w14:textId="5C12BE5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182</w:t>
            </w:r>
          </w:p>
        </w:tc>
        <w:tc>
          <w:tcPr>
            <w:tcW w:w="1241" w:type="dxa"/>
            <w:tcBorders>
              <w:top w:val="nil"/>
              <w:left w:val="nil"/>
              <w:bottom w:val="nil"/>
              <w:right w:val="nil"/>
            </w:tcBorders>
            <w:vAlign w:val="center"/>
          </w:tcPr>
          <w:p w14:paraId="421924D1" w14:textId="388BF4F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98,4%</w:t>
            </w:r>
          </w:p>
        </w:tc>
      </w:tr>
      <w:tr w:rsidR="00497652" w:rsidRPr="00DE28A4" w14:paraId="256546EB" w14:textId="59A630B4" w:rsidTr="00497652">
        <w:trPr>
          <w:trHeight w:val="300"/>
          <w:jc w:val="center"/>
        </w:trPr>
        <w:tc>
          <w:tcPr>
            <w:tcW w:w="2552" w:type="dxa"/>
            <w:tcBorders>
              <w:top w:val="nil"/>
              <w:left w:val="nil"/>
              <w:bottom w:val="nil"/>
              <w:right w:val="nil"/>
            </w:tcBorders>
            <w:shd w:val="clear" w:color="auto" w:fill="auto"/>
            <w:noWrap/>
            <w:vAlign w:val="center"/>
            <w:hideMark/>
          </w:tcPr>
          <w:p w14:paraId="5893DB43" w14:textId="42B86858"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P</w:t>
            </w:r>
            <w:r>
              <w:rPr>
                <w:rFonts w:ascii="Times New Roman" w:eastAsia="Times New Roman" w:hAnsi="Times New Roman" w:cs="Times New Roman"/>
                <w:color w:val="000000"/>
                <w:kern w:val="0"/>
                <w:sz w:val="20"/>
                <w:szCs w:val="20"/>
                <w:lang w:eastAsia="pt-BR"/>
                <w14:ligatures w14:val="none"/>
              </w:rPr>
              <w:t>iauí</w:t>
            </w:r>
            <w:r w:rsidR="00497652">
              <w:rPr>
                <w:rFonts w:ascii="Times New Roman" w:eastAsia="Times New Roman" w:hAnsi="Times New Roman" w:cs="Times New Roman"/>
                <w:color w:val="000000"/>
                <w:kern w:val="0"/>
                <w:sz w:val="20"/>
                <w:szCs w:val="20"/>
                <w:lang w:eastAsia="pt-BR"/>
                <w14:ligatures w14:val="none"/>
              </w:rPr>
              <w:t xml:space="preserve"> (PI)</w:t>
            </w:r>
          </w:p>
        </w:tc>
        <w:tc>
          <w:tcPr>
            <w:tcW w:w="2126" w:type="dxa"/>
            <w:tcBorders>
              <w:top w:val="nil"/>
              <w:left w:val="nil"/>
              <w:bottom w:val="nil"/>
              <w:right w:val="nil"/>
            </w:tcBorders>
            <w:shd w:val="clear" w:color="auto" w:fill="auto"/>
            <w:noWrap/>
            <w:vAlign w:val="center"/>
            <w:hideMark/>
          </w:tcPr>
          <w:p w14:paraId="3B4F7966" w14:textId="201A6AC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R$ 14.336.886.438,09</w:t>
            </w:r>
          </w:p>
        </w:tc>
        <w:tc>
          <w:tcPr>
            <w:tcW w:w="654" w:type="dxa"/>
            <w:tcBorders>
              <w:top w:val="nil"/>
              <w:left w:val="nil"/>
              <w:bottom w:val="nil"/>
              <w:right w:val="nil"/>
            </w:tcBorders>
            <w:shd w:val="clear" w:color="auto" w:fill="auto"/>
            <w:noWrap/>
            <w:vAlign w:val="center"/>
            <w:hideMark/>
          </w:tcPr>
          <w:p w14:paraId="72F112A5" w14:textId="3FBC3C2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3263795</w:t>
            </w:r>
          </w:p>
        </w:tc>
        <w:tc>
          <w:tcPr>
            <w:tcW w:w="1680" w:type="dxa"/>
            <w:tcBorders>
              <w:top w:val="nil"/>
              <w:left w:val="nil"/>
              <w:bottom w:val="nil"/>
              <w:right w:val="nil"/>
            </w:tcBorders>
            <w:vAlign w:val="center"/>
          </w:tcPr>
          <w:p w14:paraId="23F583FC" w14:textId="19B5048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R$ 5.280,36</w:t>
            </w:r>
          </w:p>
        </w:tc>
        <w:tc>
          <w:tcPr>
            <w:tcW w:w="1245" w:type="dxa"/>
            <w:tcBorders>
              <w:top w:val="nil"/>
              <w:left w:val="nil"/>
              <w:bottom w:val="nil"/>
              <w:right w:val="nil"/>
            </w:tcBorders>
            <w:vAlign w:val="center"/>
          </w:tcPr>
          <w:p w14:paraId="3C94BB83" w14:textId="39A1659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221</w:t>
            </w:r>
          </w:p>
        </w:tc>
        <w:tc>
          <w:tcPr>
            <w:tcW w:w="1241" w:type="dxa"/>
            <w:tcBorders>
              <w:top w:val="nil"/>
              <w:left w:val="nil"/>
              <w:bottom w:val="nil"/>
              <w:right w:val="nil"/>
            </w:tcBorders>
            <w:vAlign w:val="center"/>
          </w:tcPr>
          <w:p w14:paraId="57A74DDE" w14:textId="66F5603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98,7%</w:t>
            </w:r>
          </w:p>
        </w:tc>
      </w:tr>
      <w:tr w:rsidR="00497652" w:rsidRPr="00DE28A4" w14:paraId="6ACAF4A1" w14:textId="48632DBE" w:rsidTr="00497652">
        <w:trPr>
          <w:trHeight w:val="300"/>
          <w:jc w:val="center"/>
        </w:trPr>
        <w:tc>
          <w:tcPr>
            <w:tcW w:w="2552" w:type="dxa"/>
            <w:tcBorders>
              <w:top w:val="nil"/>
              <w:left w:val="nil"/>
              <w:bottom w:val="nil"/>
              <w:right w:val="nil"/>
            </w:tcBorders>
            <w:shd w:val="clear" w:color="auto" w:fill="auto"/>
            <w:noWrap/>
            <w:vAlign w:val="center"/>
            <w:hideMark/>
          </w:tcPr>
          <w:p w14:paraId="395E6C54" w14:textId="7DAF80C0"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R</w:t>
            </w:r>
            <w:r>
              <w:rPr>
                <w:rFonts w:ascii="Times New Roman" w:eastAsia="Times New Roman" w:hAnsi="Times New Roman" w:cs="Times New Roman"/>
                <w:color w:val="000000"/>
                <w:kern w:val="0"/>
                <w:sz w:val="20"/>
                <w:szCs w:val="20"/>
                <w:lang w:eastAsia="pt-BR"/>
                <w14:ligatures w14:val="none"/>
              </w:rPr>
              <w:t>io Grande do Norte</w:t>
            </w:r>
            <w:r w:rsidR="00497652">
              <w:rPr>
                <w:rFonts w:ascii="Times New Roman" w:eastAsia="Times New Roman" w:hAnsi="Times New Roman" w:cs="Times New Roman"/>
                <w:color w:val="000000"/>
                <w:kern w:val="0"/>
                <w:sz w:val="20"/>
                <w:szCs w:val="20"/>
                <w:lang w:eastAsia="pt-BR"/>
                <w14:ligatures w14:val="none"/>
              </w:rPr>
              <w:t xml:space="preserve"> (RN)</w:t>
            </w:r>
          </w:p>
        </w:tc>
        <w:tc>
          <w:tcPr>
            <w:tcW w:w="2126" w:type="dxa"/>
            <w:tcBorders>
              <w:top w:val="nil"/>
              <w:left w:val="nil"/>
              <w:bottom w:val="nil"/>
              <w:right w:val="nil"/>
            </w:tcBorders>
            <w:shd w:val="clear" w:color="auto" w:fill="auto"/>
            <w:noWrap/>
            <w:vAlign w:val="center"/>
            <w:hideMark/>
          </w:tcPr>
          <w:p w14:paraId="766EACE0" w14:textId="4F4ABB2B"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R$ 13.282.899.428,55</w:t>
            </w:r>
          </w:p>
        </w:tc>
        <w:tc>
          <w:tcPr>
            <w:tcW w:w="654" w:type="dxa"/>
            <w:tcBorders>
              <w:top w:val="nil"/>
              <w:left w:val="nil"/>
              <w:bottom w:val="nil"/>
              <w:right w:val="nil"/>
            </w:tcBorders>
            <w:shd w:val="clear" w:color="auto" w:fill="auto"/>
            <w:noWrap/>
            <w:vAlign w:val="center"/>
            <w:hideMark/>
          </w:tcPr>
          <w:p w14:paraId="0EEB0FD4" w14:textId="1B13D99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2986727</w:t>
            </w:r>
          </w:p>
        </w:tc>
        <w:tc>
          <w:tcPr>
            <w:tcW w:w="1680" w:type="dxa"/>
            <w:tcBorders>
              <w:top w:val="nil"/>
              <w:left w:val="nil"/>
              <w:bottom w:val="nil"/>
              <w:right w:val="nil"/>
            </w:tcBorders>
            <w:vAlign w:val="center"/>
          </w:tcPr>
          <w:p w14:paraId="35CF7F1C" w14:textId="401B7CC2"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R$ 5.736,74</w:t>
            </w:r>
          </w:p>
        </w:tc>
        <w:tc>
          <w:tcPr>
            <w:tcW w:w="1245" w:type="dxa"/>
            <w:tcBorders>
              <w:top w:val="nil"/>
              <w:left w:val="nil"/>
              <w:bottom w:val="nil"/>
              <w:right w:val="nil"/>
            </w:tcBorders>
            <w:vAlign w:val="center"/>
          </w:tcPr>
          <w:p w14:paraId="2A6F61BD" w14:textId="600AF02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160</w:t>
            </w:r>
          </w:p>
        </w:tc>
        <w:tc>
          <w:tcPr>
            <w:tcW w:w="1241" w:type="dxa"/>
            <w:tcBorders>
              <w:top w:val="nil"/>
              <w:left w:val="nil"/>
              <w:bottom w:val="nil"/>
              <w:right w:val="nil"/>
            </w:tcBorders>
            <w:vAlign w:val="center"/>
          </w:tcPr>
          <w:p w14:paraId="1FDEA1AD" w14:textId="2E6CA5D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95,8%</w:t>
            </w:r>
          </w:p>
        </w:tc>
      </w:tr>
      <w:tr w:rsidR="00497652" w:rsidRPr="00DE28A4" w14:paraId="1C24E596" w14:textId="3AED208C" w:rsidTr="00497652">
        <w:trPr>
          <w:trHeight w:val="300"/>
          <w:jc w:val="center"/>
        </w:trPr>
        <w:tc>
          <w:tcPr>
            <w:tcW w:w="2552" w:type="dxa"/>
            <w:tcBorders>
              <w:top w:val="nil"/>
              <w:left w:val="nil"/>
              <w:bottom w:val="nil"/>
              <w:right w:val="nil"/>
            </w:tcBorders>
            <w:shd w:val="clear" w:color="auto" w:fill="auto"/>
            <w:noWrap/>
            <w:vAlign w:val="center"/>
            <w:hideMark/>
          </w:tcPr>
          <w:p w14:paraId="0717C2AC" w14:textId="2D2E47D4"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S</w:t>
            </w:r>
            <w:r>
              <w:rPr>
                <w:rFonts w:ascii="Times New Roman" w:eastAsia="Times New Roman" w:hAnsi="Times New Roman" w:cs="Times New Roman"/>
                <w:color w:val="000000"/>
                <w:kern w:val="0"/>
                <w:sz w:val="20"/>
                <w:szCs w:val="20"/>
                <w:lang w:eastAsia="pt-BR"/>
                <w14:ligatures w14:val="none"/>
              </w:rPr>
              <w:t>ergipe</w:t>
            </w:r>
            <w:r w:rsidR="00497652">
              <w:rPr>
                <w:rFonts w:ascii="Times New Roman" w:eastAsia="Times New Roman" w:hAnsi="Times New Roman" w:cs="Times New Roman"/>
                <w:color w:val="000000"/>
                <w:kern w:val="0"/>
                <w:sz w:val="20"/>
                <w:szCs w:val="20"/>
                <w:lang w:eastAsia="pt-BR"/>
                <w14:ligatures w14:val="none"/>
              </w:rPr>
              <w:t xml:space="preserve"> (SE)</w:t>
            </w:r>
          </w:p>
        </w:tc>
        <w:tc>
          <w:tcPr>
            <w:tcW w:w="2126" w:type="dxa"/>
            <w:tcBorders>
              <w:top w:val="nil"/>
              <w:left w:val="nil"/>
              <w:bottom w:val="nil"/>
              <w:right w:val="nil"/>
            </w:tcBorders>
            <w:shd w:val="clear" w:color="auto" w:fill="auto"/>
            <w:noWrap/>
            <w:vAlign w:val="center"/>
            <w:hideMark/>
          </w:tcPr>
          <w:p w14:paraId="3593EF77" w14:textId="5376DB5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R$ 8.556.900.256,30</w:t>
            </w:r>
          </w:p>
        </w:tc>
        <w:tc>
          <w:tcPr>
            <w:tcW w:w="654" w:type="dxa"/>
            <w:tcBorders>
              <w:top w:val="nil"/>
              <w:left w:val="nil"/>
              <w:bottom w:val="nil"/>
              <w:right w:val="nil"/>
            </w:tcBorders>
            <w:shd w:val="clear" w:color="auto" w:fill="auto"/>
            <w:noWrap/>
            <w:vAlign w:val="center"/>
            <w:hideMark/>
          </w:tcPr>
          <w:p w14:paraId="07567DCD" w14:textId="019CA852"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2206067</w:t>
            </w:r>
          </w:p>
        </w:tc>
        <w:tc>
          <w:tcPr>
            <w:tcW w:w="1680" w:type="dxa"/>
            <w:tcBorders>
              <w:top w:val="nil"/>
              <w:left w:val="nil"/>
              <w:bottom w:val="nil"/>
              <w:right w:val="nil"/>
            </w:tcBorders>
            <w:vAlign w:val="center"/>
          </w:tcPr>
          <w:p w14:paraId="2838E8D6" w14:textId="07A01FA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R$ 5.049,85</w:t>
            </w:r>
          </w:p>
        </w:tc>
        <w:tc>
          <w:tcPr>
            <w:tcW w:w="1245" w:type="dxa"/>
            <w:tcBorders>
              <w:top w:val="nil"/>
              <w:left w:val="nil"/>
              <w:bottom w:val="nil"/>
              <w:right w:val="nil"/>
            </w:tcBorders>
            <w:vAlign w:val="center"/>
          </w:tcPr>
          <w:p w14:paraId="00D5635E" w14:textId="7071015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74</w:t>
            </w:r>
          </w:p>
        </w:tc>
        <w:tc>
          <w:tcPr>
            <w:tcW w:w="1241" w:type="dxa"/>
            <w:tcBorders>
              <w:top w:val="nil"/>
              <w:left w:val="nil"/>
              <w:bottom w:val="nil"/>
              <w:right w:val="nil"/>
            </w:tcBorders>
            <w:vAlign w:val="center"/>
          </w:tcPr>
          <w:p w14:paraId="36066544" w14:textId="5E69D0B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98,7%</w:t>
            </w:r>
          </w:p>
        </w:tc>
      </w:tr>
      <w:tr w:rsidR="00497652" w:rsidRPr="00DE28A4" w14:paraId="0B6EB201" w14:textId="2E67A357" w:rsidTr="00497652">
        <w:trPr>
          <w:trHeight w:val="300"/>
          <w:jc w:val="center"/>
        </w:trPr>
        <w:tc>
          <w:tcPr>
            <w:tcW w:w="2552" w:type="dxa"/>
            <w:tcBorders>
              <w:top w:val="nil"/>
              <w:left w:val="nil"/>
              <w:bottom w:val="single" w:sz="4" w:space="0" w:color="95B3D7"/>
              <w:right w:val="nil"/>
            </w:tcBorders>
            <w:shd w:val="clear" w:color="auto" w:fill="auto"/>
            <w:noWrap/>
            <w:vAlign w:val="center"/>
            <w:hideMark/>
          </w:tcPr>
          <w:p w14:paraId="4E88633D" w14:textId="6210BCF4" w:rsidR="00EC7090" w:rsidRPr="009F6D99" w:rsidRDefault="00EC7090" w:rsidP="00EC7090">
            <w:pPr>
              <w:spacing w:after="0" w:line="240" w:lineRule="auto"/>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NORTE</w:t>
            </w:r>
          </w:p>
        </w:tc>
        <w:tc>
          <w:tcPr>
            <w:tcW w:w="2126" w:type="dxa"/>
            <w:tcBorders>
              <w:top w:val="nil"/>
              <w:left w:val="nil"/>
              <w:bottom w:val="single" w:sz="4" w:space="0" w:color="95B3D7"/>
              <w:right w:val="nil"/>
            </w:tcBorders>
            <w:shd w:val="clear" w:color="auto" w:fill="auto"/>
            <w:noWrap/>
            <w:vAlign w:val="center"/>
            <w:hideMark/>
          </w:tcPr>
          <w:p w14:paraId="6153FA64" w14:textId="69795E05"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R$ 75.518.041.316,08</w:t>
            </w:r>
          </w:p>
        </w:tc>
        <w:tc>
          <w:tcPr>
            <w:tcW w:w="654" w:type="dxa"/>
            <w:tcBorders>
              <w:top w:val="nil"/>
              <w:left w:val="nil"/>
              <w:bottom w:val="single" w:sz="4" w:space="0" w:color="95B3D7"/>
              <w:right w:val="nil"/>
            </w:tcBorders>
            <w:shd w:val="clear" w:color="auto" w:fill="auto"/>
            <w:noWrap/>
            <w:vAlign w:val="center"/>
            <w:hideMark/>
          </w:tcPr>
          <w:p w14:paraId="6DB9C95C" w14:textId="6BB29F8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16935662</w:t>
            </w:r>
          </w:p>
        </w:tc>
        <w:tc>
          <w:tcPr>
            <w:tcW w:w="1680" w:type="dxa"/>
            <w:tcBorders>
              <w:top w:val="nil"/>
              <w:left w:val="nil"/>
              <w:bottom w:val="single" w:sz="4" w:space="0" w:color="95B3D7"/>
              <w:right w:val="nil"/>
            </w:tcBorders>
            <w:vAlign w:val="center"/>
          </w:tcPr>
          <w:p w14:paraId="5089E3A2" w14:textId="0471342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R$ 5.772,77</w:t>
            </w:r>
          </w:p>
        </w:tc>
        <w:tc>
          <w:tcPr>
            <w:tcW w:w="1245" w:type="dxa"/>
            <w:tcBorders>
              <w:top w:val="nil"/>
              <w:left w:val="nil"/>
              <w:bottom w:val="single" w:sz="4" w:space="0" w:color="95B3D7"/>
              <w:right w:val="nil"/>
            </w:tcBorders>
            <w:vAlign w:val="center"/>
          </w:tcPr>
          <w:p w14:paraId="7960ADF0" w14:textId="55A290A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427</w:t>
            </w:r>
          </w:p>
        </w:tc>
        <w:tc>
          <w:tcPr>
            <w:tcW w:w="1241" w:type="dxa"/>
            <w:tcBorders>
              <w:top w:val="nil"/>
              <w:left w:val="nil"/>
              <w:bottom w:val="single" w:sz="4" w:space="0" w:color="95B3D7"/>
              <w:right w:val="nil"/>
            </w:tcBorders>
            <w:vAlign w:val="center"/>
          </w:tcPr>
          <w:p w14:paraId="58F21EF0" w14:textId="3A153E2B"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94,9%</w:t>
            </w:r>
          </w:p>
        </w:tc>
      </w:tr>
      <w:tr w:rsidR="00497652" w:rsidRPr="00DE28A4" w14:paraId="4E385092" w14:textId="5B99D153" w:rsidTr="00497652">
        <w:trPr>
          <w:trHeight w:val="300"/>
          <w:jc w:val="center"/>
        </w:trPr>
        <w:tc>
          <w:tcPr>
            <w:tcW w:w="2552" w:type="dxa"/>
            <w:tcBorders>
              <w:top w:val="nil"/>
              <w:left w:val="nil"/>
              <w:bottom w:val="nil"/>
              <w:right w:val="nil"/>
            </w:tcBorders>
            <w:shd w:val="clear" w:color="auto" w:fill="auto"/>
            <w:noWrap/>
            <w:vAlign w:val="center"/>
            <w:hideMark/>
          </w:tcPr>
          <w:p w14:paraId="30AF9347" w14:textId="343A51A2"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A</w:t>
            </w:r>
            <w:r>
              <w:rPr>
                <w:rFonts w:ascii="Times New Roman" w:eastAsia="Times New Roman" w:hAnsi="Times New Roman" w:cs="Times New Roman"/>
                <w:color w:val="000000"/>
                <w:kern w:val="0"/>
                <w:sz w:val="20"/>
                <w:szCs w:val="20"/>
                <w:lang w:eastAsia="pt-BR"/>
                <w14:ligatures w14:val="none"/>
              </w:rPr>
              <w:t>cre</w:t>
            </w:r>
            <w:r w:rsidR="00497652">
              <w:rPr>
                <w:rFonts w:ascii="Times New Roman" w:eastAsia="Times New Roman" w:hAnsi="Times New Roman" w:cs="Times New Roman"/>
                <w:color w:val="000000"/>
                <w:kern w:val="0"/>
                <w:sz w:val="20"/>
                <w:szCs w:val="20"/>
                <w:lang w:eastAsia="pt-BR"/>
                <w14:ligatures w14:val="none"/>
              </w:rPr>
              <w:t xml:space="preserve"> (AC)</w:t>
            </w:r>
          </w:p>
        </w:tc>
        <w:tc>
          <w:tcPr>
            <w:tcW w:w="2126" w:type="dxa"/>
            <w:tcBorders>
              <w:top w:val="nil"/>
              <w:left w:val="nil"/>
              <w:bottom w:val="nil"/>
              <w:right w:val="nil"/>
            </w:tcBorders>
            <w:shd w:val="clear" w:color="auto" w:fill="auto"/>
            <w:noWrap/>
            <w:vAlign w:val="center"/>
            <w:hideMark/>
          </w:tcPr>
          <w:p w14:paraId="5AB1C623" w14:textId="3CD040F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R$ 2.893.623.492,64</w:t>
            </w:r>
          </w:p>
        </w:tc>
        <w:tc>
          <w:tcPr>
            <w:tcW w:w="654" w:type="dxa"/>
            <w:tcBorders>
              <w:top w:val="nil"/>
              <w:left w:val="nil"/>
              <w:bottom w:val="nil"/>
              <w:right w:val="nil"/>
            </w:tcBorders>
            <w:shd w:val="clear" w:color="auto" w:fill="auto"/>
            <w:noWrap/>
            <w:vAlign w:val="center"/>
            <w:hideMark/>
          </w:tcPr>
          <w:p w14:paraId="710B0128" w14:textId="76C5AF0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799986</w:t>
            </w:r>
          </w:p>
        </w:tc>
        <w:tc>
          <w:tcPr>
            <w:tcW w:w="1680" w:type="dxa"/>
            <w:tcBorders>
              <w:top w:val="nil"/>
              <w:left w:val="nil"/>
              <w:bottom w:val="nil"/>
              <w:right w:val="nil"/>
            </w:tcBorders>
            <w:vAlign w:val="center"/>
          </w:tcPr>
          <w:p w14:paraId="6351CF89" w14:textId="50696302"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R$ 4.076,68</w:t>
            </w:r>
          </w:p>
        </w:tc>
        <w:tc>
          <w:tcPr>
            <w:tcW w:w="1245" w:type="dxa"/>
            <w:tcBorders>
              <w:top w:val="nil"/>
              <w:left w:val="nil"/>
              <w:bottom w:val="nil"/>
              <w:right w:val="nil"/>
            </w:tcBorders>
            <w:vAlign w:val="center"/>
          </w:tcPr>
          <w:p w14:paraId="7E298574" w14:textId="5963114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19</w:t>
            </w:r>
          </w:p>
        </w:tc>
        <w:tc>
          <w:tcPr>
            <w:tcW w:w="1241" w:type="dxa"/>
            <w:tcBorders>
              <w:top w:val="nil"/>
              <w:left w:val="nil"/>
              <w:bottom w:val="nil"/>
              <w:right w:val="nil"/>
            </w:tcBorders>
            <w:vAlign w:val="center"/>
          </w:tcPr>
          <w:p w14:paraId="37004BD3" w14:textId="02686D0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86,4%</w:t>
            </w:r>
          </w:p>
        </w:tc>
      </w:tr>
      <w:tr w:rsidR="00497652" w:rsidRPr="00DE28A4" w14:paraId="49BB1D9B" w14:textId="21699BFF" w:rsidTr="00497652">
        <w:trPr>
          <w:trHeight w:val="300"/>
          <w:jc w:val="center"/>
        </w:trPr>
        <w:tc>
          <w:tcPr>
            <w:tcW w:w="2552" w:type="dxa"/>
            <w:tcBorders>
              <w:top w:val="nil"/>
              <w:left w:val="nil"/>
              <w:bottom w:val="nil"/>
              <w:right w:val="nil"/>
            </w:tcBorders>
            <w:shd w:val="clear" w:color="auto" w:fill="auto"/>
            <w:noWrap/>
            <w:vAlign w:val="center"/>
            <w:hideMark/>
          </w:tcPr>
          <w:p w14:paraId="6177C063" w14:textId="5C50732D"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A</w:t>
            </w:r>
            <w:r>
              <w:rPr>
                <w:rFonts w:ascii="Times New Roman" w:eastAsia="Times New Roman" w:hAnsi="Times New Roman" w:cs="Times New Roman"/>
                <w:color w:val="000000"/>
                <w:kern w:val="0"/>
                <w:sz w:val="20"/>
                <w:szCs w:val="20"/>
                <w:lang w:eastAsia="pt-BR"/>
                <w14:ligatures w14:val="none"/>
              </w:rPr>
              <w:t>mazona</w:t>
            </w:r>
            <w:r w:rsidR="00497652">
              <w:rPr>
                <w:rFonts w:ascii="Times New Roman" w:eastAsia="Times New Roman" w:hAnsi="Times New Roman" w:cs="Times New Roman"/>
                <w:color w:val="000000"/>
                <w:kern w:val="0"/>
                <w:sz w:val="20"/>
                <w:szCs w:val="20"/>
                <w:lang w:eastAsia="pt-BR"/>
                <w14:ligatures w14:val="none"/>
              </w:rPr>
              <w:t>s (AM)</w:t>
            </w:r>
          </w:p>
        </w:tc>
        <w:tc>
          <w:tcPr>
            <w:tcW w:w="2126" w:type="dxa"/>
            <w:tcBorders>
              <w:top w:val="nil"/>
              <w:left w:val="nil"/>
              <w:bottom w:val="nil"/>
              <w:right w:val="nil"/>
            </w:tcBorders>
            <w:shd w:val="clear" w:color="auto" w:fill="auto"/>
            <w:noWrap/>
            <w:vAlign w:val="center"/>
            <w:hideMark/>
          </w:tcPr>
          <w:p w14:paraId="4A1C7D84" w14:textId="317708E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R$ 16.613.377.607,14</w:t>
            </w:r>
          </w:p>
        </w:tc>
        <w:tc>
          <w:tcPr>
            <w:tcW w:w="654" w:type="dxa"/>
            <w:tcBorders>
              <w:top w:val="nil"/>
              <w:left w:val="nil"/>
              <w:bottom w:val="nil"/>
              <w:right w:val="nil"/>
            </w:tcBorders>
            <w:shd w:val="clear" w:color="auto" w:fill="auto"/>
            <w:noWrap/>
            <w:vAlign w:val="center"/>
            <w:hideMark/>
          </w:tcPr>
          <w:p w14:paraId="42080BD7" w14:textId="4322DCD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3930871</w:t>
            </w:r>
          </w:p>
        </w:tc>
        <w:tc>
          <w:tcPr>
            <w:tcW w:w="1680" w:type="dxa"/>
            <w:tcBorders>
              <w:top w:val="nil"/>
              <w:left w:val="nil"/>
              <w:bottom w:val="nil"/>
              <w:right w:val="nil"/>
            </w:tcBorders>
            <w:vAlign w:val="center"/>
          </w:tcPr>
          <w:p w14:paraId="3FE9519E" w14:textId="6295EAA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R$ 4.988,13</w:t>
            </w:r>
          </w:p>
        </w:tc>
        <w:tc>
          <w:tcPr>
            <w:tcW w:w="1245" w:type="dxa"/>
            <w:tcBorders>
              <w:top w:val="nil"/>
              <w:left w:val="nil"/>
              <w:bottom w:val="nil"/>
              <w:right w:val="nil"/>
            </w:tcBorders>
            <w:vAlign w:val="center"/>
          </w:tcPr>
          <w:p w14:paraId="66777FCA" w14:textId="4AB4F2F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61</w:t>
            </w:r>
          </w:p>
        </w:tc>
        <w:tc>
          <w:tcPr>
            <w:tcW w:w="1241" w:type="dxa"/>
            <w:tcBorders>
              <w:top w:val="nil"/>
              <w:left w:val="nil"/>
              <w:bottom w:val="nil"/>
              <w:right w:val="nil"/>
            </w:tcBorders>
            <w:vAlign w:val="center"/>
          </w:tcPr>
          <w:p w14:paraId="6B923DE8" w14:textId="2C26A79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98,4%</w:t>
            </w:r>
          </w:p>
        </w:tc>
      </w:tr>
      <w:tr w:rsidR="00497652" w:rsidRPr="00DE28A4" w14:paraId="3D4CAFA1" w14:textId="645DD6EE" w:rsidTr="00497652">
        <w:trPr>
          <w:trHeight w:val="300"/>
          <w:jc w:val="center"/>
        </w:trPr>
        <w:tc>
          <w:tcPr>
            <w:tcW w:w="2552" w:type="dxa"/>
            <w:tcBorders>
              <w:top w:val="nil"/>
              <w:left w:val="nil"/>
              <w:bottom w:val="nil"/>
              <w:right w:val="nil"/>
            </w:tcBorders>
            <w:shd w:val="clear" w:color="auto" w:fill="auto"/>
            <w:noWrap/>
            <w:vAlign w:val="center"/>
            <w:hideMark/>
          </w:tcPr>
          <w:p w14:paraId="2A6BAFBB" w14:textId="33CB4A66"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A</w:t>
            </w:r>
            <w:r>
              <w:rPr>
                <w:rFonts w:ascii="Times New Roman" w:eastAsia="Times New Roman" w:hAnsi="Times New Roman" w:cs="Times New Roman"/>
                <w:color w:val="000000"/>
                <w:kern w:val="0"/>
                <w:sz w:val="20"/>
                <w:szCs w:val="20"/>
                <w:lang w:eastAsia="pt-BR"/>
                <w14:ligatures w14:val="none"/>
              </w:rPr>
              <w:t>mapá</w:t>
            </w:r>
            <w:r w:rsidR="00497652">
              <w:rPr>
                <w:rFonts w:ascii="Times New Roman" w:eastAsia="Times New Roman" w:hAnsi="Times New Roman" w:cs="Times New Roman"/>
                <w:color w:val="000000"/>
                <w:kern w:val="0"/>
                <w:sz w:val="20"/>
                <w:szCs w:val="20"/>
                <w:lang w:eastAsia="pt-BR"/>
                <w14:ligatures w14:val="none"/>
              </w:rPr>
              <w:t xml:space="preserve"> (AP)</w:t>
            </w:r>
          </w:p>
        </w:tc>
        <w:tc>
          <w:tcPr>
            <w:tcW w:w="2126" w:type="dxa"/>
            <w:tcBorders>
              <w:top w:val="nil"/>
              <w:left w:val="nil"/>
              <w:bottom w:val="nil"/>
              <w:right w:val="nil"/>
            </w:tcBorders>
            <w:shd w:val="clear" w:color="auto" w:fill="auto"/>
            <w:noWrap/>
            <w:vAlign w:val="center"/>
            <w:hideMark/>
          </w:tcPr>
          <w:p w14:paraId="00416C68" w14:textId="2F1587AB"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R$ 2.828.897.632,94</w:t>
            </w:r>
          </w:p>
        </w:tc>
        <w:tc>
          <w:tcPr>
            <w:tcW w:w="654" w:type="dxa"/>
            <w:tcBorders>
              <w:top w:val="nil"/>
              <w:left w:val="nil"/>
              <w:bottom w:val="nil"/>
              <w:right w:val="nil"/>
            </w:tcBorders>
            <w:shd w:val="clear" w:color="auto" w:fill="auto"/>
            <w:noWrap/>
            <w:vAlign w:val="center"/>
            <w:hideMark/>
          </w:tcPr>
          <w:p w14:paraId="68E89298" w14:textId="6CCE302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659288</w:t>
            </w:r>
          </w:p>
        </w:tc>
        <w:tc>
          <w:tcPr>
            <w:tcW w:w="1680" w:type="dxa"/>
            <w:tcBorders>
              <w:top w:val="nil"/>
              <w:left w:val="nil"/>
              <w:bottom w:val="nil"/>
              <w:right w:val="nil"/>
            </w:tcBorders>
            <w:vAlign w:val="center"/>
          </w:tcPr>
          <w:p w14:paraId="3E65FC3C" w14:textId="41E7B7BB"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R$ 7.712,62</w:t>
            </w:r>
          </w:p>
        </w:tc>
        <w:tc>
          <w:tcPr>
            <w:tcW w:w="1245" w:type="dxa"/>
            <w:tcBorders>
              <w:top w:val="nil"/>
              <w:left w:val="nil"/>
              <w:bottom w:val="nil"/>
              <w:right w:val="nil"/>
            </w:tcBorders>
            <w:vAlign w:val="center"/>
          </w:tcPr>
          <w:p w14:paraId="4F2E6806" w14:textId="2918AFC2"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10</w:t>
            </w:r>
          </w:p>
        </w:tc>
        <w:tc>
          <w:tcPr>
            <w:tcW w:w="1241" w:type="dxa"/>
            <w:tcBorders>
              <w:top w:val="nil"/>
              <w:left w:val="nil"/>
              <w:bottom w:val="nil"/>
              <w:right w:val="nil"/>
            </w:tcBorders>
            <w:vAlign w:val="center"/>
          </w:tcPr>
          <w:p w14:paraId="7F0B46CB" w14:textId="3D58417B"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62,5%</w:t>
            </w:r>
          </w:p>
        </w:tc>
      </w:tr>
      <w:tr w:rsidR="00497652" w:rsidRPr="00DE28A4" w14:paraId="63AE7762" w14:textId="6EA7CDE2" w:rsidTr="00497652">
        <w:trPr>
          <w:trHeight w:val="300"/>
          <w:jc w:val="center"/>
        </w:trPr>
        <w:tc>
          <w:tcPr>
            <w:tcW w:w="2552" w:type="dxa"/>
            <w:tcBorders>
              <w:top w:val="nil"/>
              <w:left w:val="nil"/>
              <w:bottom w:val="nil"/>
              <w:right w:val="nil"/>
            </w:tcBorders>
            <w:shd w:val="clear" w:color="auto" w:fill="auto"/>
            <w:noWrap/>
            <w:vAlign w:val="center"/>
            <w:hideMark/>
          </w:tcPr>
          <w:p w14:paraId="41FA969E" w14:textId="57C0C1EA"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P</w:t>
            </w:r>
            <w:r>
              <w:rPr>
                <w:rFonts w:ascii="Times New Roman" w:eastAsia="Times New Roman" w:hAnsi="Times New Roman" w:cs="Times New Roman"/>
                <w:color w:val="000000"/>
                <w:kern w:val="0"/>
                <w:sz w:val="20"/>
                <w:szCs w:val="20"/>
                <w:lang w:eastAsia="pt-BR"/>
                <w14:ligatures w14:val="none"/>
              </w:rPr>
              <w:t>ará</w:t>
            </w:r>
            <w:r w:rsidR="00497652">
              <w:rPr>
                <w:rFonts w:ascii="Times New Roman" w:eastAsia="Times New Roman" w:hAnsi="Times New Roman" w:cs="Times New Roman"/>
                <w:color w:val="000000"/>
                <w:kern w:val="0"/>
                <w:sz w:val="20"/>
                <w:szCs w:val="20"/>
                <w:lang w:eastAsia="pt-BR"/>
                <w14:ligatures w14:val="none"/>
              </w:rPr>
              <w:t xml:space="preserve"> (PA)</w:t>
            </w:r>
          </w:p>
        </w:tc>
        <w:tc>
          <w:tcPr>
            <w:tcW w:w="2126" w:type="dxa"/>
            <w:tcBorders>
              <w:top w:val="nil"/>
              <w:left w:val="nil"/>
              <w:bottom w:val="nil"/>
              <w:right w:val="nil"/>
            </w:tcBorders>
            <w:shd w:val="clear" w:color="auto" w:fill="auto"/>
            <w:noWrap/>
            <w:vAlign w:val="center"/>
            <w:hideMark/>
          </w:tcPr>
          <w:p w14:paraId="45711127" w14:textId="6529E3F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R$ 34.302.173.946,52</w:t>
            </w:r>
          </w:p>
        </w:tc>
        <w:tc>
          <w:tcPr>
            <w:tcW w:w="654" w:type="dxa"/>
            <w:tcBorders>
              <w:top w:val="nil"/>
              <w:left w:val="nil"/>
              <w:bottom w:val="nil"/>
              <w:right w:val="nil"/>
            </w:tcBorders>
            <w:shd w:val="clear" w:color="auto" w:fill="auto"/>
            <w:noWrap/>
            <w:vAlign w:val="center"/>
            <w:hideMark/>
          </w:tcPr>
          <w:p w14:paraId="1DABD246" w14:textId="4D24F881"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7844549</w:t>
            </w:r>
          </w:p>
        </w:tc>
        <w:tc>
          <w:tcPr>
            <w:tcW w:w="1680" w:type="dxa"/>
            <w:tcBorders>
              <w:top w:val="nil"/>
              <w:left w:val="nil"/>
              <w:bottom w:val="nil"/>
              <w:right w:val="nil"/>
            </w:tcBorders>
            <w:vAlign w:val="center"/>
          </w:tcPr>
          <w:p w14:paraId="7A9952DA" w14:textId="169FE3B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R$ 4.821,47</w:t>
            </w:r>
          </w:p>
        </w:tc>
        <w:tc>
          <w:tcPr>
            <w:tcW w:w="1245" w:type="dxa"/>
            <w:tcBorders>
              <w:top w:val="nil"/>
              <w:left w:val="nil"/>
              <w:bottom w:val="nil"/>
              <w:right w:val="nil"/>
            </w:tcBorders>
            <w:vAlign w:val="center"/>
          </w:tcPr>
          <w:p w14:paraId="0022D53A" w14:textId="6D8CBF4B"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135</w:t>
            </w:r>
          </w:p>
        </w:tc>
        <w:tc>
          <w:tcPr>
            <w:tcW w:w="1241" w:type="dxa"/>
            <w:tcBorders>
              <w:top w:val="nil"/>
              <w:left w:val="nil"/>
              <w:bottom w:val="nil"/>
              <w:right w:val="nil"/>
            </w:tcBorders>
            <w:vAlign w:val="center"/>
          </w:tcPr>
          <w:p w14:paraId="369245EC" w14:textId="798AAD01"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93,8%</w:t>
            </w:r>
          </w:p>
        </w:tc>
      </w:tr>
      <w:tr w:rsidR="00497652" w:rsidRPr="00DE28A4" w14:paraId="0EB273C4" w14:textId="24913B17" w:rsidTr="00497652">
        <w:trPr>
          <w:trHeight w:val="300"/>
          <w:jc w:val="center"/>
        </w:trPr>
        <w:tc>
          <w:tcPr>
            <w:tcW w:w="2552" w:type="dxa"/>
            <w:tcBorders>
              <w:top w:val="nil"/>
              <w:left w:val="nil"/>
              <w:bottom w:val="nil"/>
              <w:right w:val="nil"/>
            </w:tcBorders>
            <w:shd w:val="clear" w:color="auto" w:fill="auto"/>
            <w:noWrap/>
            <w:vAlign w:val="center"/>
            <w:hideMark/>
          </w:tcPr>
          <w:p w14:paraId="3726CE08" w14:textId="2612178B"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R</w:t>
            </w:r>
            <w:r>
              <w:rPr>
                <w:rFonts w:ascii="Times New Roman" w:eastAsia="Times New Roman" w:hAnsi="Times New Roman" w:cs="Times New Roman"/>
                <w:color w:val="000000"/>
                <w:kern w:val="0"/>
                <w:sz w:val="20"/>
                <w:szCs w:val="20"/>
                <w:lang w:eastAsia="pt-BR"/>
                <w14:ligatures w14:val="none"/>
              </w:rPr>
              <w:t>ondônia</w:t>
            </w:r>
            <w:r w:rsidR="00497652">
              <w:rPr>
                <w:rFonts w:ascii="Times New Roman" w:eastAsia="Times New Roman" w:hAnsi="Times New Roman" w:cs="Times New Roman"/>
                <w:color w:val="000000"/>
                <w:kern w:val="0"/>
                <w:sz w:val="20"/>
                <w:szCs w:val="20"/>
                <w:lang w:eastAsia="pt-BR"/>
                <w14:ligatures w14:val="none"/>
              </w:rPr>
              <w:t xml:space="preserve"> (RO)</w:t>
            </w:r>
            <w:r>
              <w:rPr>
                <w:rFonts w:ascii="Times New Roman" w:eastAsia="Times New Roman" w:hAnsi="Times New Roman" w:cs="Times New Roman"/>
                <w:color w:val="000000"/>
                <w:kern w:val="0"/>
                <w:sz w:val="20"/>
                <w:szCs w:val="20"/>
                <w:lang w:eastAsia="pt-BR"/>
                <w14:ligatures w14:val="none"/>
              </w:rPr>
              <w:t xml:space="preserve"> </w:t>
            </w:r>
          </w:p>
        </w:tc>
        <w:tc>
          <w:tcPr>
            <w:tcW w:w="2126" w:type="dxa"/>
            <w:tcBorders>
              <w:top w:val="nil"/>
              <w:left w:val="nil"/>
              <w:bottom w:val="nil"/>
              <w:right w:val="nil"/>
            </w:tcBorders>
            <w:shd w:val="clear" w:color="auto" w:fill="auto"/>
            <w:noWrap/>
            <w:vAlign w:val="center"/>
            <w:hideMark/>
          </w:tcPr>
          <w:p w14:paraId="66BAE42B" w14:textId="2060EBE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R$ 7.684.312.253,48</w:t>
            </w:r>
          </w:p>
        </w:tc>
        <w:tc>
          <w:tcPr>
            <w:tcW w:w="654" w:type="dxa"/>
            <w:tcBorders>
              <w:top w:val="nil"/>
              <w:left w:val="nil"/>
              <w:bottom w:val="nil"/>
              <w:right w:val="nil"/>
            </w:tcBorders>
            <w:shd w:val="clear" w:color="auto" w:fill="auto"/>
            <w:noWrap/>
            <w:vAlign w:val="center"/>
            <w:hideMark/>
          </w:tcPr>
          <w:p w14:paraId="2AD0289A" w14:textId="2007ED5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1577963</w:t>
            </w:r>
          </w:p>
        </w:tc>
        <w:tc>
          <w:tcPr>
            <w:tcW w:w="1680" w:type="dxa"/>
            <w:tcBorders>
              <w:top w:val="nil"/>
              <w:left w:val="nil"/>
              <w:bottom w:val="nil"/>
              <w:right w:val="nil"/>
            </w:tcBorders>
            <w:vAlign w:val="center"/>
          </w:tcPr>
          <w:p w14:paraId="644B5870" w14:textId="41FD84B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R$ 6.222,15</w:t>
            </w:r>
          </w:p>
        </w:tc>
        <w:tc>
          <w:tcPr>
            <w:tcW w:w="1245" w:type="dxa"/>
            <w:tcBorders>
              <w:top w:val="nil"/>
              <w:left w:val="nil"/>
              <w:bottom w:val="nil"/>
              <w:right w:val="nil"/>
            </w:tcBorders>
            <w:vAlign w:val="center"/>
          </w:tcPr>
          <w:p w14:paraId="59262264" w14:textId="43A9E0B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51</w:t>
            </w:r>
          </w:p>
        </w:tc>
        <w:tc>
          <w:tcPr>
            <w:tcW w:w="1241" w:type="dxa"/>
            <w:tcBorders>
              <w:top w:val="nil"/>
              <w:left w:val="nil"/>
              <w:bottom w:val="nil"/>
              <w:right w:val="nil"/>
            </w:tcBorders>
            <w:vAlign w:val="center"/>
          </w:tcPr>
          <w:p w14:paraId="7294985A" w14:textId="04CCAA40"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98,1%</w:t>
            </w:r>
          </w:p>
        </w:tc>
      </w:tr>
      <w:tr w:rsidR="00497652" w:rsidRPr="00DE28A4" w14:paraId="30195F93" w14:textId="49A59AF9" w:rsidTr="00497652">
        <w:trPr>
          <w:trHeight w:val="300"/>
          <w:jc w:val="center"/>
        </w:trPr>
        <w:tc>
          <w:tcPr>
            <w:tcW w:w="2552" w:type="dxa"/>
            <w:tcBorders>
              <w:top w:val="nil"/>
              <w:left w:val="nil"/>
              <w:bottom w:val="nil"/>
              <w:right w:val="nil"/>
            </w:tcBorders>
            <w:shd w:val="clear" w:color="auto" w:fill="auto"/>
            <w:noWrap/>
            <w:vAlign w:val="center"/>
            <w:hideMark/>
          </w:tcPr>
          <w:p w14:paraId="6F0FD52E" w14:textId="20AC8B29"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R</w:t>
            </w:r>
            <w:r>
              <w:rPr>
                <w:rFonts w:ascii="Times New Roman" w:eastAsia="Times New Roman" w:hAnsi="Times New Roman" w:cs="Times New Roman"/>
                <w:color w:val="000000"/>
                <w:kern w:val="0"/>
                <w:sz w:val="20"/>
                <w:szCs w:val="20"/>
                <w:lang w:eastAsia="pt-BR"/>
                <w14:ligatures w14:val="none"/>
              </w:rPr>
              <w:t>oraima</w:t>
            </w:r>
            <w:r w:rsidR="00497652">
              <w:rPr>
                <w:rFonts w:ascii="Times New Roman" w:eastAsia="Times New Roman" w:hAnsi="Times New Roman" w:cs="Times New Roman"/>
                <w:color w:val="000000"/>
                <w:kern w:val="0"/>
                <w:sz w:val="20"/>
                <w:szCs w:val="20"/>
                <w:lang w:eastAsia="pt-BR"/>
                <w14:ligatures w14:val="none"/>
              </w:rPr>
              <w:t xml:space="preserve"> (RR)</w:t>
            </w:r>
          </w:p>
        </w:tc>
        <w:tc>
          <w:tcPr>
            <w:tcW w:w="2126" w:type="dxa"/>
            <w:tcBorders>
              <w:top w:val="nil"/>
              <w:left w:val="nil"/>
              <w:bottom w:val="nil"/>
              <w:right w:val="nil"/>
            </w:tcBorders>
            <w:shd w:val="clear" w:color="auto" w:fill="auto"/>
            <w:noWrap/>
            <w:vAlign w:val="center"/>
            <w:hideMark/>
          </w:tcPr>
          <w:p w14:paraId="4D7241A4" w14:textId="7BF81A2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R$ 3.247.404.222,34</w:t>
            </w:r>
          </w:p>
        </w:tc>
        <w:tc>
          <w:tcPr>
            <w:tcW w:w="654" w:type="dxa"/>
            <w:tcBorders>
              <w:top w:val="nil"/>
              <w:left w:val="nil"/>
              <w:bottom w:val="nil"/>
              <w:right w:val="nil"/>
            </w:tcBorders>
            <w:shd w:val="clear" w:color="auto" w:fill="auto"/>
            <w:noWrap/>
            <w:vAlign w:val="center"/>
            <w:hideMark/>
          </w:tcPr>
          <w:p w14:paraId="334D1B34" w14:textId="45D00D4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636707</w:t>
            </w:r>
          </w:p>
        </w:tc>
        <w:tc>
          <w:tcPr>
            <w:tcW w:w="1680" w:type="dxa"/>
            <w:tcBorders>
              <w:top w:val="nil"/>
              <w:left w:val="nil"/>
              <w:bottom w:val="nil"/>
              <w:right w:val="nil"/>
            </w:tcBorders>
            <w:vAlign w:val="center"/>
          </w:tcPr>
          <w:p w14:paraId="643BC5C1" w14:textId="0FA95A9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R$ 6.215,33</w:t>
            </w:r>
          </w:p>
        </w:tc>
        <w:tc>
          <w:tcPr>
            <w:tcW w:w="1245" w:type="dxa"/>
            <w:tcBorders>
              <w:top w:val="nil"/>
              <w:left w:val="nil"/>
              <w:bottom w:val="nil"/>
              <w:right w:val="nil"/>
            </w:tcBorders>
            <w:vAlign w:val="center"/>
          </w:tcPr>
          <w:p w14:paraId="19DF14B8" w14:textId="74A4F66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15</w:t>
            </w:r>
          </w:p>
        </w:tc>
        <w:tc>
          <w:tcPr>
            <w:tcW w:w="1241" w:type="dxa"/>
            <w:tcBorders>
              <w:top w:val="nil"/>
              <w:left w:val="nil"/>
              <w:bottom w:val="nil"/>
              <w:right w:val="nil"/>
            </w:tcBorders>
            <w:vAlign w:val="center"/>
          </w:tcPr>
          <w:p w14:paraId="71371A0C" w14:textId="309E8CF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100,0%</w:t>
            </w:r>
          </w:p>
        </w:tc>
      </w:tr>
      <w:tr w:rsidR="00497652" w:rsidRPr="00DE28A4" w14:paraId="0889B91C" w14:textId="69EF2529" w:rsidTr="00497652">
        <w:trPr>
          <w:trHeight w:val="300"/>
          <w:jc w:val="center"/>
        </w:trPr>
        <w:tc>
          <w:tcPr>
            <w:tcW w:w="2552" w:type="dxa"/>
            <w:tcBorders>
              <w:top w:val="nil"/>
              <w:left w:val="nil"/>
              <w:bottom w:val="nil"/>
              <w:right w:val="nil"/>
            </w:tcBorders>
            <w:shd w:val="clear" w:color="auto" w:fill="auto"/>
            <w:noWrap/>
            <w:vAlign w:val="center"/>
            <w:hideMark/>
          </w:tcPr>
          <w:p w14:paraId="58746165" w14:textId="25152D26"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T</w:t>
            </w:r>
            <w:r>
              <w:rPr>
                <w:rFonts w:ascii="Times New Roman" w:eastAsia="Times New Roman" w:hAnsi="Times New Roman" w:cs="Times New Roman"/>
                <w:color w:val="000000"/>
                <w:kern w:val="0"/>
                <w:sz w:val="20"/>
                <w:szCs w:val="20"/>
                <w:lang w:eastAsia="pt-BR"/>
                <w14:ligatures w14:val="none"/>
              </w:rPr>
              <w:t>ocantins</w:t>
            </w:r>
            <w:r w:rsidR="00497652">
              <w:rPr>
                <w:rFonts w:ascii="Times New Roman" w:eastAsia="Times New Roman" w:hAnsi="Times New Roman" w:cs="Times New Roman"/>
                <w:color w:val="000000"/>
                <w:kern w:val="0"/>
                <w:sz w:val="20"/>
                <w:szCs w:val="20"/>
                <w:lang w:eastAsia="pt-BR"/>
                <w14:ligatures w14:val="none"/>
              </w:rPr>
              <w:t xml:space="preserve"> (TO)</w:t>
            </w:r>
          </w:p>
        </w:tc>
        <w:tc>
          <w:tcPr>
            <w:tcW w:w="2126" w:type="dxa"/>
            <w:tcBorders>
              <w:top w:val="nil"/>
              <w:left w:val="nil"/>
              <w:bottom w:val="nil"/>
              <w:right w:val="nil"/>
            </w:tcBorders>
            <w:shd w:val="clear" w:color="auto" w:fill="auto"/>
            <w:noWrap/>
            <w:vAlign w:val="center"/>
            <w:hideMark/>
          </w:tcPr>
          <w:p w14:paraId="03C9351D" w14:textId="3F0781C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R$ 7.948.252.161,02</w:t>
            </w:r>
          </w:p>
        </w:tc>
        <w:tc>
          <w:tcPr>
            <w:tcW w:w="654" w:type="dxa"/>
            <w:tcBorders>
              <w:top w:val="nil"/>
              <w:left w:val="nil"/>
              <w:bottom w:val="nil"/>
              <w:right w:val="nil"/>
            </w:tcBorders>
            <w:shd w:val="clear" w:color="auto" w:fill="auto"/>
            <w:noWrap/>
            <w:vAlign w:val="center"/>
            <w:hideMark/>
          </w:tcPr>
          <w:p w14:paraId="59074FB5" w14:textId="12337135"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1486298</w:t>
            </w:r>
          </w:p>
        </w:tc>
        <w:tc>
          <w:tcPr>
            <w:tcW w:w="1680" w:type="dxa"/>
            <w:tcBorders>
              <w:top w:val="nil"/>
              <w:left w:val="nil"/>
              <w:bottom w:val="nil"/>
              <w:right w:val="nil"/>
            </w:tcBorders>
            <w:vAlign w:val="center"/>
          </w:tcPr>
          <w:p w14:paraId="7C732F5E" w14:textId="3CC1E7C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R$ 6.946,00</w:t>
            </w:r>
          </w:p>
        </w:tc>
        <w:tc>
          <w:tcPr>
            <w:tcW w:w="1245" w:type="dxa"/>
            <w:tcBorders>
              <w:top w:val="nil"/>
              <w:left w:val="nil"/>
              <w:bottom w:val="nil"/>
              <w:right w:val="nil"/>
            </w:tcBorders>
            <w:vAlign w:val="center"/>
          </w:tcPr>
          <w:p w14:paraId="62035235" w14:textId="309B7A7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136</w:t>
            </w:r>
          </w:p>
        </w:tc>
        <w:tc>
          <w:tcPr>
            <w:tcW w:w="1241" w:type="dxa"/>
            <w:tcBorders>
              <w:top w:val="nil"/>
              <w:left w:val="nil"/>
              <w:bottom w:val="nil"/>
              <w:right w:val="nil"/>
            </w:tcBorders>
            <w:vAlign w:val="center"/>
          </w:tcPr>
          <w:p w14:paraId="167177D4" w14:textId="282FA811"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97,8%</w:t>
            </w:r>
          </w:p>
        </w:tc>
      </w:tr>
      <w:tr w:rsidR="00497652" w:rsidRPr="00DE28A4" w14:paraId="6F17DD69" w14:textId="1A0EC301" w:rsidTr="00497652">
        <w:trPr>
          <w:trHeight w:val="300"/>
          <w:jc w:val="center"/>
        </w:trPr>
        <w:tc>
          <w:tcPr>
            <w:tcW w:w="2552" w:type="dxa"/>
            <w:tcBorders>
              <w:top w:val="nil"/>
              <w:left w:val="nil"/>
              <w:bottom w:val="single" w:sz="4" w:space="0" w:color="95B3D7"/>
              <w:right w:val="nil"/>
            </w:tcBorders>
            <w:shd w:val="clear" w:color="auto" w:fill="auto"/>
            <w:noWrap/>
            <w:vAlign w:val="center"/>
            <w:hideMark/>
          </w:tcPr>
          <w:p w14:paraId="268F1F4C" w14:textId="72EBD9C1" w:rsidR="00EC7090" w:rsidRPr="009F6D99" w:rsidRDefault="00EC7090" w:rsidP="00EC7090">
            <w:pPr>
              <w:spacing w:after="0" w:line="240" w:lineRule="auto"/>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SUDESTE</w:t>
            </w:r>
          </w:p>
        </w:tc>
        <w:tc>
          <w:tcPr>
            <w:tcW w:w="2126" w:type="dxa"/>
            <w:tcBorders>
              <w:top w:val="nil"/>
              <w:left w:val="nil"/>
              <w:bottom w:val="single" w:sz="4" w:space="0" w:color="95B3D7"/>
              <w:right w:val="nil"/>
            </w:tcBorders>
            <w:shd w:val="clear" w:color="auto" w:fill="auto"/>
            <w:noWrap/>
            <w:vAlign w:val="center"/>
            <w:hideMark/>
          </w:tcPr>
          <w:p w14:paraId="5BB05BF5" w14:textId="1FD94301"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R$ 460.404.035.870,51</w:t>
            </w:r>
          </w:p>
        </w:tc>
        <w:tc>
          <w:tcPr>
            <w:tcW w:w="654" w:type="dxa"/>
            <w:tcBorders>
              <w:top w:val="nil"/>
              <w:left w:val="nil"/>
              <w:bottom w:val="single" w:sz="4" w:space="0" w:color="95B3D7"/>
              <w:right w:val="nil"/>
            </w:tcBorders>
            <w:shd w:val="clear" w:color="auto" w:fill="auto"/>
            <w:noWrap/>
            <w:vAlign w:val="center"/>
            <w:hideMark/>
          </w:tcPr>
          <w:p w14:paraId="17C4AC6F" w14:textId="182CC97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83790000</w:t>
            </w:r>
          </w:p>
        </w:tc>
        <w:tc>
          <w:tcPr>
            <w:tcW w:w="1680" w:type="dxa"/>
            <w:tcBorders>
              <w:top w:val="nil"/>
              <w:left w:val="nil"/>
              <w:bottom w:val="single" w:sz="4" w:space="0" w:color="95B3D7"/>
              <w:right w:val="nil"/>
            </w:tcBorders>
            <w:vAlign w:val="center"/>
          </w:tcPr>
          <w:p w14:paraId="49DC98EE" w14:textId="3F05D82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R$ 6.284,82</w:t>
            </w:r>
          </w:p>
        </w:tc>
        <w:tc>
          <w:tcPr>
            <w:tcW w:w="1245" w:type="dxa"/>
            <w:tcBorders>
              <w:top w:val="nil"/>
              <w:left w:val="nil"/>
              <w:bottom w:val="single" w:sz="4" w:space="0" w:color="95B3D7"/>
              <w:right w:val="nil"/>
            </w:tcBorders>
            <w:vAlign w:val="center"/>
          </w:tcPr>
          <w:p w14:paraId="219740D8" w14:textId="49C708F5"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1631</w:t>
            </w:r>
          </w:p>
        </w:tc>
        <w:tc>
          <w:tcPr>
            <w:tcW w:w="1241" w:type="dxa"/>
            <w:tcBorders>
              <w:top w:val="nil"/>
              <w:left w:val="nil"/>
              <w:bottom w:val="single" w:sz="4" w:space="0" w:color="95B3D7"/>
              <w:right w:val="nil"/>
            </w:tcBorders>
            <w:vAlign w:val="center"/>
          </w:tcPr>
          <w:p w14:paraId="435BBFAD" w14:textId="2E29033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97,8%</w:t>
            </w:r>
          </w:p>
        </w:tc>
      </w:tr>
      <w:tr w:rsidR="00497652" w:rsidRPr="00DE28A4" w14:paraId="31F8EDB0" w14:textId="31D5202C" w:rsidTr="00497652">
        <w:trPr>
          <w:trHeight w:val="300"/>
          <w:jc w:val="center"/>
        </w:trPr>
        <w:tc>
          <w:tcPr>
            <w:tcW w:w="2552" w:type="dxa"/>
            <w:tcBorders>
              <w:top w:val="nil"/>
              <w:left w:val="nil"/>
              <w:bottom w:val="nil"/>
              <w:right w:val="nil"/>
            </w:tcBorders>
            <w:shd w:val="clear" w:color="auto" w:fill="auto"/>
            <w:noWrap/>
            <w:vAlign w:val="center"/>
            <w:hideMark/>
          </w:tcPr>
          <w:p w14:paraId="0196031A" w14:textId="5787F4B8"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E</w:t>
            </w:r>
            <w:r>
              <w:rPr>
                <w:rFonts w:ascii="Times New Roman" w:eastAsia="Times New Roman" w:hAnsi="Times New Roman" w:cs="Times New Roman"/>
                <w:color w:val="000000"/>
                <w:kern w:val="0"/>
                <w:sz w:val="20"/>
                <w:szCs w:val="20"/>
                <w:lang w:eastAsia="pt-BR"/>
                <w14:ligatures w14:val="none"/>
              </w:rPr>
              <w:t>spírito Santo</w:t>
            </w:r>
            <w:r w:rsidR="00497652">
              <w:rPr>
                <w:rFonts w:ascii="Times New Roman" w:eastAsia="Times New Roman" w:hAnsi="Times New Roman" w:cs="Times New Roman"/>
                <w:color w:val="000000"/>
                <w:kern w:val="0"/>
                <w:sz w:val="20"/>
                <w:szCs w:val="20"/>
                <w:lang w:eastAsia="pt-BR"/>
                <w14:ligatures w14:val="none"/>
              </w:rPr>
              <w:t xml:space="preserve"> (ES)</w:t>
            </w:r>
          </w:p>
        </w:tc>
        <w:tc>
          <w:tcPr>
            <w:tcW w:w="2126" w:type="dxa"/>
            <w:tcBorders>
              <w:top w:val="nil"/>
              <w:left w:val="nil"/>
              <w:bottom w:val="nil"/>
              <w:right w:val="nil"/>
            </w:tcBorders>
            <w:shd w:val="clear" w:color="auto" w:fill="auto"/>
            <w:noWrap/>
            <w:vAlign w:val="center"/>
            <w:hideMark/>
          </w:tcPr>
          <w:p w14:paraId="7301BCF5" w14:textId="2BAE5C4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R$ 18.298.337.351,33</w:t>
            </w:r>
          </w:p>
        </w:tc>
        <w:tc>
          <w:tcPr>
            <w:tcW w:w="654" w:type="dxa"/>
            <w:tcBorders>
              <w:top w:val="nil"/>
              <w:left w:val="nil"/>
              <w:bottom w:val="nil"/>
              <w:right w:val="nil"/>
            </w:tcBorders>
            <w:shd w:val="clear" w:color="auto" w:fill="auto"/>
            <w:noWrap/>
            <w:vAlign w:val="center"/>
            <w:hideMark/>
          </w:tcPr>
          <w:p w14:paraId="24BAEBE8" w14:textId="6B7796D5"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3833712</w:t>
            </w:r>
          </w:p>
        </w:tc>
        <w:tc>
          <w:tcPr>
            <w:tcW w:w="1680" w:type="dxa"/>
            <w:tcBorders>
              <w:top w:val="nil"/>
              <w:left w:val="nil"/>
              <w:bottom w:val="nil"/>
              <w:right w:val="nil"/>
            </w:tcBorders>
            <w:vAlign w:val="center"/>
          </w:tcPr>
          <w:p w14:paraId="6F79E1A3" w14:textId="7F79A420"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R$ 5.662,67</w:t>
            </w:r>
          </w:p>
        </w:tc>
        <w:tc>
          <w:tcPr>
            <w:tcW w:w="1245" w:type="dxa"/>
            <w:tcBorders>
              <w:top w:val="nil"/>
              <w:left w:val="nil"/>
              <w:bottom w:val="nil"/>
              <w:right w:val="nil"/>
            </w:tcBorders>
            <w:vAlign w:val="center"/>
          </w:tcPr>
          <w:p w14:paraId="78CEF7C7" w14:textId="665F3F8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78</w:t>
            </w:r>
          </w:p>
        </w:tc>
        <w:tc>
          <w:tcPr>
            <w:tcW w:w="1241" w:type="dxa"/>
            <w:tcBorders>
              <w:top w:val="nil"/>
              <w:left w:val="nil"/>
              <w:bottom w:val="nil"/>
              <w:right w:val="nil"/>
            </w:tcBorders>
            <w:vAlign w:val="center"/>
          </w:tcPr>
          <w:p w14:paraId="58400708" w14:textId="0D91232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100,0%</w:t>
            </w:r>
          </w:p>
        </w:tc>
      </w:tr>
      <w:tr w:rsidR="00497652" w:rsidRPr="00DE28A4" w14:paraId="60651FFE" w14:textId="2B5AAFF3" w:rsidTr="00497652">
        <w:trPr>
          <w:trHeight w:val="300"/>
          <w:jc w:val="center"/>
        </w:trPr>
        <w:tc>
          <w:tcPr>
            <w:tcW w:w="2552" w:type="dxa"/>
            <w:tcBorders>
              <w:top w:val="nil"/>
              <w:left w:val="nil"/>
              <w:bottom w:val="nil"/>
              <w:right w:val="nil"/>
            </w:tcBorders>
            <w:shd w:val="clear" w:color="auto" w:fill="auto"/>
            <w:noWrap/>
            <w:vAlign w:val="center"/>
            <w:hideMark/>
          </w:tcPr>
          <w:p w14:paraId="35C33A93" w14:textId="27F05F89"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M</w:t>
            </w:r>
            <w:r>
              <w:rPr>
                <w:rFonts w:ascii="Times New Roman" w:eastAsia="Times New Roman" w:hAnsi="Times New Roman" w:cs="Times New Roman"/>
                <w:color w:val="000000"/>
                <w:kern w:val="0"/>
                <w:sz w:val="20"/>
                <w:szCs w:val="20"/>
                <w:lang w:eastAsia="pt-BR"/>
                <w14:ligatures w14:val="none"/>
              </w:rPr>
              <w:t>inas Gerais</w:t>
            </w:r>
            <w:r w:rsidR="00497652">
              <w:rPr>
                <w:rFonts w:ascii="Times New Roman" w:eastAsia="Times New Roman" w:hAnsi="Times New Roman" w:cs="Times New Roman"/>
                <w:color w:val="000000"/>
                <w:kern w:val="0"/>
                <w:sz w:val="20"/>
                <w:szCs w:val="20"/>
                <w:lang w:eastAsia="pt-BR"/>
                <w14:ligatures w14:val="none"/>
              </w:rPr>
              <w:t xml:space="preserve"> (MG)</w:t>
            </w:r>
          </w:p>
        </w:tc>
        <w:tc>
          <w:tcPr>
            <w:tcW w:w="2126" w:type="dxa"/>
            <w:tcBorders>
              <w:top w:val="nil"/>
              <w:left w:val="nil"/>
              <w:bottom w:val="nil"/>
              <w:right w:val="nil"/>
            </w:tcBorders>
            <w:shd w:val="clear" w:color="auto" w:fill="auto"/>
            <w:noWrap/>
            <w:vAlign w:val="center"/>
            <w:hideMark/>
          </w:tcPr>
          <w:p w14:paraId="1DAAF7BD" w14:textId="539AADF0"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R$ 97.682.379.011,37</w:t>
            </w:r>
          </w:p>
        </w:tc>
        <w:tc>
          <w:tcPr>
            <w:tcW w:w="654" w:type="dxa"/>
            <w:tcBorders>
              <w:top w:val="nil"/>
              <w:left w:val="nil"/>
              <w:bottom w:val="nil"/>
              <w:right w:val="nil"/>
            </w:tcBorders>
            <w:shd w:val="clear" w:color="auto" w:fill="auto"/>
            <w:noWrap/>
            <w:vAlign w:val="center"/>
            <w:hideMark/>
          </w:tcPr>
          <w:p w14:paraId="42EEDB70" w14:textId="3644B58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19995571</w:t>
            </w:r>
          </w:p>
        </w:tc>
        <w:tc>
          <w:tcPr>
            <w:tcW w:w="1680" w:type="dxa"/>
            <w:tcBorders>
              <w:top w:val="nil"/>
              <w:left w:val="nil"/>
              <w:bottom w:val="nil"/>
              <w:right w:val="nil"/>
            </w:tcBorders>
            <w:vAlign w:val="center"/>
          </w:tcPr>
          <w:p w14:paraId="64481859" w14:textId="239324D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R$ 5.958,62</w:t>
            </w:r>
          </w:p>
        </w:tc>
        <w:tc>
          <w:tcPr>
            <w:tcW w:w="1245" w:type="dxa"/>
            <w:tcBorders>
              <w:top w:val="nil"/>
              <w:left w:val="nil"/>
              <w:bottom w:val="nil"/>
              <w:right w:val="nil"/>
            </w:tcBorders>
            <w:vAlign w:val="center"/>
          </w:tcPr>
          <w:p w14:paraId="41709871" w14:textId="2C91CA5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835</w:t>
            </w:r>
          </w:p>
        </w:tc>
        <w:tc>
          <w:tcPr>
            <w:tcW w:w="1241" w:type="dxa"/>
            <w:tcBorders>
              <w:top w:val="nil"/>
              <w:left w:val="nil"/>
              <w:bottom w:val="nil"/>
              <w:right w:val="nil"/>
            </w:tcBorders>
            <w:vAlign w:val="center"/>
          </w:tcPr>
          <w:p w14:paraId="511CC249" w14:textId="2FDA166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97,9%</w:t>
            </w:r>
          </w:p>
        </w:tc>
      </w:tr>
      <w:tr w:rsidR="00497652" w:rsidRPr="00DE28A4" w14:paraId="173A3292" w14:textId="57564F86" w:rsidTr="00497652">
        <w:trPr>
          <w:trHeight w:val="300"/>
          <w:jc w:val="center"/>
        </w:trPr>
        <w:tc>
          <w:tcPr>
            <w:tcW w:w="2552" w:type="dxa"/>
            <w:tcBorders>
              <w:top w:val="nil"/>
              <w:left w:val="nil"/>
              <w:bottom w:val="nil"/>
              <w:right w:val="nil"/>
            </w:tcBorders>
            <w:shd w:val="clear" w:color="auto" w:fill="auto"/>
            <w:noWrap/>
            <w:vAlign w:val="center"/>
            <w:hideMark/>
          </w:tcPr>
          <w:p w14:paraId="228937FB" w14:textId="64444FDC"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R</w:t>
            </w:r>
            <w:r>
              <w:rPr>
                <w:rFonts w:ascii="Times New Roman" w:eastAsia="Times New Roman" w:hAnsi="Times New Roman" w:cs="Times New Roman"/>
                <w:color w:val="000000"/>
                <w:kern w:val="0"/>
                <w:sz w:val="20"/>
                <w:szCs w:val="20"/>
                <w:lang w:eastAsia="pt-BR"/>
                <w14:ligatures w14:val="none"/>
              </w:rPr>
              <w:t>io de Janeiro</w:t>
            </w:r>
            <w:r w:rsidR="00497652">
              <w:rPr>
                <w:rFonts w:ascii="Times New Roman" w:eastAsia="Times New Roman" w:hAnsi="Times New Roman" w:cs="Times New Roman"/>
                <w:color w:val="000000"/>
                <w:kern w:val="0"/>
                <w:sz w:val="20"/>
                <w:szCs w:val="20"/>
                <w:lang w:eastAsia="pt-BR"/>
                <w14:ligatures w14:val="none"/>
              </w:rPr>
              <w:t xml:space="preserve"> (RJ)</w:t>
            </w:r>
          </w:p>
        </w:tc>
        <w:tc>
          <w:tcPr>
            <w:tcW w:w="2126" w:type="dxa"/>
            <w:tcBorders>
              <w:top w:val="nil"/>
              <w:left w:val="nil"/>
              <w:bottom w:val="nil"/>
              <w:right w:val="nil"/>
            </w:tcBorders>
            <w:shd w:val="clear" w:color="auto" w:fill="auto"/>
            <w:noWrap/>
            <w:vAlign w:val="center"/>
            <w:hideMark/>
          </w:tcPr>
          <w:p w14:paraId="05355075" w14:textId="44607E2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R$ 88.349.585.618,83</w:t>
            </w:r>
          </w:p>
        </w:tc>
        <w:tc>
          <w:tcPr>
            <w:tcW w:w="654" w:type="dxa"/>
            <w:tcBorders>
              <w:top w:val="nil"/>
              <w:left w:val="nil"/>
              <w:bottom w:val="nil"/>
              <w:right w:val="nil"/>
            </w:tcBorders>
            <w:shd w:val="clear" w:color="auto" w:fill="auto"/>
            <w:noWrap/>
            <w:vAlign w:val="center"/>
            <w:hideMark/>
          </w:tcPr>
          <w:p w14:paraId="695C5BCA" w14:textId="65CBBA7C"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15877765</w:t>
            </w:r>
          </w:p>
        </w:tc>
        <w:tc>
          <w:tcPr>
            <w:tcW w:w="1680" w:type="dxa"/>
            <w:tcBorders>
              <w:top w:val="nil"/>
              <w:left w:val="nil"/>
              <w:bottom w:val="nil"/>
              <w:right w:val="nil"/>
            </w:tcBorders>
            <w:vAlign w:val="center"/>
          </w:tcPr>
          <w:p w14:paraId="35854C19" w14:textId="4CB2B942"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R$ 7.794,60</w:t>
            </w:r>
          </w:p>
        </w:tc>
        <w:tc>
          <w:tcPr>
            <w:tcW w:w="1245" w:type="dxa"/>
            <w:tcBorders>
              <w:top w:val="nil"/>
              <w:left w:val="nil"/>
              <w:bottom w:val="nil"/>
              <w:right w:val="nil"/>
            </w:tcBorders>
            <w:vAlign w:val="center"/>
          </w:tcPr>
          <w:p w14:paraId="4BBD0C13" w14:textId="4C41444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85</w:t>
            </w:r>
          </w:p>
        </w:tc>
        <w:tc>
          <w:tcPr>
            <w:tcW w:w="1241" w:type="dxa"/>
            <w:tcBorders>
              <w:top w:val="nil"/>
              <w:left w:val="nil"/>
              <w:bottom w:val="nil"/>
              <w:right w:val="nil"/>
            </w:tcBorders>
            <w:vAlign w:val="center"/>
          </w:tcPr>
          <w:p w14:paraId="25359BD3" w14:textId="4486A89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92,4%</w:t>
            </w:r>
          </w:p>
        </w:tc>
      </w:tr>
      <w:tr w:rsidR="00497652" w:rsidRPr="00DE28A4" w14:paraId="3B7DC5A3" w14:textId="14A7C6D2" w:rsidTr="00497652">
        <w:trPr>
          <w:trHeight w:val="300"/>
          <w:jc w:val="center"/>
        </w:trPr>
        <w:tc>
          <w:tcPr>
            <w:tcW w:w="2552" w:type="dxa"/>
            <w:tcBorders>
              <w:top w:val="nil"/>
              <w:left w:val="nil"/>
              <w:bottom w:val="nil"/>
              <w:right w:val="nil"/>
            </w:tcBorders>
            <w:shd w:val="clear" w:color="auto" w:fill="auto"/>
            <w:noWrap/>
            <w:vAlign w:val="center"/>
            <w:hideMark/>
          </w:tcPr>
          <w:p w14:paraId="2EB2CAE1" w14:textId="1FC2C729"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S</w:t>
            </w:r>
            <w:r>
              <w:rPr>
                <w:rFonts w:ascii="Times New Roman" w:eastAsia="Times New Roman" w:hAnsi="Times New Roman" w:cs="Times New Roman"/>
                <w:color w:val="000000"/>
                <w:kern w:val="0"/>
                <w:sz w:val="20"/>
                <w:szCs w:val="20"/>
                <w:lang w:eastAsia="pt-BR"/>
                <w14:ligatures w14:val="none"/>
              </w:rPr>
              <w:t>ão Paulo</w:t>
            </w:r>
            <w:r w:rsidR="00497652">
              <w:rPr>
                <w:rFonts w:ascii="Times New Roman" w:eastAsia="Times New Roman" w:hAnsi="Times New Roman" w:cs="Times New Roman"/>
                <w:color w:val="000000"/>
                <w:kern w:val="0"/>
                <w:sz w:val="20"/>
                <w:szCs w:val="20"/>
                <w:lang w:eastAsia="pt-BR"/>
                <w14:ligatures w14:val="none"/>
              </w:rPr>
              <w:t xml:space="preserve"> (SP)</w:t>
            </w:r>
          </w:p>
        </w:tc>
        <w:tc>
          <w:tcPr>
            <w:tcW w:w="2126" w:type="dxa"/>
            <w:tcBorders>
              <w:top w:val="nil"/>
              <w:left w:val="nil"/>
              <w:bottom w:val="nil"/>
              <w:right w:val="nil"/>
            </w:tcBorders>
            <w:shd w:val="clear" w:color="auto" w:fill="auto"/>
            <w:noWrap/>
            <w:vAlign w:val="center"/>
            <w:hideMark/>
          </w:tcPr>
          <w:p w14:paraId="1C1DEA4A" w14:textId="05C97D91"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R$ 256.073.733.888,98</w:t>
            </w:r>
          </w:p>
        </w:tc>
        <w:tc>
          <w:tcPr>
            <w:tcW w:w="654" w:type="dxa"/>
            <w:tcBorders>
              <w:top w:val="nil"/>
              <w:left w:val="nil"/>
              <w:bottom w:val="nil"/>
              <w:right w:val="nil"/>
            </w:tcBorders>
            <w:shd w:val="clear" w:color="auto" w:fill="auto"/>
            <w:noWrap/>
            <w:vAlign w:val="center"/>
            <w:hideMark/>
          </w:tcPr>
          <w:p w14:paraId="42B1D679" w14:textId="4095B831"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44082952</w:t>
            </w:r>
          </w:p>
        </w:tc>
        <w:tc>
          <w:tcPr>
            <w:tcW w:w="1680" w:type="dxa"/>
            <w:tcBorders>
              <w:top w:val="nil"/>
              <w:left w:val="nil"/>
              <w:bottom w:val="nil"/>
              <w:right w:val="nil"/>
            </w:tcBorders>
            <w:vAlign w:val="center"/>
          </w:tcPr>
          <w:p w14:paraId="05EB9D2F" w14:textId="2081DA92"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R$ 6.589,04</w:t>
            </w:r>
          </w:p>
        </w:tc>
        <w:tc>
          <w:tcPr>
            <w:tcW w:w="1245" w:type="dxa"/>
            <w:tcBorders>
              <w:top w:val="nil"/>
              <w:left w:val="nil"/>
              <w:bottom w:val="nil"/>
              <w:right w:val="nil"/>
            </w:tcBorders>
            <w:vAlign w:val="center"/>
          </w:tcPr>
          <w:p w14:paraId="439029CE" w14:textId="51EA67A3"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633</w:t>
            </w:r>
          </w:p>
        </w:tc>
        <w:tc>
          <w:tcPr>
            <w:tcW w:w="1241" w:type="dxa"/>
            <w:tcBorders>
              <w:top w:val="nil"/>
              <w:left w:val="nil"/>
              <w:bottom w:val="nil"/>
              <w:right w:val="nil"/>
            </w:tcBorders>
            <w:vAlign w:val="center"/>
          </w:tcPr>
          <w:p w14:paraId="03831F9D" w14:textId="3800175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98,1%</w:t>
            </w:r>
          </w:p>
        </w:tc>
      </w:tr>
      <w:tr w:rsidR="00497652" w:rsidRPr="00DE28A4" w14:paraId="1E7EFE8C" w14:textId="58607BC9" w:rsidTr="00497652">
        <w:trPr>
          <w:trHeight w:val="300"/>
          <w:jc w:val="center"/>
        </w:trPr>
        <w:tc>
          <w:tcPr>
            <w:tcW w:w="2552" w:type="dxa"/>
            <w:tcBorders>
              <w:top w:val="nil"/>
              <w:left w:val="nil"/>
              <w:bottom w:val="single" w:sz="4" w:space="0" w:color="95B3D7"/>
              <w:right w:val="nil"/>
            </w:tcBorders>
            <w:shd w:val="clear" w:color="auto" w:fill="auto"/>
            <w:noWrap/>
            <w:vAlign w:val="center"/>
            <w:hideMark/>
          </w:tcPr>
          <w:p w14:paraId="6313C459" w14:textId="715F8D62" w:rsidR="00EC7090" w:rsidRPr="009F6D99" w:rsidRDefault="00EC7090" w:rsidP="00EC7090">
            <w:pPr>
              <w:spacing w:after="0" w:line="240" w:lineRule="auto"/>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SUL</w:t>
            </w:r>
          </w:p>
        </w:tc>
        <w:tc>
          <w:tcPr>
            <w:tcW w:w="2126" w:type="dxa"/>
            <w:tcBorders>
              <w:top w:val="nil"/>
              <w:left w:val="nil"/>
              <w:bottom w:val="single" w:sz="4" w:space="0" w:color="95B3D7"/>
              <w:right w:val="nil"/>
            </w:tcBorders>
            <w:shd w:val="clear" w:color="auto" w:fill="auto"/>
            <w:noWrap/>
            <w:vAlign w:val="center"/>
            <w:hideMark/>
          </w:tcPr>
          <w:p w14:paraId="086064C6" w14:textId="22C2454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R$ 156.519.353.944,96</w:t>
            </w:r>
          </w:p>
        </w:tc>
        <w:tc>
          <w:tcPr>
            <w:tcW w:w="654" w:type="dxa"/>
            <w:tcBorders>
              <w:top w:val="nil"/>
              <w:left w:val="nil"/>
              <w:bottom w:val="single" w:sz="4" w:space="0" w:color="95B3D7"/>
              <w:right w:val="nil"/>
            </w:tcBorders>
            <w:shd w:val="clear" w:color="auto" w:fill="auto"/>
            <w:noWrap/>
            <w:vAlign w:val="center"/>
            <w:hideMark/>
          </w:tcPr>
          <w:p w14:paraId="7506BC9E" w14:textId="7477A92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29524651</w:t>
            </w:r>
          </w:p>
        </w:tc>
        <w:tc>
          <w:tcPr>
            <w:tcW w:w="1680" w:type="dxa"/>
            <w:tcBorders>
              <w:top w:val="nil"/>
              <w:left w:val="nil"/>
              <w:bottom w:val="single" w:sz="4" w:space="0" w:color="95B3D7"/>
              <w:right w:val="nil"/>
            </w:tcBorders>
            <w:vAlign w:val="center"/>
          </w:tcPr>
          <w:p w14:paraId="199A72B8" w14:textId="3EC3DFD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R$ 7.287,76</w:t>
            </w:r>
          </w:p>
        </w:tc>
        <w:tc>
          <w:tcPr>
            <w:tcW w:w="1245" w:type="dxa"/>
            <w:tcBorders>
              <w:top w:val="nil"/>
              <w:left w:val="nil"/>
              <w:bottom w:val="single" w:sz="4" w:space="0" w:color="95B3D7"/>
              <w:right w:val="nil"/>
            </w:tcBorders>
            <w:vAlign w:val="center"/>
          </w:tcPr>
          <w:p w14:paraId="08A86934" w14:textId="03CD61D2"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1151</w:t>
            </w:r>
          </w:p>
        </w:tc>
        <w:tc>
          <w:tcPr>
            <w:tcW w:w="1241" w:type="dxa"/>
            <w:tcBorders>
              <w:top w:val="nil"/>
              <w:left w:val="nil"/>
              <w:bottom w:val="single" w:sz="4" w:space="0" w:color="95B3D7"/>
              <w:right w:val="nil"/>
            </w:tcBorders>
            <w:vAlign w:val="center"/>
          </w:tcPr>
          <w:p w14:paraId="0879BF3D" w14:textId="0727D9D7"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96,6%</w:t>
            </w:r>
          </w:p>
        </w:tc>
      </w:tr>
      <w:tr w:rsidR="00497652" w:rsidRPr="00DE28A4" w14:paraId="456EE1FB" w14:textId="41AA4C3F" w:rsidTr="00497652">
        <w:trPr>
          <w:trHeight w:val="300"/>
          <w:jc w:val="center"/>
        </w:trPr>
        <w:tc>
          <w:tcPr>
            <w:tcW w:w="2552" w:type="dxa"/>
            <w:tcBorders>
              <w:top w:val="nil"/>
              <w:left w:val="nil"/>
              <w:bottom w:val="nil"/>
              <w:right w:val="nil"/>
            </w:tcBorders>
            <w:shd w:val="clear" w:color="auto" w:fill="auto"/>
            <w:noWrap/>
            <w:vAlign w:val="center"/>
            <w:hideMark/>
          </w:tcPr>
          <w:p w14:paraId="08F81229" w14:textId="273028AE"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P</w:t>
            </w:r>
            <w:r>
              <w:rPr>
                <w:rFonts w:ascii="Times New Roman" w:eastAsia="Times New Roman" w:hAnsi="Times New Roman" w:cs="Times New Roman"/>
                <w:color w:val="000000"/>
                <w:kern w:val="0"/>
                <w:sz w:val="20"/>
                <w:szCs w:val="20"/>
                <w:lang w:eastAsia="pt-BR"/>
                <w14:ligatures w14:val="none"/>
              </w:rPr>
              <w:t>araná</w:t>
            </w:r>
            <w:r w:rsidR="00497652">
              <w:rPr>
                <w:rFonts w:ascii="Times New Roman" w:eastAsia="Times New Roman" w:hAnsi="Times New Roman" w:cs="Times New Roman"/>
                <w:color w:val="000000"/>
                <w:kern w:val="0"/>
                <w:sz w:val="20"/>
                <w:szCs w:val="20"/>
                <w:lang w:eastAsia="pt-BR"/>
                <w14:ligatures w14:val="none"/>
              </w:rPr>
              <w:t xml:space="preserve"> (PR)</w:t>
            </w:r>
          </w:p>
        </w:tc>
        <w:tc>
          <w:tcPr>
            <w:tcW w:w="2126" w:type="dxa"/>
            <w:tcBorders>
              <w:top w:val="nil"/>
              <w:left w:val="nil"/>
              <w:bottom w:val="nil"/>
              <w:right w:val="nil"/>
            </w:tcBorders>
            <w:shd w:val="clear" w:color="auto" w:fill="auto"/>
            <w:noWrap/>
            <w:vAlign w:val="center"/>
            <w:hideMark/>
          </w:tcPr>
          <w:p w14:paraId="2FDD6572" w14:textId="5E27618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R$ 57.481.257.618,39</w:t>
            </w:r>
          </w:p>
        </w:tc>
        <w:tc>
          <w:tcPr>
            <w:tcW w:w="654" w:type="dxa"/>
            <w:tcBorders>
              <w:top w:val="nil"/>
              <w:left w:val="nil"/>
              <w:bottom w:val="nil"/>
              <w:right w:val="nil"/>
            </w:tcBorders>
            <w:shd w:val="clear" w:color="auto" w:fill="auto"/>
            <w:noWrap/>
            <w:vAlign w:val="center"/>
            <w:hideMark/>
          </w:tcPr>
          <w:p w14:paraId="5B8982E1" w14:textId="218AAB7E"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11231339</w:t>
            </w:r>
          </w:p>
        </w:tc>
        <w:tc>
          <w:tcPr>
            <w:tcW w:w="1680" w:type="dxa"/>
            <w:tcBorders>
              <w:top w:val="nil"/>
              <w:left w:val="nil"/>
              <w:bottom w:val="nil"/>
              <w:right w:val="nil"/>
            </w:tcBorders>
            <w:vAlign w:val="center"/>
          </w:tcPr>
          <w:p w14:paraId="232CD8B6" w14:textId="384F5AD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R$ 6.439,22</w:t>
            </w:r>
          </w:p>
        </w:tc>
        <w:tc>
          <w:tcPr>
            <w:tcW w:w="1245" w:type="dxa"/>
            <w:tcBorders>
              <w:top w:val="nil"/>
              <w:left w:val="nil"/>
              <w:bottom w:val="nil"/>
              <w:right w:val="nil"/>
            </w:tcBorders>
            <w:vAlign w:val="center"/>
          </w:tcPr>
          <w:p w14:paraId="77366557" w14:textId="170B57D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376</w:t>
            </w:r>
          </w:p>
        </w:tc>
        <w:tc>
          <w:tcPr>
            <w:tcW w:w="1241" w:type="dxa"/>
            <w:tcBorders>
              <w:top w:val="nil"/>
              <w:left w:val="nil"/>
              <w:bottom w:val="nil"/>
              <w:right w:val="nil"/>
            </w:tcBorders>
            <w:vAlign w:val="center"/>
          </w:tcPr>
          <w:p w14:paraId="3D3BD27F" w14:textId="01F23C6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94,2%</w:t>
            </w:r>
          </w:p>
        </w:tc>
      </w:tr>
      <w:tr w:rsidR="00497652" w:rsidRPr="00DE28A4" w14:paraId="3E0C99DB" w14:textId="3B072229" w:rsidTr="00497652">
        <w:trPr>
          <w:trHeight w:val="300"/>
          <w:jc w:val="center"/>
        </w:trPr>
        <w:tc>
          <w:tcPr>
            <w:tcW w:w="2552" w:type="dxa"/>
            <w:tcBorders>
              <w:top w:val="nil"/>
              <w:left w:val="nil"/>
              <w:bottom w:val="nil"/>
              <w:right w:val="nil"/>
            </w:tcBorders>
            <w:shd w:val="clear" w:color="auto" w:fill="auto"/>
            <w:noWrap/>
            <w:vAlign w:val="center"/>
            <w:hideMark/>
          </w:tcPr>
          <w:p w14:paraId="49E037C5" w14:textId="4B02248A"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R</w:t>
            </w:r>
            <w:r>
              <w:rPr>
                <w:rFonts w:ascii="Times New Roman" w:eastAsia="Times New Roman" w:hAnsi="Times New Roman" w:cs="Times New Roman"/>
                <w:color w:val="000000"/>
                <w:kern w:val="0"/>
                <w:sz w:val="20"/>
                <w:szCs w:val="20"/>
                <w:lang w:eastAsia="pt-BR"/>
                <w14:ligatures w14:val="none"/>
              </w:rPr>
              <w:t>io Grande do Sul</w:t>
            </w:r>
            <w:r w:rsidR="00497652">
              <w:rPr>
                <w:rFonts w:ascii="Times New Roman" w:eastAsia="Times New Roman" w:hAnsi="Times New Roman" w:cs="Times New Roman"/>
                <w:color w:val="000000"/>
                <w:kern w:val="0"/>
                <w:sz w:val="20"/>
                <w:szCs w:val="20"/>
                <w:lang w:eastAsia="pt-BR"/>
                <w14:ligatures w14:val="none"/>
              </w:rPr>
              <w:t xml:space="preserve"> (RS)</w:t>
            </w:r>
          </w:p>
        </w:tc>
        <w:tc>
          <w:tcPr>
            <w:tcW w:w="2126" w:type="dxa"/>
            <w:tcBorders>
              <w:top w:val="nil"/>
              <w:left w:val="nil"/>
              <w:bottom w:val="nil"/>
              <w:right w:val="nil"/>
            </w:tcBorders>
            <w:shd w:val="clear" w:color="auto" w:fill="auto"/>
            <w:noWrap/>
            <w:vAlign w:val="center"/>
            <w:hideMark/>
          </w:tcPr>
          <w:p w14:paraId="39C85563" w14:textId="2B8003B0"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R$ 57.039.164.236,81</w:t>
            </w:r>
          </w:p>
        </w:tc>
        <w:tc>
          <w:tcPr>
            <w:tcW w:w="654" w:type="dxa"/>
            <w:tcBorders>
              <w:top w:val="nil"/>
              <w:left w:val="nil"/>
              <w:bottom w:val="nil"/>
              <w:right w:val="nil"/>
            </w:tcBorders>
            <w:shd w:val="clear" w:color="auto" w:fill="auto"/>
            <w:noWrap/>
            <w:vAlign w:val="center"/>
            <w:hideMark/>
          </w:tcPr>
          <w:p w14:paraId="5580821E" w14:textId="762DAEF9"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10871176</w:t>
            </w:r>
          </w:p>
        </w:tc>
        <w:tc>
          <w:tcPr>
            <w:tcW w:w="1680" w:type="dxa"/>
            <w:tcBorders>
              <w:top w:val="nil"/>
              <w:left w:val="nil"/>
              <w:bottom w:val="nil"/>
              <w:right w:val="nil"/>
            </w:tcBorders>
            <w:vAlign w:val="center"/>
          </w:tcPr>
          <w:p w14:paraId="4BAB2A9A" w14:textId="2FD9482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R$ 7.755,28</w:t>
            </w:r>
          </w:p>
        </w:tc>
        <w:tc>
          <w:tcPr>
            <w:tcW w:w="1245" w:type="dxa"/>
            <w:tcBorders>
              <w:top w:val="nil"/>
              <w:left w:val="nil"/>
              <w:bottom w:val="nil"/>
              <w:right w:val="nil"/>
            </w:tcBorders>
            <w:vAlign w:val="center"/>
          </w:tcPr>
          <w:p w14:paraId="6D3D9487" w14:textId="5291E4D8"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493</w:t>
            </w:r>
          </w:p>
        </w:tc>
        <w:tc>
          <w:tcPr>
            <w:tcW w:w="1241" w:type="dxa"/>
            <w:tcBorders>
              <w:top w:val="nil"/>
              <w:left w:val="nil"/>
              <w:bottom w:val="nil"/>
              <w:right w:val="nil"/>
            </w:tcBorders>
            <w:vAlign w:val="center"/>
          </w:tcPr>
          <w:p w14:paraId="1BB65870" w14:textId="5709609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99,2%</w:t>
            </w:r>
          </w:p>
        </w:tc>
      </w:tr>
      <w:tr w:rsidR="00497652" w:rsidRPr="00DE28A4" w14:paraId="3B721221" w14:textId="3D6B767D" w:rsidTr="00497652">
        <w:trPr>
          <w:trHeight w:val="300"/>
          <w:jc w:val="center"/>
        </w:trPr>
        <w:tc>
          <w:tcPr>
            <w:tcW w:w="2552" w:type="dxa"/>
            <w:tcBorders>
              <w:top w:val="nil"/>
              <w:left w:val="nil"/>
              <w:bottom w:val="nil"/>
              <w:right w:val="nil"/>
            </w:tcBorders>
            <w:shd w:val="clear" w:color="auto" w:fill="auto"/>
            <w:noWrap/>
            <w:vAlign w:val="center"/>
            <w:hideMark/>
          </w:tcPr>
          <w:p w14:paraId="0477420D" w14:textId="35A90156" w:rsidR="00EC7090" w:rsidRPr="009F6D99" w:rsidRDefault="00EC7090" w:rsidP="00EC709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9F6D99">
              <w:rPr>
                <w:rFonts w:ascii="Times New Roman" w:eastAsia="Times New Roman" w:hAnsi="Times New Roman" w:cs="Times New Roman"/>
                <w:color w:val="000000"/>
                <w:kern w:val="0"/>
                <w:sz w:val="20"/>
                <w:szCs w:val="20"/>
                <w:lang w:eastAsia="pt-BR"/>
                <w14:ligatures w14:val="none"/>
              </w:rPr>
              <w:t>S</w:t>
            </w:r>
            <w:r>
              <w:rPr>
                <w:rFonts w:ascii="Times New Roman" w:eastAsia="Times New Roman" w:hAnsi="Times New Roman" w:cs="Times New Roman"/>
                <w:color w:val="000000"/>
                <w:kern w:val="0"/>
                <w:sz w:val="20"/>
                <w:szCs w:val="20"/>
                <w:lang w:eastAsia="pt-BR"/>
                <w14:ligatures w14:val="none"/>
              </w:rPr>
              <w:t>anta Catarina</w:t>
            </w:r>
            <w:r w:rsidR="00497652">
              <w:rPr>
                <w:rFonts w:ascii="Times New Roman" w:eastAsia="Times New Roman" w:hAnsi="Times New Roman" w:cs="Times New Roman"/>
                <w:color w:val="000000"/>
                <w:kern w:val="0"/>
                <w:sz w:val="20"/>
                <w:szCs w:val="20"/>
                <w:lang w:eastAsia="pt-BR"/>
                <w14:ligatures w14:val="none"/>
              </w:rPr>
              <w:t xml:space="preserve"> (SC)</w:t>
            </w:r>
          </w:p>
        </w:tc>
        <w:tc>
          <w:tcPr>
            <w:tcW w:w="2126" w:type="dxa"/>
            <w:tcBorders>
              <w:top w:val="nil"/>
              <w:left w:val="nil"/>
              <w:bottom w:val="nil"/>
              <w:right w:val="nil"/>
            </w:tcBorders>
            <w:shd w:val="clear" w:color="auto" w:fill="auto"/>
            <w:noWrap/>
            <w:vAlign w:val="center"/>
            <w:hideMark/>
          </w:tcPr>
          <w:p w14:paraId="6E2D97E1" w14:textId="585067DB"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R$ 41.998.932.089,76</w:t>
            </w:r>
          </w:p>
        </w:tc>
        <w:tc>
          <w:tcPr>
            <w:tcW w:w="654" w:type="dxa"/>
            <w:tcBorders>
              <w:top w:val="nil"/>
              <w:left w:val="nil"/>
              <w:bottom w:val="nil"/>
              <w:right w:val="nil"/>
            </w:tcBorders>
            <w:shd w:val="clear" w:color="auto" w:fill="auto"/>
            <w:noWrap/>
            <w:vAlign w:val="center"/>
            <w:hideMark/>
          </w:tcPr>
          <w:p w14:paraId="6628848D" w14:textId="46F1D1FA"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sz w:val="20"/>
                <w:szCs w:val="20"/>
              </w:rPr>
              <w:t>7422136</w:t>
            </w:r>
          </w:p>
        </w:tc>
        <w:tc>
          <w:tcPr>
            <w:tcW w:w="1680" w:type="dxa"/>
            <w:tcBorders>
              <w:top w:val="nil"/>
              <w:left w:val="nil"/>
              <w:bottom w:val="nil"/>
              <w:right w:val="nil"/>
            </w:tcBorders>
            <w:vAlign w:val="center"/>
          </w:tcPr>
          <w:p w14:paraId="6BA64E5A" w14:textId="4DFC1BD4"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R$ 7.601,83</w:t>
            </w:r>
          </w:p>
        </w:tc>
        <w:tc>
          <w:tcPr>
            <w:tcW w:w="1245" w:type="dxa"/>
            <w:tcBorders>
              <w:top w:val="nil"/>
              <w:left w:val="nil"/>
              <w:bottom w:val="nil"/>
              <w:right w:val="nil"/>
            </w:tcBorders>
            <w:vAlign w:val="center"/>
          </w:tcPr>
          <w:p w14:paraId="0C096B54" w14:textId="4AA64706"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282</w:t>
            </w:r>
          </w:p>
        </w:tc>
        <w:tc>
          <w:tcPr>
            <w:tcW w:w="1241" w:type="dxa"/>
            <w:tcBorders>
              <w:top w:val="nil"/>
              <w:left w:val="nil"/>
              <w:bottom w:val="nil"/>
              <w:right w:val="nil"/>
            </w:tcBorders>
            <w:vAlign w:val="center"/>
          </w:tcPr>
          <w:p w14:paraId="5EAD5CEB" w14:textId="5159F26D"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95,6%</w:t>
            </w:r>
          </w:p>
        </w:tc>
      </w:tr>
      <w:tr w:rsidR="00EC7090" w:rsidRPr="00DE28A4" w14:paraId="0791A374" w14:textId="3BD29676" w:rsidTr="00497652">
        <w:trPr>
          <w:trHeight w:val="300"/>
          <w:jc w:val="center"/>
        </w:trPr>
        <w:tc>
          <w:tcPr>
            <w:tcW w:w="2552" w:type="dxa"/>
            <w:tcBorders>
              <w:top w:val="single" w:sz="4" w:space="0" w:color="95B3D7"/>
              <w:left w:val="nil"/>
              <w:bottom w:val="nil"/>
              <w:right w:val="nil"/>
            </w:tcBorders>
            <w:shd w:val="clear" w:color="DCE6F1" w:fill="DCE6F1"/>
            <w:noWrap/>
            <w:vAlign w:val="center"/>
            <w:hideMark/>
          </w:tcPr>
          <w:p w14:paraId="222E4DF6" w14:textId="0AF0E600" w:rsidR="00EC7090" w:rsidRPr="009F6D99" w:rsidRDefault="00497652" w:rsidP="00EC7090">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Brasil</w:t>
            </w:r>
          </w:p>
        </w:tc>
        <w:tc>
          <w:tcPr>
            <w:tcW w:w="2126" w:type="dxa"/>
            <w:tcBorders>
              <w:top w:val="single" w:sz="4" w:space="0" w:color="95B3D7"/>
              <w:left w:val="nil"/>
              <w:bottom w:val="nil"/>
              <w:right w:val="nil"/>
            </w:tcBorders>
            <w:shd w:val="clear" w:color="DCE6F1" w:fill="DCE6F1"/>
            <w:noWrap/>
            <w:vAlign w:val="center"/>
            <w:hideMark/>
          </w:tcPr>
          <w:p w14:paraId="6571A544" w14:textId="1CF8D6BA" w:rsidR="00EC7090" w:rsidRPr="00497652" w:rsidRDefault="00EC7090" w:rsidP="00497652">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97652">
              <w:rPr>
                <w:rFonts w:ascii="Times New Roman" w:hAnsi="Times New Roman" w:cs="Times New Roman"/>
                <w:sz w:val="20"/>
                <w:szCs w:val="20"/>
              </w:rPr>
              <w:t>R$ 982.207.952.087,93</w:t>
            </w:r>
          </w:p>
        </w:tc>
        <w:tc>
          <w:tcPr>
            <w:tcW w:w="654" w:type="dxa"/>
            <w:tcBorders>
              <w:top w:val="single" w:sz="4" w:space="0" w:color="95B3D7"/>
              <w:left w:val="nil"/>
              <w:bottom w:val="nil"/>
              <w:right w:val="nil"/>
            </w:tcBorders>
            <w:shd w:val="clear" w:color="DCE6F1" w:fill="DCE6F1"/>
            <w:noWrap/>
            <w:vAlign w:val="center"/>
            <w:hideMark/>
          </w:tcPr>
          <w:p w14:paraId="53DE05CE" w14:textId="1C860471" w:rsidR="00EC7090" w:rsidRPr="00497652" w:rsidRDefault="00EC7090" w:rsidP="00497652">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97652">
              <w:rPr>
                <w:rFonts w:ascii="Times New Roman" w:hAnsi="Times New Roman" w:cs="Times New Roman"/>
                <w:sz w:val="20"/>
                <w:szCs w:val="20"/>
              </w:rPr>
              <w:t>196867233</w:t>
            </w:r>
          </w:p>
        </w:tc>
        <w:tc>
          <w:tcPr>
            <w:tcW w:w="1680" w:type="dxa"/>
            <w:tcBorders>
              <w:top w:val="single" w:sz="4" w:space="0" w:color="95B3D7"/>
              <w:left w:val="nil"/>
              <w:bottom w:val="nil"/>
              <w:right w:val="nil"/>
            </w:tcBorders>
            <w:shd w:val="clear" w:color="DCE6F1" w:fill="DCE6F1"/>
            <w:vAlign w:val="center"/>
          </w:tcPr>
          <w:p w14:paraId="5D23EF85" w14:textId="22CA53AF" w:rsidR="00EC7090" w:rsidRPr="00497652" w:rsidRDefault="00EC7090" w:rsidP="00497652">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R$ 6.141,51</w:t>
            </w:r>
          </w:p>
        </w:tc>
        <w:tc>
          <w:tcPr>
            <w:tcW w:w="1245" w:type="dxa"/>
            <w:tcBorders>
              <w:top w:val="single" w:sz="4" w:space="0" w:color="95B3D7"/>
              <w:left w:val="nil"/>
              <w:bottom w:val="nil"/>
              <w:right w:val="nil"/>
            </w:tcBorders>
            <w:shd w:val="clear" w:color="DCE6F1" w:fill="DCE6F1"/>
            <w:vAlign w:val="center"/>
          </w:tcPr>
          <w:p w14:paraId="7006F0AB" w14:textId="226D27A9" w:rsidR="00EC7090" w:rsidRPr="00497652" w:rsidRDefault="00EC7090" w:rsidP="00497652">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97652">
              <w:rPr>
                <w:rFonts w:ascii="Times New Roman" w:hAnsi="Times New Roman" w:cs="Times New Roman"/>
                <w:color w:val="000000"/>
                <w:sz w:val="20"/>
                <w:szCs w:val="20"/>
              </w:rPr>
              <w:t>5393</w:t>
            </w:r>
          </w:p>
        </w:tc>
        <w:tc>
          <w:tcPr>
            <w:tcW w:w="1241" w:type="dxa"/>
            <w:tcBorders>
              <w:top w:val="single" w:sz="4" w:space="0" w:color="95B3D7"/>
              <w:left w:val="nil"/>
              <w:bottom w:val="nil"/>
              <w:right w:val="nil"/>
            </w:tcBorders>
            <w:shd w:val="clear" w:color="DCE6F1" w:fill="DCE6F1"/>
            <w:vAlign w:val="center"/>
          </w:tcPr>
          <w:p w14:paraId="18E306B5" w14:textId="536F800A" w:rsidR="00EC7090" w:rsidRPr="00497652" w:rsidRDefault="00EC7090" w:rsidP="00497652">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97652">
              <w:rPr>
                <w:rFonts w:ascii="Times New Roman" w:hAnsi="Times New Roman" w:cs="Times New Roman"/>
                <w:color w:val="000000"/>
                <w:sz w:val="20"/>
                <w:szCs w:val="20"/>
              </w:rPr>
              <w:t>96,8%</w:t>
            </w:r>
          </w:p>
        </w:tc>
      </w:tr>
    </w:tbl>
    <w:p w14:paraId="3BCC3341" w14:textId="77777777" w:rsidR="00E10153" w:rsidRDefault="00E10153" w:rsidP="00DE28A4">
      <w:pPr>
        <w:pStyle w:val="standard"/>
        <w:spacing w:before="0" w:beforeAutospacing="0" w:after="120" w:afterAutospacing="0" w:line="360" w:lineRule="auto"/>
        <w:ind w:right="-1" w:firstLine="708"/>
        <w:jc w:val="both"/>
        <w:rPr>
          <w:rFonts w:eastAsiaTheme="minorHAnsi"/>
          <w:kern w:val="2"/>
          <w:lang w:eastAsia="en-US"/>
          <w14:ligatures w14:val="standardContextual"/>
        </w:rPr>
      </w:pPr>
    </w:p>
    <w:p w14:paraId="0B666FF0" w14:textId="52439C59" w:rsidR="008B5CC7" w:rsidRPr="008B5CC7" w:rsidRDefault="00D15E08" w:rsidP="008B5CC7">
      <w:pPr>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região</w:t>
      </w:r>
      <w:r w:rsidR="008B5CC7" w:rsidRPr="008B5CC7">
        <w:rPr>
          <w:rFonts w:ascii="Times New Roman" w:hAnsi="Times New Roman" w:cs="Times New Roman"/>
          <w:sz w:val="24"/>
          <w:szCs w:val="24"/>
        </w:rPr>
        <w:t xml:space="preserve"> Sudeste,</w:t>
      </w:r>
      <w:r>
        <w:rPr>
          <w:rFonts w:ascii="Times New Roman" w:hAnsi="Times New Roman" w:cs="Times New Roman"/>
          <w:sz w:val="24"/>
          <w:szCs w:val="24"/>
        </w:rPr>
        <w:t xml:space="preserve"> possui o maior orçamento entre as regiões,</w:t>
      </w:r>
      <w:r w:rsidR="008B5CC7" w:rsidRPr="008B5CC7">
        <w:rPr>
          <w:rFonts w:ascii="Times New Roman" w:hAnsi="Times New Roman" w:cs="Times New Roman"/>
          <w:sz w:val="24"/>
          <w:szCs w:val="24"/>
        </w:rPr>
        <w:t xml:space="preserve"> com um total de R$ </w:t>
      </w:r>
      <w:r w:rsidR="00356813" w:rsidRPr="00356813">
        <w:rPr>
          <w:rFonts w:ascii="Times New Roman" w:hAnsi="Times New Roman" w:cs="Times New Roman"/>
          <w:sz w:val="24"/>
          <w:szCs w:val="24"/>
        </w:rPr>
        <w:t>460.4</w:t>
      </w:r>
      <w:r w:rsidR="00356813">
        <w:rPr>
          <w:rFonts w:ascii="Times New Roman" w:hAnsi="Times New Roman" w:cs="Times New Roman"/>
          <w:sz w:val="24"/>
          <w:szCs w:val="24"/>
        </w:rPr>
        <w:t xml:space="preserve"> bilhões</w:t>
      </w:r>
      <w:r w:rsidR="008B5CC7" w:rsidRPr="008B5CC7">
        <w:rPr>
          <w:rFonts w:ascii="Times New Roman" w:hAnsi="Times New Roman" w:cs="Times New Roman"/>
          <w:sz w:val="24"/>
          <w:szCs w:val="24"/>
        </w:rPr>
        <w:t xml:space="preserve"> </w:t>
      </w:r>
      <w:r>
        <w:rPr>
          <w:rFonts w:ascii="Times New Roman" w:hAnsi="Times New Roman" w:cs="Times New Roman"/>
          <w:sz w:val="24"/>
          <w:szCs w:val="24"/>
        </w:rPr>
        <w:t>(4</w:t>
      </w:r>
      <w:r w:rsidR="00356813">
        <w:rPr>
          <w:rFonts w:ascii="Times New Roman" w:hAnsi="Times New Roman" w:cs="Times New Roman"/>
          <w:sz w:val="24"/>
          <w:szCs w:val="24"/>
        </w:rPr>
        <w:t>6,87</w:t>
      </w:r>
      <w:r>
        <w:rPr>
          <w:rFonts w:ascii="Times New Roman" w:hAnsi="Times New Roman" w:cs="Times New Roman"/>
          <w:sz w:val="24"/>
          <w:szCs w:val="24"/>
        </w:rPr>
        <w:t xml:space="preserve">%) </w:t>
      </w:r>
      <w:r w:rsidR="008B5CC7" w:rsidRPr="008B5CC7">
        <w:rPr>
          <w:rFonts w:ascii="Times New Roman" w:hAnsi="Times New Roman" w:cs="Times New Roman"/>
          <w:sz w:val="24"/>
          <w:szCs w:val="24"/>
        </w:rPr>
        <w:t>e uma população de 83.</w:t>
      </w:r>
      <w:r w:rsidR="00356813">
        <w:rPr>
          <w:rFonts w:ascii="Times New Roman" w:hAnsi="Times New Roman" w:cs="Times New Roman"/>
          <w:sz w:val="24"/>
          <w:szCs w:val="24"/>
        </w:rPr>
        <w:t>790</w:t>
      </w:r>
      <w:r w:rsidR="008B5CC7" w:rsidRPr="008B5CC7">
        <w:rPr>
          <w:rFonts w:ascii="Times New Roman" w:hAnsi="Times New Roman" w:cs="Times New Roman"/>
          <w:sz w:val="24"/>
          <w:szCs w:val="24"/>
        </w:rPr>
        <w:t>.00</w:t>
      </w:r>
      <w:r w:rsidR="00356813">
        <w:rPr>
          <w:rFonts w:ascii="Times New Roman" w:hAnsi="Times New Roman" w:cs="Times New Roman"/>
          <w:sz w:val="24"/>
          <w:szCs w:val="24"/>
        </w:rPr>
        <w:t>0</w:t>
      </w:r>
      <w:r w:rsidR="008B5CC7" w:rsidRPr="008B5CC7">
        <w:rPr>
          <w:rFonts w:ascii="Times New Roman" w:hAnsi="Times New Roman" w:cs="Times New Roman"/>
          <w:sz w:val="24"/>
          <w:szCs w:val="24"/>
        </w:rPr>
        <w:t xml:space="preserve"> habitantes</w:t>
      </w:r>
      <w:r>
        <w:rPr>
          <w:rFonts w:ascii="Times New Roman" w:hAnsi="Times New Roman" w:cs="Times New Roman"/>
          <w:sz w:val="24"/>
          <w:szCs w:val="24"/>
        </w:rPr>
        <w:t xml:space="preserve"> (4</w:t>
      </w:r>
      <w:r w:rsidR="00356813">
        <w:rPr>
          <w:rFonts w:ascii="Times New Roman" w:hAnsi="Times New Roman" w:cs="Times New Roman"/>
          <w:sz w:val="24"/>
          <w:szCs w:val="24"/>
        </w:rPr>
        <w:t>2,56</w:t>
      </w:r>
      <w:r>
        <w:rPr>
          <w:rFonts w:ascii="Times New Roman" w:hAnsi="Times New Roman" w:cs="Times New Roman"/>
          <w:sz w:val="24"/>
          <w:szCs w:val="24"/>
        </w:rPr>
        <w:t>%).</w:t>
      </w:r>
      <w:r w:rsidR="008B5CC7" w:rsidRPr="008B5CC7">
        <w:rPr>
          <w:rFonts w:ascii="Times New Roman" w:hAnsi="Times New Roman" w:cs="Times New Roman"/>
          <w:sz w:val="24"/>
          <w:szCs w:val="24"/>
        </w:rPr>
        <w:t xml:space="preserve"> </w:t>
      </w:r>
      <w:r>
        <w:rPr>
          <w:rFonts w:ascii="Times New Roman" w:hAnsi="Times New Roman" w:cs="Times New Roman"/>
          <w:sz w:val="24"/>
          <w:szCs w:val="24"/>
        </w:rPr>
        <w:t xml:space="preserve">Os estados de </w:t>
      </w:r>
      <w:r w:rsidR="008B5CC7" w:rsidRPr="008B5CC7">
        <w:rPr>
          <w:rFonts w:ascii="Times New Roman" w:hAnsi="Times New Roman" w:cs="Times New Roman"/>
          <w:sz w:val="24"/>
          <w:szCs w:val="24"/>
        </w:rPr>
        <w:t>São Paulo e Minas Gerais</w:t>
      </w:r>
      <w:r>
        <w:rPr>
          <w:rFonts w:ascii="Times New Roman" w:hAnsi="Times New Roman" w:cs="Times New Roman"/>
          <w:sz w:val="24"/>
          <w:szCs w:val="24"/>
        </w:rPr>
        <w:t xml:space="preserve"> concentram a maior parte dos municípios</w:t>
      </w:r>
      <w:r w:rsidR="000D04B0">
        <w:rPr>
          <w:rFonts w:ascii="Times New Roman" w:hAnsi="Times New Roman" w:cs="Times New Roman"/>
          <w:sz w:val="24"/>
          <w:szCs w:val="24"/>
        </w:rPr>
        <w:t xml:space="preserve">, orçamento e população entre os estados brasileiros, sendo que os dois estados juntos representam </w:t>
      </w:r>
      <w:r w:rsidR="00356813">
        <w:rPr>
          <w:rFonts w:ascii="Times New Roman" w:hAnsi="Times New Roman" w:cs="Times New Roman"/>
          <w:sz w:val="24"/>
          <w:szCs w:val="24"/>
        </w:rPr>
        <w:t xml:space="preserve">aproximadamente </w:t>
      </w:r>
      <w:r w:rsidR="000D04B0">
        <w:rPr>
          <w:rFonts w:ascii="Times New Roman" w:hAnsi="Times New Roman" w:cs="Times New Roman"/>
          <w:sz w:val="24"/>
          <w:szCs w:val="24"/>
        </w:rPr>
        <w:t>27% dos municípios analisados</w:t>
      </w:r>
      <w:r w:rsidR="008B5CC7" w:rsidRPr="008B5CC7">
        <w:rPr>
          <w:rFonts w:ascii="Times New Roman" w:hAnsi="Times New Roman" w:cs="Times New Roman"/>
          <w:sz w:val="24"/>
          <w:szCs w:val="24"/>
        </w:rPr>
        <w:t>.</w:t>
      </w:r>
      <w:r w:rsidRPr="00D15E08">
        <w:rPr>
          <w:rFonts w:ascii="Times New Roman" w:hAnsi="Times New Roman" w:cs="Times New Roman"/>
          <w:sz w:val="24"/>
          <w:szCs w:val="24"/>
        </w:rPr>
        <w:t xml:space="preserve"> </w:t>
      </w:r>
      <w:r w:rsidR="00B95144">
        <w:rPr>
          <w:rFonts w:ascii="Times New Roman" w:hAnsi="Times New Roman" w:cs="Times New Roman"/>
          <w:sz w:val="24"/>
          <w:szCs w:val="24"/>
        </w:rPr>
        <w:t xml:space="preserve">Na sequência, o segundo maior orçamento </w:t>
      </w:r>
      <w:r w:rsidR="00925B3E">
        <w:rPr>
          <w:rFonts w:ascii="Times New Roman" w:hAnsi="Times New Roman" w:cs="Times New Roman"/>
          <w:sz w:val="24"/>
          <w:szCs w:val="24"/>
        </w:rPr>
        <w:t>fica com a</w:t>
      </w:r>
      <w:r w:rsidRPr="008B5CC7">
        <w:rPr>
          <w:rFonts w:ascii="Times New Roman" w:hAnsi="Times New Roman" w:cs="Times New Roman"/>
          <w:sz w:val="24"/>
          <w:szCs w:val="24"/>
        </w:rPr>
        <w:t xml:space="preserve"> região Nordeste</w:t>
      </w:r>
      <w:r w:rsidR="004F668C">
        <w:rPr>
          <w:rFonts w:ascii="Times New Roman" w:hAnsi="Times New Roman" w:cs="Times New Roman"/>
          <w:sz w:val="24"/>
          <w:szCs w:val="24"/>
        </w:rPr>
        <w:t>,</w:t>
      </w:r>
      <w:r w:rsidRPr="008B5CC7">
        <w:rPr>
          <w:rFonts w:ascii="Times New Roman" w:hAnsi="Times New Roman" w:cs="Times New Roman"/>
          <w:sz w:val="24"/>
          <w:szCs w:val="24"/>
        </w:rPr>
        <w:t xml:space="preserve"> com um orçamento total de </w:t>
      </w:r>
      <w:r>
        <w:rPr>
          <w:rFonts w:ascii="Times New Roman" w:hAnsi="Times New Roman" w:cs="Times New Roman"/>
          <w:sz w:val="24"/>
          <w:szCs w:val="24"/>
        </w:rPr>
        <w:t xml:space="preserve">mais de </w:t>
      </w:r>
      <w:r w:rsidRPr="008B5CC7">
        <w:rPr>
          <w:rFonts w:ascii="Times New Roman" w:hAnsi="Times New Roman" w:cs="Times New Roman"/>
          <w:sz w:val="24"/>
          <w:szCs w:val="24"/>
        </w:rPr>
        <w:t>R$ 222</w:t>
      </w:r>
      <w:r>
        <w:rPr>
          <w:rFonts w:ascii="Times New Roman" w:hAnsi="Times New Roman" w:cs="Times New Roman"/>
          <w:sz w:val="24"/>
          <w:szCs w:val="24"/>
        </w:rPr>
        <w:t>,</w:t>
      </w:r>
      <w:r w:rsidR="00356813">
        <w:rPr>
          <w:rFonts w:ascii="Times New Roman" w:hAnsi="Times New Roman" w:cs="Times New Roman"/>
          <w:sz w:val="24"/>
          <w:szCs w:val="24"/>
        </w:rPr>
        <w:t>1</w:t>
      </w:r>
      <w:r>
        <w:rPr>
          <w:rFonts w:ascii="Times New Roman" w:hAnsi="Times New Roman" w:cs="Times New Roman"/>
          <w:sz w:val="24"/>
          <w:szCs w:val="24"/>
        </w:rPr>
        <w:t xml:space="preserve"> </w:t>
      </w:r>
      <w:r w:rsidR="00356813">
        <w:rPr>
          <w:rFonts w:ascii="Times New Roman" w:hAnsi="Times New Roman" w:cs="Times New Roman"/>
          <w:sz w:val="24"/>
          <w:szCs w:val="24"/>
        </w:rPr>
        <w:t>b</w:t>
      </w:r>
      <w:r>
        <w:rPr>
          <w:rFonts w:ascii="Times New Roman" w:hAnsi="Times New Roman" w:cs="Times New Roman"/>
          <w:sz w:val="24"/>
          <w:szCs w:val="24"/>
        </w:rPr>
        <w:t>ilhões</w:t>
      </w:r>
      <w:r w:rsidRPr="008B5CC7">
        <w:rPr>
          <w:rFonts w:ascii="Times New Roman" w:hAnsi="Times New Roman" w:cs="Times New Roman"/>
          <w:sz w:val="24"/>
          <w:szCs w:val="24"/>
        </w:rPr>
        <w:t xml:space="preserve"> </w:t>
      </w:r>
      <w:r w:rsidR="00925B3E">
        <w:rPr>
          <w:rFonts w:ascii="Times New Roman" w:hAnsi="Times New Roman" w:cs="Times New Roman"/>
          <w:sz w:val="24"/>
          <w:szCs w:val="24"/>
        </w:rPr>
        <w:t>(22,</w:t>
      </w:r>
      <w:r w:rsidR="00356813">
        <w:rPr>
          <w:rFonts w:ascii="Times New Roman" w:hAnsi="Times New Roman" w:cs="Times New Roman"/>
          <w:sz w:val="24"/>
          <w:szCs w:val="24"/>
        </w:rPr>
        <w:t>62</w:t>
      </w:r>
      <w:r w:rsidR="00925B3E">
        <w:rPr>
          <w:rFonts w:ascii="Times New Roman" w:hAnsi="Times New Roman" w:cs="Times New Roman"/>
          <w:sz w:val="24"/>
          <w:szCs w:val="24"/>
        </w:rPr>
        <w:t xml:space="preserve">%) </w:t>
      </w:r>
      <w:r w:rsidRPr="008B5CC7">
        <w:rPr>
          <w:rFonts w:ascii="Times New Roman" w:hAnsi="Times New Roman" w:cs="Times New Roman"/>
          <w:sz w:val="24"/>
          <w:szCs w:val="24"/>
        </w:rPr>
        <w:t>e uma população de 53.</w:t>
      </w:r>
      <w:r w:rsidR="00356813">
        <w:rPr>
          <w:rFonts w:ascii="Times New Roman" w:hAnsi="Times New Roman" w:cs="Times New Roman"/>
          <w:sz w:val="24"/>
          <w:szCs w:val="24"/>
        </w:rPr>
        <w:t>630</w:t>
      </w:r>
      <w:r w:rsidRPr="008B5CC7">
        <w:rPr>
          <w:rFonts w:ascii="Times New Roman" w:hAnsi="Times New Roman" w:cs="Times New Roman"/>
          <w:sz w:val="24"/>
          <w:szCs w:val="24"/>
        </w:rPr>
        <w:t>.6</w:t>
      </w:r>
      <w:r w:rsidR="00356813">
        <w:rPr>
          <w:rFonts w:ascii="Times New Roman" w:hAnsi="Times New Roman" w:cs="Times New Roman"/>
          <w:sz w:val="24"/>
          <w:szCs w:val="24"/>
        </w:rPr>
        <w:t>06</w:t>
      </w:r>
      <w:r w:rsidRPr="008B5CC7">
        <w:rPr>
          <w:rFonts w:ascii="Times New Roman" w:hAnsi="Times New Roman" w:cs="Times New Roman"/>
          <w:sz w:val="24"/>
          <w:szCs w:val="24"/>
        </w:rPr>
        <w:t xml:space="preserve"> </w:t>
      </w:r>
      <w:r w:rsidR="00925B3E">
        <w:rPr>
          <w:rFonts w:ascii="Times New Roman" w:hAnsi="Times New Roman" w:cs="Times New Roman"/>
          <w:sz w:val="24"/>
          <w:szCs w:val="24"/>
        </w:rPr>
        <w:t>(27</w:t>
      </w:r>
      <w:r w:rsidR="00356813">
        <w:rPr>
          <w:rFonts w:ascii="Times New Roman" w:hAnsi="Times New Roman" w:cs="Times New Roman"/>
          <w:sz w:val="24"/>
          <w:szCs w:val="24"/>
        </w:rPr>
        <w:t>,2</w:t>
      </w:r>
      <w:r w:rsidR="00925B3E">
        <w:rPr>
          <w:rFonts w:ascii="Times New Roman" w:hAnsi="Times New Roman" w:cs="Times New Roman"/>
          <w:sz w:val="24"/>
          <w:szCs w:val="24"/>
        </w:rPr>
        <w:t xml:space="preserve">%) </w:t>
      </w:r>
      <w:r w:rsidRPr="008B5CC7">
        <w:rPr>
          <w:rFonts w:ascii="Times New Roman" w:hAnsi="Times New Roman" w:cs="Times New Roman"/>
          <w:sz w:val="24"/>
          <w:szCs w:val="24"/>
        </w:rPr>
        <w:t>habitantes</w:t>
      </w:r>
      <w:r w:rsidR="004F668C">
        <w:rPr>
          <w:rFonts w:ascii="Times New Roman" w:hAnsi="Times New Roman" w:cs="Times New Roman"/>
          <w:sz w:val="24"/>
          <w:szCs w:val="24"/>
        </w:rPr>
        <w:t>,</w:t>
      </w:r>
      <w:r w:rsidRPr="008B5CC7">
        <w:rPr>
          <w:rFonts w:ascii="Times New Roman" w:hAnsi="Times New Roman" w:cs="Times New Roman"/>
          <w:sz w:val="24"/>
          <w:szCs w:val="24"/>
        </w:rPr>
        <w:t xml:space="preserve"> distribuídos em 174</w:t>
      </w:r>
      <w:r w:rsidR="00356813">
        <w:rPr>
          <w:rFonts w:ascii="Times New Roman" w:hAnsi="Times New Roman" w:cs="Times New Roman"/>
          <w:sz w:val="24"/>
          <w:szCs w:val="24"/>
        </w:rPr>
        <w:t>1</w:t>
      </w:r>
      <w:r w:rsidRPr="008B5CC7">
        <w:rPr>
          <w:rFonts w:ascii="Times New Roman" w:hAnsi="Times New Roman" w:cs="Times New Roman"/>
          <w:sz w:val="24"/>
          <w:szCs w:val="24"/>
        </w:rPr>
        <w:t xml:space="preserve"> municípios</w:t>
      </w:r>
      <w:r w:rsidR="00356813">
        <w:rPr>
          <w:rFonts w:ascii="Times New Roman" w:hAnsi="Times New Roman" w:cs="Times New Roman"/>
          <w:sz w:val="24"/>
          <w:szCs w:val="24"/>
        </w:rPr>
        <w:t xml:space="preserve"> analisados</w:t>
      </w:r>
      <w:r w:rsidRPr="008B5CC7">
        <w:rPr>
          <w:rFonts w:ascii="Times New Roman" w:hAnsi="Times New Roman" w:cs="Times New Roman"/>
          <w:sz w:val="24"/>
          <w:szCs w:val="24"/>
        </w:rPr>
        <w:t>.</w:t>
      </w:r>
    </w:p>
    <w:p w14:paraId="2658FA00" w14:textId="79094FCC" w:rsidR="008B5CC7" w:rsidRDefault="00925B3E" w:rsidP="004F668C">
      <w:pPr>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terceira região com maior orçamento municipal é a Sul, com </w:t>
      </w:r>
      <w:r w:rsidRPr="008B5CC7">
        <w:rPr>
          <w:rFonts w:ascii="Times New Roman" w:hAnsi="Times New Roman" w:cs="Times New Roman"/>
          <w:sz w:val="24"/>
          <w:szCs w:val="24"/>
        </w:rPr>
        <w:t>um orçamento total de R$ 156</w:t>
      </w:r>
      <w:r w:rsidR="004F668C">
        <w:rPr>
          <w:rFonts w:ascii="Times New Roman" w:hAnsi="Times New Roman" w:cs="Times New Roman"/>
          <w:sz w:val="24"/>
          <w:szCs w:val="24"/>
        </w:rPr>
        <w:t>,</w:t>
      </w:r>
      <w:r w:rsidRPr="008B5CC7">
        <w:rPr>
          <w:rFonts w:ascii="Times New Roman" w:hAnsi="Times New Roman" w:cs="Times New Roman"/>
          <w:sz w:val="24"/>
          <w:szCs w:val="24"/>
        </w:rPr>
        <w:t>5</w:t>
      </w:r>
      <w:r>
        <w:rPr>
          <w:rFonts w:ascii="Times New Roman" w:hAnsi="Times New Roman" w:cs="Times New Roman"/>
          <w:sz w:val="24"/>
          <w:szCs w:val="24"/>
        </w:rPr>
        <w:t xml:space="preserve"> </w:t>
      </w:r>
      <w:r w:rsidR="00497652">
        <w:rPr>
          <w:rFonts w:ascii="Times New Roman" w:hAnsi="Times New Roman" w:cs="Times New Roman"/>
          <w:sz w:val="24"/>
          <w:szCs w:val="24"/>
        </w:rPr>
        <w:t>b</w:t>
      </w:r>
      <w:r>
        <w:rPr>
          <w:rFonts w:ascii="Times New Roman" w:hAnsi="Times New Roman" w:cs="Times New Roman"/>
          <w:sz w:val="24"/>
          <w:szCs w:val="24"/>
        </w:rPr>
        <w:t>ilhões (15,</w:t>
      </w:r>
      <w:r w:rsidR="00356813">
        <w:rPr>
          <w:rFonts w:ascii="Times New Roman" w:hAnsi="Times New Roman" w:cs="Times New Roman"/>
          <w:sz w:val="24"/>
          <w:szCs w:val="24"/>
        </w:rPr>
        <w:t>94</w:t>
      </w:r>
      <w:r>
        <w:rPr>
          <w:rFonts w:ascii="Times New Roman" w:hAnsi="Times New Roman" w:cs="Times New Roman"/>
          <w:sz w:val="24"/>
          <w:szCs w:val="24"/>
        </w:rPr>
        <w:t xml:space="preserve">%) </w:t>
      </w:r>
      <w:r w:rsidRPr="008B5CC7">
        <w:rPr>
          <w:rFonts w:ascii="Times New Roman" w:hAnsi="Times New Roman" w:cs="Times New Roman"/>
          <w:sz w:val="24"/>
          <w:szCs w:val="24"/>
        </w:rPr>
        <w:t>e uma população de 29.52</w:t>
      </w:r>
      <w:r w:rsidR="00356813">
        <w:rPr>
          <w:rFonts w:ascii="Times New Roman" w:hAnsi="Times New Roman" w:cs="Times New Roman"/>
          <w:sz w:val="24"/>
          <w:szCs w:val="24"/>
        </w:rPr>
        <w:t>4</w:t>
      </w:r>
      <w:r w:rsidRPr="008B5CC7">
        <w:rPr>
          <w:rFonts w:ascii="Times New Roman" w:hAnsi="Times New Roman" w:cs="Times New Roman"/>
          <w:sz w:val="24"/>
          <w:szCs w:val="24"/>
        </w:rPr>
        <w:t>.</w:t>
      </w:r>
      <w:r w:rsidR="00356813">
        <w:rPr>
          <w:rFonts w:ascii="Times New Roman" w:hAnsi="Times New Roman" w:cs="Times New Roman"/>
          <w:sz w:val="24"/>
          <w:szCs w:val="24"/>
        </w:rPr>
        <w:t>651</w:t>
      </w:r>
      <w:r w:rsidRPr="008B5CC7">
        <w:rPr>
          <w:rFonts w:ascii="Times New Roman" w:hAnsi="Times New Roman" w:cs="Times New Roman"/>
          <w:sz w:val="24"/>
          <w:szCs w:val="24"/>
        </w:rPr>
        <w:t xml:space="preserve"> habitantes</w:t>
      </w:r>
      <w:r>
        <w:rPr>
          <w:rFonts w:ascii="Times New Roman" w:hAnsi="Times New Roman" w:cs="Times New Roman"/>
          <w:sz w:val="24"/>
          <w:szCs w:val="24"/>
        </w:rPr>
        <w:t xml:space="preserve"> (15</w:t>
      </w:r>
      <w:r w:rsidR="00356813">
        <w:rPr>
          <w:rFonts w:ascii="Times New Roman" w:hAnsi="Times New Roman" w:cs="Times New Roman"/>
          <w:sz w:val="24"/>
          <w:szCs w:val="24"/>
        </w:rPr>
        <w:t>,0</w:t>
      </w:r>
      <w:r>
        <w:rPr>
          <w:rFonts w:ascii="Times New Roman" w:hAnsi="Times New Roman" w:cs="Times New Roman"/>
          <w:sz w:val="24"/>
          <w:szCs w:val="24"/>
        </w:rPr>
        <w:t>%)</w:t>
      </w:r>
      <w:r w:rsidRPr="008B5CC7">
        <w:rPr>
          <w:rFonts w:ascii="Times New Roman" w:hAnsi="Times New Roman" w:cs="Times New Roman"/>
          <w:sz w:val="24"/>
          <w:szCs w:val="24"/>
        </w:rPr>
        <w:t>, caracterizando-se por uma distribuição mais equitativa de recursos entre seus estados.</w:t>
      </w:r>
      <w:r>
        <w:rPr>
          <w:rFonts w:ascii="Times New Roman" w:hAnsi="Times New Roman" w:cs="Times New Roman"/>
          <w:sz w:val="24"/>
          <w:szCs w:val="24"/>
        </w:rPr>
        <w:t xml:space="preserve"> Na região Sul foram analisados 115</w:t>
      </w:r>
      <w:r w:rsidR="00356813">
        <w:rPr>
          <w:rFonts w:ascii="Times New Roman" w:hAnsi="Times New Roman" w:cs="Times New Roman"/>
          <w:sz w:val="24"/>
          <w:szCs w:val="24"/>
        </w:rPr>
        <w:t>1</w:t>
      </w:r>
      <w:r>
        <w:rPr>
          <w:rFonts w:ascii="Times New Roman" w:hAnsi="Times New Roman" w:cs="Times New Roman"/>
          <w:sz w:val="24"/>
          <w:szCs w:val="24"/>
        </w:rPr>
        <w:t xml:space="preserve"> municípios. A</w:t>
      </w:r>
      <w:r w:rsidR="008B5CC7" w:rsidRPr="008B5CC7">
        <w:rPr>
          <w:rFonts w:ascii="Times New Roman" w:hAnsi="Times New Roman" w:cs="Times New Roman"/>
          <w:sz w:val="24"/>
          <w:szCs w:val="24"/>
        </w:rPr>
        <w:t xml:space="preserve"> </w:t>
      </w:r>
      <w:r>
        <w:rPr>
          <w:rFonts w:ascii="Times New Roman" w:hAnsi="Times New Roman" w:cs="Times New Roman"/>
          <w:sz w:val="24"/>
          <w:szCs w:val="24"/>
        </w:rPr>
        <w:t xml:space="preserve">quarta maior região em termos de orçamento é a </w:t>
      </w:r>
      <w:r w:rsidR="008B5CC7" w:rsidRPr="008B5CC7">
        <w:rPr>
          <w:rFonts w:ascii="Times New Roman" w:hAnsi="Times New Roman" w:cs="Times New Roman"/>
          <w:sz w:val="24"/>
          <w:szCs w:val="24"/>
        </w:rPr>
        <w:t>região Norte</w:t>
      </w:r>
      <w:r>
        <w:rPr>
          <w:rFonts w:ascii="Times New Roman" w:hAnsi="Times New Roman" w:cs="Times New Roman"/>
          <w:sz w:val="24"/>
          <w:szCs w:val="24"/>
        </w:rPr>
        <w:t>, com um</w:t>
      </w:r>
      <w:r w:rsidR="008B5CC7" w:rsidRPr="008B5CC7">
        <w:rPr>
          <w:rFonts w:ascii="Times New Roman" w:hAnsi="Times New Roman" w:cs="Times New Roman"/>
          <w:sz w:val="24"/>
          <w:szCs w:val="24"/>
        </w:rPr>
        <w:t xml:space="preserve"> orçamento total de R$ 75</w:t>
      </w:r>
      <w:r>
        <w:rPr>
          <w:rFonts w:ascii="Times New Roman" w:hAnsi="Times New Roman" w:cs="Times New Roman"/>
          <w:sz w:val="24"/>
          <w:szCs w:val="24"/>
        </w:rPr>
        <w:t xml:space="preserve">,5 </w:t>
      </w:r>
      <w:r w:rsidR="00497652">
        <w:rPr>
          <w:rFonts w:ascii="Times New Roman" w:hAnsi="Times New Roman" w:cs="Times New Roman"/>
          <w:sz w:val="24"/>
          <w:szCs w:val="24"/>
        </w:rPr>
        <w:t>b</w:t>
      </w:r>
      <w:r>
        <w:rPr>
          <w:rFonts w:ascii="Times New Roman" w:hAnsi="Times New Roman" w:cs="Times New Roman"/>
          <w:sz w:val="24"/>
          <w:szCs w:val="24"/>
        </w:rPr>
        <w:t>ilhões</w:t>
      </w:r>
      <w:r w:rsidR="008B5CC7" w:rsidRPr="008B5CC7">
        <w:rPr>
          <w:rFonts w:ascii="Times New Roman" w:hAnsi="Times New Roman" w:cs="Times New Roman"/>
          <w:sz w:val="24"/>
          <w:szCs w:val="24"/>
        </w:rPr>
        <w:t xml:space="preserve"> </w:t>
      </w:r>
      <w:r>
        <w:rPr>
          <w:rFonts w:ascii="Times New Roman" w:hAnsi="Times New Roman" w:cs="Times New Roman"/>
          <w:sz w:val="24"/>
          <w:szCs w:val="24"/>
        </w:rPr>
        <w:t>(7,</w:t>
      </w:r>
      <w:r w:rsidR="00356813">
        <w:rPr>
          <w:rFonts w:ascii="Times New Roman" w:hAnsi="Times New Roman" w:cs="Times New Roman"/>
          <w:sz w:val="24"/>
          <w:szCs w:val="24"/>
        </w:rPr>
        <w:t>7</w:t>
      </w:r>
      <w:r>
        <w:rPr>
          <w:rFonts w:ascii="Times New Roman" w:hAnsi="Times New Roman" w:cs="Times New Roman"/>
          <w:sz w:val="24"/>
          <w:szCs w:val="24"/>
        </w:rPr>
        <w:t xml:space="preserve"> %) </w:t>
      </w:r>
      <w:r w:rsidR="008B5CC7" w:rsidRPr="008B5CC7">
        <w:rPr>
          <w:rFonts w:ascii="Times New Roman" w:hAnsi="Times New Roman" w:cs="Times New Roman"/>
          <w:sz w:val="24"/>
          <w:szCs w:val="24"/>
        </w:rPr>
        <w:t>e uma população</w:t>
      </w:r>
      <w:r>
        <w:rPr>
          <w:rFonts w:ascii="Times New Roman" w:hAnsi="Times New Roman" w:cs="Times New Roman"/>
          <w:sz w:val="24"/>
          <w:szCs w:val="24"/>
        </w:rPr>
        <w:t xml:space="preserve"> estimada em</w:t>
      </w:r>
      <w:r w:rsidR="008B5CC7" w:rsidRPr="008B5CC7">
        <w:rPr>
          <w:rFonts w:ascii="Times New Roman" w:hAnsi="Times New Roman" w:cs="Times New Roman"/>
          <w:sz w:val="24"/>
          <w:szCs w:val="24"/>
        </w:rPr>
        <w:t xml:space="preserve"> 16.</w:t>
      </w:r>
      <w:r w:rsidR="00356813">
        <w:rPr>
          <w:rFonts w:ascii="Times New Roman" w:hAnsi="Times New Roman" w:cs="Times New Roman"/>
          <w:sz w:val="24"/>
          <w:szCs w:val="24"/>
        </w:rPr>
        <w:t>935.662</w:t>
      </w:r>
      <w:r w:rsidR="008B5CC7" w:rsidRPr="008B5CC7">
        <w:rPr>
          <w:rFonts w:ascii="Times New Roman" w:hAnsi="Times New Roman" w:cs="Times New Roman"/>
          <w:sz w:val="24"/>
          <w:szCs w:val="24"/>
        </w:rPr>
        <w:t xml:space="preserve"> habitantes</w:t>
      </w:r>
      <w:r>
        <w:rPr>
          <w:rFonts w:ascii="Times New Roman" w:hAnsi="Times New Roman" w:cs="Times New Roman"/>
          <w:sz w:val="24"/>
          <w:szCs w:val="24"/>
        </w:rPr>
        <w:t xml:space="preserve"> (8,6%)</w:t>
      </w:r>
      <w:r w:rsidR="008B5CC7" w:rsidRPr="008B5CC7">
        <w:rPr>
          <w:rFonts w:ascii="Times New Roman" w:hAnsi="Times New Roman" w:cs="Times New Roman"/>
          <w:sz w:val="24"/>
          <w:szCs w:val="24"/>
        </w:rPr>
        <w:t xml:space="preserve">, </w:t>
      </w:r>
      <w:r w:rsidR="004F668C">
        <w:rPr>
          <w:rFonts w:ascii="Times New Roman" w:hAnsi="Times New Roman" w:cs="Times New Roman"/>
          <w:sz w:val="24"/>
          <w:szCs w:val="24"/>
        </w:rPr>
        <w:t>apesar das grandes dimensões territoriais, representadas principalmente p</w:t>
      </w:r>
      <w:r w:rsidR="00356813">
        <w:rPr>
          <w:rFonts w:ascii="Times New Roman" w:hAnsi="Times New Roman" w:cs="Times New Roman"/>
          <w:sz w:val="24"/>
          <w:szCs w:val="24"/>
        </w:rPr>
        <w:t>elos estados do</w:t>
      </w:r>
      <w:r w:rsidR="004F668C">
        <w:rPr>
          <w:rFonts w:ascii="Times New Roman" w:hAnsi="Times New Roman" w:cs="Times New Roman"/>
          <w:sz w:val="24"/>
          <w:szCs w:val="24"/>
        </w:rPr>
        <w:t xml:space="preserve"> Amazonas e Pará, é a região com o menor número de municípios analisados (4</w:t>
      </w:r>
      <w:r w:rsidR="00356813">
        <w:rPr>
          <w:rFonts w:ascii="Times New Roman" w:hAnsi="Times New Roman" w:cs="Times New Roman"/>
          <w:sz w:val="24"/>
          <w:szCs w:val="24"/>
        </w:rPr>
        <w:t>27</w:t>
      </w:r>
      <w:r w:rsidR="004F668C">
        <w:rPr>
          <w:rFonts w:ascii="Times New Roman" w:hAnsi="Times New Roman" w:cs="Times New Roman"/>
          <w:sz w:val="24"/>
          <w:szCs w:val="24"/>
        </w:rPr>
        <w:t>), com aproximadamente 8% do total de municípios</w:t>
      </w:r>
      <w:r w:rsidR="008B5CC7" w:rsidRPr="008B5CC7">
        <w:rPr>
          <w:rFonts w:ascii="Times New Roman" w:hAnsi="Times New Roman" w:cs="Times New Roman"/>
          <w:sz w:val="24"/>
          <w:szCs w:val="24"/>
        </w:rPr>
        <w:t xml:space="preserve">. </w:t>
      </w:r>
      <w:r w:rsidR="004F668C">
        <w:rPr>
          <w:rFonts w:ascii="Times New Roman" w:hAnsi="Times New Roman" w:cs="Times New Roman"/>
          <w:sz w:val="24"/>
          <w:szCs w:val="24"/>
        </w:rPr>
        <w:t>Na quinta posição aparece a região</w:t>
      </w:r>
      <w:r w:rsidR="008B5CC7" w:rsidRPr="008B5CC7">
        <w:rPr>
          <w:rFonts w:ascii="Times New Roman" w:hAnsi="Times New Roman" w:cs="Times New Roman"/>
          <w:sz w:val="24"/>
          <w:szCs w:val="24"/>
        </w:rPr>
        <w:t xml:space="preserve"> Centro-Oeste</w:t>
      </w:r>
      <w:r w:rsidR="004F668C">
        <w:rPr>
          <w:rFonts w:ascii="Times New Roman" w:hAnsi="Times New Roman" w:cs="Times New Roman"/>
          <w:sz w:val="24"/>
          <w:szCs w:val="24"/>
        </w:rPr>
        <w:t>,</w:t>
      </w:r>
      <w:r w:rsidR="008B5CC7" w:rsidRPr="008B5CC7">
        <w:rPr>
          <w:rFonts w:ascii="Times New Roman" w:hAnsi="Times New Roman" w:cs="Times New Roman"/>
          <w:sz w:val="24"/>
          <w:szCs w:val="24"/>
        </w:rPr>
        <w:t xml:space="preserve"> </w:t>
      </w:r>
      <w:r w:rsidR="004F668C">
        <w:rPr>
          <w:rFonts w:ascii="Times New Roman" w:hAnsi="Times New Roman" w:cs="Times New Roman"/>
          <w:sz w:val="24"/>
          <w:szCs w:val="24"/>
        </w:rPr>
        <w:t>com</w:t>
      </w:r>
      <w:r w:rsidR="008B5CC7" w:rsidRPr="008B5CC7">
        <w:rPr>
          <w:rFonts w:ascii="Times New Roman" w:hAnsi="Times New Roman" w:cs="Times New Roman"/>
          <w:sz w:val="24"/>
          <w:szCs w:val="24"/>
        </w:rPr>
        <w:t xml:space="preserve"> um orçamento total de </w:t>
      </w:r>
      <w:r w:rsidR="004F668C">
        <w:rPr>
          <w:rFonts w:ascii="Times New Roman" w:hAnsi="Times New Roman" w:cs="Times New Roman"/>
          <w:sz w:val="24"/>
          <w:szCs w:val="24"/>
        </w:rPr>
        <w:t xml:space="preserve">aproximadamente </w:t>
      </w:r>
      <w:r w:rsidR="008B5CC7" w:rsidRPr="008B5CC7">
        <w:rPr>
          <w:rFonts w:ascii="Times New Roman" w:hAnsi="Times New Roman" w:cs="Times New Roman"/>
          <w:sz w:val="24"/>
          <w:szCs w:val="24"/>
        </w:rPr>
        <w:t xml:space="preserve">R$ </w:t>
      </w:r>
      <w:r w:rsidR="00356813">
        <w:rPr>
          <w:rFonts w:ascii="Times New Roman" w:hAnsi="Times New Roman" w:cs="Times New Roman"/>
          <w:sz w:val="24"/>
          <w:szCs w:val="24"/>
        </w:rPr>
        <w:t>67,6</w:t>
      </w:r>
      <w:r w:rsidR="004F668C">
        <w:rPr>
          <w:rFonts w:ascii="Times New Roman" w:hAnsi="Times New Roman" w:cs="Times New Roman"/>
          <w:sz w:val="24"/>
          <w:szCs w:val="24"/>
        </w:rPr>
        <w:t xml:space="preserve"> </w:t>
      </w:r>
      <w:r w:rsidR="00356813">
        <w:rPr>
          <w:rFonts w:ascii="Times New Roman" w:hAnsi="Times New Roman" w:cs="Times New Roman"/>
          <w:sz w:val="24"/>
          <w:szCs w:val="24"/>
        </w:rPr>
        <w:t>b</w:t>
      </w:r>
      <w:r w:rsidR="004F668C">
        <w:rPr>
          <w:rFonts w:ascii="Times New Roman" w:hAnsi="Times New Roman" w:cs="Times New Roman"/>
          <w:sz w:val="24"/>
          <w:szCs w:val="24"/>
        </w:rPr>
        <w:t>ilhões (6,</w:t>
      </w:r>
      <w:r w:rsidR="00356813">
        <w:rPr>
          <w:rFonts w:ascii="Times New Roman" w:hAnsi="Times New Roman" w:cs="Times New Roman"/>
          <w:sz w:val="24"/>
          <w:szCs w:val="24"/>
        </w:rPr>
        <w:t>9</w:t>
      </w:r>
      <w:r w:rsidR="004F668C">
        <w:rPr>
          <w:rFonts w:ascii="Times New Roman" w:hAnsi="Times New Roman" w:cs="Times New Roman"/>
          <w:sz w:val="24"/>
          <w:szCs w:val="24"/>
        </w:rPr>
        <w:t xml:space="preserve">%) e </w:t>
      </w:r>
      <w:r w:rsidR="008B5CC7" w:rsidRPr="008B5CC7">
        <w:rPr>
          <w:rFonts w:ascii="Times New Roman" w:hAnsi="Times New Roman" w:cs="Times New Roman"/>
          <w:sz w:val="24"/>
          <w:szCs w:val="24"/>
        </w:rPr>
        <w:t>com</w:t>
      </w:r>
      <w:r w:rsidR="004F668C">
        <w:rPr>
          <w:rFonts w:ascii="Times New Roman" w:hAnsi="Times New Roman" w:cs="Times New Roman"/>
          <w:sz w:val="24"/>
          <w:szCs w:val="24"/>
        </w:rPr>
        <w:t xml:space="preserve"> uma população total de </w:t>
      </w:r>
      <w:r w:rsidR="00356813">
        <w:rPr>
          <w:rFonts w:ascii="Times New Roman" w:eastAsia="Times New Roman" w:hAnsi="Times New Roman" w:cs="Times New Roman"/>
          <w:color w:val="000000"/>
          <w:kern w:val="0"/>
          <w:sz w:val="24"/>
          <w:szCs w:val="24"/>
          <w:lang w:eastAsia="pt-BR"/>
          <w14:ligatures w14:val="none"/>
        </w:rPr>
        <w:t>12.986.314</w:t>
      </w:r>
      <w:r w:rsidR="008B5CC7" w:rsidRPr="008B5CC7">
        <w:rPr>
          <w:rFonts w:ascii="Times New Roman" w:hAnsi="Times New Roman" w:cs="Times New Roman"/>
          <w:sz w:val="24"/>
          <w:szCs w:val="24"/>
        </w:rPr>
        <w:t xml:space="preserve"> </w:t>
      </w:r>
      <w:r w:rsidR="004F668C">
        <w:rPr>
          <w:rFonts w:ascii="Times New Roman" w:hAnsi="Times New Roman" w:cs="Times New Roman"/>
          <w:sz w:val="24"/>
          <w:szCs w:val="24"/>
        </w:rPr>
        <w:t>habitantes (6,6%), sendo a menor região do país</w:t>
      </w:r>
      <w:r w:rsidR="00002117">
        <w:rPr>
          <w:rFonts w:ascii="Times New Roman" w:hAnsi="Times New Roman" w:cs="Times New Roman"/>
          <w:sz w:val="24"/>
          <w:szCs w:val="24"/>
        </w:rPr>
        <w:t xml:space="preserve"> em orçamento e população</w:t>
      </w:r>
      <w:r w:rsidR="004F668C">
        <w:rPr>
          <w:rFonts w:ascii="Times New Roman" w:hAnsi="Times New Roman" w:cs="Times New Roman"/>
          <w:sz w:val="24"/>
          <w:szCs w:val="24"/>
        </w:rPr>
        <w:t>.</w:t>
      </w:r>
      <w:r w:rsidR="008B5CC7" w:rsidRPr="008B5CC7">
        <w:rPr>
          <w:rFonts w:ascii="Times New Roman" w:hAnsi="Times New Roman" w:cs="Times New Roman"/>
          <w:sz w:val="24"/>
          <w:szCs w:val="24"/>
        </w:rPr>
        <w:t xml:space="preserve"> </w:t>
      </w:r>
      <w:r w:rsidR="00497652">
        <w:rPr>
          <w:rFonts w:ascii="Times New Roman" w:hAnsi="Times New Roman" w:cs="Times New Roman"/>
          <w:sz w:val="24"/>
          <w:szCs w:val="24"/>
        </w:rPr>
        <w:t>O orçamento total por município (R$ 982.2 bilhões) foi o equivalente a aproximadamente 10% do PIB brasileiro em 2022.</w:t>
      </w:r>
    </w:p>
    <w:p w14:paraId="1F9BB7BB" w14:textId="060C01C7" w:rsidR="00DE28A4" w:rsidRDefault="00204D6B" w:rsidP="00DE28A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A</w:t>
      </w:r>
      <w:r w:rsidR="00DE28A4">
        <w:rPr>
          <w:rFonts w:eastAsiaTheme="minorHAnsi"/>
          <w:kern w:val="2"/>
          <w:lang w:eastAsia="en-US"/>
          <w14:ligatures w14:val="standardContextual"/>
        </w:rPr>
        <w:t xml:space="preserve"> Tabela </w:t>
      </w:r>
      <w:proofErr w:type="gramStart"/>
      <w:r w:rsidR="00DE28A4">
        <w:rPr>
          <w:rFonts w:eastAsiaTheme="minorHAnsi"/>
          <w:kern w:val="2"/>
          <w:lang w:eastAsia="en-US"/>
          <w14:ligatures w14:val="standardContextual"/>
        </w:rPr>
        <w:t>2  apresenta</w:t>
      </w:r>
      <w:proofErr w:type="gramEnd"/>
      <w:r w:rsidR="00DE28A4">
        <w:rPr>
          <w:rFonts w:eastAsiaTheme="minorHAnsi"/>
          <w:kern w:val="2"/>
          <w:lang w:eastAsia="en-US"/>
          <w14:ligatures w14:val="standardContextual"/>
        </w:rPr>
        <w:t xml:space="preserve"> o orçamento e população por região do país, divididos segundo a Hierarquia das Cidades do IBGE.</w:t>
      </w:r>
    </w:p>
    <w:p w14:paraId="77796A4D" w14:textId="2B89F09A" w:rsidR="00E10153" w:rsidRPr="00E10153" w:rsidRDefault="00E10153" w:rsidP="00E10153">
      <w:pPr>
        <w:spacing w:after="120" w:line="360" w:lineRule="auto"/>
        <w:ind w:firstLine="709"/>
        <w:jc w:val="center"/>
        <w:rPr>
          <w:rFonts w:ascii="Times New Roman" w:hAnsi="Times New Roman" w:cs="Times New Roman"/>
          <w:sz w:val="20"/>
          <w:szCs w:val="20"/>
        </w:rPr>
      </w:pPr>
      <w:r w:rsidRPr="00E10153">
        <w:rPr>
          <w:rFonts w:ascii="Times New Roman" w:hAnsi="Times New Roman" w:cs="Times New Roman"/>
          <w:sz w:val="20"/>
          <w:szCs w:val="20"/>
        </w:rPr>
        <w:t xml:space="preserve">Tabela </w:t>
      </w:r>
      <w:r>
        <w:rPr>
          <w:rFonts w:ascii="Times New Roman" w:hAnsi="Times New Roman" w:cs="Times New Roman"/>
          <w:sz w:val="20"/>
          <w:szCs w:val="20"/>
        </w:rPr>
        <w:t>2</w:t>
      </w:r>
      <w:r w:rsidRPr="00E10153">
        <w:rPr>
          <w:rFonts w:ascii="Times New Roman" w:hAnsi="Times New Roman" w:cs="Times New Roman"/>
          <w:sz w:val="20"/>
          <w:szCs w:val="20"/>
        </w:rPr>
        <w:t xml:space="preserve"> -</w:t>
      </w:r>
      <w:r w:rsidR="008B5CC7">
        <w:rPr>
          <w:rFonts w:ascii="Times New Roman" w:hAnsi="Times New Roman" w:cs="Times New Roman"/>
          <w:sz w:val="20"/>
          <w:szCs w:val="20"/>
        </w:rPr>
        <w:t xml:space="preserve"> Orçamento, População e Municípios por Hierarquia das Cidades e Regiões</w:t>
      </w:r>
    </w:p>
    <w:tbl>
      <w:tblPr>
        <w:tblW w:w="8647" w:type="dxa"/>
        <w:jc w:val="center"/>
        <w:tblCellMar>
          <w:left w:w="70" w:type="dxa"/>
          <w:right w:w="70" w:type="dxa"/>
        </w:tblCellMar>
        <w:tblLook w:val="04A0" w:firstRow="1" w:lastRow="0" w:firstColumn="1" w:lastColumn="0" w:noHBand="0" w:noVBand="1"/>
      </w:tblPr>
      <w:tblGrid>
        <w:gridCol w:w="2355"/>
        <w:gridCol w:w="2283"/>
        <w:gridCol w:w="1599"/>
        <w:gridCol w:w="1276"/>
        <w:gridCol w:w="1134"/>
      </w:tblGrid>
      <w:tr w:rsidR="008C601D" w:rsidRPr="00DE28A4" w14:paraId="705FC00E" w14:textId="01D591F7" w:rsidTr="00AF21E0">
        <w:trPr>
          <w:trHeight w:val="300"/>
          <w:jc w:val="center"/>
        </w:trPr>
        <w:tc>
          <w:tcPr>
            <w:tcW w:w="2355" w:type="dxa"/>
            <w:tcBorders>
              <w:top w:val="nil"/>
              <w:left w:val="nil"/>
              <w:bottom w:val="single" w:sz="4" w:space="0" w:color="95B3D7"/>
              <w:right w:val="nil"/>
            </w:tcBorders>
            <w:shd w:val="clear" w:color="DCE6F1" w:fill="DCE6F1"/>
            <w:noWrap/>
            <w:vAlign w:val="center"/>
            <w:hideMark/>
          </w:tcPr>
          <w:p w14:paraId="41DC0A0A" w14:textId="77777777" w:rsidR="008C601D" w:rsidRPr="00DE28A4" w:rsidRDefault="008C601D" w:rsidP="00D07313">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E28A4">
              <w:rPr>
                <w:rFonts w:ascii="Times New Roman" w:eastAsia="Times New Roman" w:hAnsi="Times New Roman" w:cs="Times New Roman"/>
                <w:b/>
                <w:bCs/>
                <w:color w:val="000000"/>
                <w:kern w:val="0"/>
                <w:sz w:val="20"/>
                <w:szCs w:val="20"/>
                <w:lang w:eastAsia="pt-BR"/>
                <w14:ligatures w14:val="none"/>
              </w:rPr>
              <w:t>Rótulos de Linha</w:t>
            </w:r>
          </w:p>
        </w:tc>
        <w:tc>
          <w:tcPr>
            <w:tcW w:w="2283" w:type="dxa"/>
            <w:tcBorders>
              <w:top w:val="nil"/>
              <w:left w:val="nil"/>
              <w:bottom w:val="single" w:sz="4" w:space="0" w:color="95B3D7"/>
              <w:right w:val="nil"/>
            </w:tcBorders>
            <w:shd w:val="clear" w:color="DCE6F1" w:fill="DCE6F1"/>
            <w:noWrap/>
            <w:vAlign w:val="center"/>
            <w:hideMark/>
          </w:tcPr>
          <w:p w14:paraId="317A07B0" w14:textId="7C859B31" w:rsidR="008C601D" w:rsidRPr="00DE28A4" w:rsidRDefault="008C601D" w:rsidP="00D07313">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O</w:t>
            </w:r>
            <w:r w:rsidRPr="009F6D99">
              <w:rPr>
                <w:rFonts w:ascii="Times New Roman" w:eastAsia="Times New Roman" w:hAnsi="Times New Roman" w:cs="Times New Roman"/>
                <w:b/>
                <w:bCs/>
                <w:color w:val="000000"/>
                <w:kern w:val="0"/>
                <w:sz w:val="20"/>
                <w:szCs w:val="20"/>
                <w:lang w:eastAsia="pt-BR"/>
                <w14:ligatures w14:val="none"/>
              </w:rPr>
              <w:t>rçamento</w:t>
            </w:r>
            <w:r>
              <w:rPr>
                <w:rFonts w:ascii="Times New Roman" w:eastAsia="Times New Roman" w:hAnsi="Times New Roman" w:cs="Times New Roman"/>
                <w:b/>
                <w:bCs/>
                <w:color w:val="000000"/>
                <w:kern w:val="0"/>
                <w:sz w:val="20"/>
                <w:szCs w:val="20"/>
                <w:lang w:eastAsia="pt-BR"/>
                <w14:ligatures w14:val="none"/>
              </w:rPr>
              <w:t xml:space="preserve"> Total dos Municípios</w:t>
            </w:r>
          </w:p>
        </w:tc>
        <w:tc>
          <w:tcPr>
            <w:tcW w:w="1599" w:type="dxa"/>
            <w:tcBorders>
              <w:top w:val="nil"/>
              <w:left w:val="nil"/>
              <w:bottom w:val="single" w:sz="4" w:space="0" w:color="95B3D7"/>
              <w:right w:val="nil"/>
            </w:tcBorders>
            <w:shd w:val="clear" w:color="DCE6F1" w:fill="DCE6F1"/>
            <w:noWrap/>
            <w:vAlign w:val="center"/>
            <w:hideMark/>
          </w:tcPr>
          <w:p w14:paraId="3185AD8D" w14:textId="77777777" w:rsidR="008C601D" w:rsidRPr="00DE28A4" w:rsidRDefault="008C601D" w:rsidP="00D07313">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E28A4">
              <w:rPr>
                <w:rFonts w:ascii="Times New Roman" w:eastAsia="Times New Roman" w:hAnsi="Times New Roman" w:cs="Times New Roman"/>
                <w:b/>
                <w:bCs/>
                <w:color w:val="000000"/>
                <w:kern w:val="0"/>
                <w:sz w:val="20"/>
                <w:szCs w:val="20"/>
                <w:lang w:eastAsia="pt-BR"/>
                <w14:ligatures w14:val="none"/>
              </w:rPr>
              <w:t>Soma de População</w:t>
            </w:r>
          </w:p>
        </w:tc>
        <w:tc>
          <w:tcPr>
            <w:tcW w:w="1276" w:type="dxa"/>
            <w:tcBorders>
              <w:top w:val="nil"/>
              <w:left w:val="nil"/>
              <w:bottom w:val="single" w:sz="4" w:space="0" w:color="95B3D7"/>
              <w:right w:val="nil"/>
            </w:tcBorders>
            <w:shd w:val="clear" w:color="DCE6F1" w:fill="DCE6F1"/>
            <w:vAlign w:val="center"/>
          </w:tcPr>
          <w:p w14:paraId="4EB1D71A" w14:textId="21015392" w:rsidR="008C601D" w:rsidRPr="00DE28A4" w:rsidRDefault="008C601D" w:rsidP="00D07313">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Orçamento Per Capita</w:t>
            </w:r>
          </w:p>
        </w:tc>
        <w:tc>
          <w:tcPr>
            <w:tcW w:w="1134" w:type="dxa"/>
            <w:tcBorders>
              <w:top w:val="nil"/>
              <w:left w:val="nil"/>
              <w:bottom w:val="single" w:sz="4" w:space="0" w:color="95B3D7"/>
              <w:right w:val="nil"/>
            </w:tcBorders>
            <w:shd w:val="clear" w:color="DCE6F1" w:fill="DCE6F1"/>
            <w:vAlign w:val="center"/>
          </w:tcPr>
          <w:p w14:paraId="794D5093" w14:textId="4135F982" w:rsidR="008C601D" w:rsidRPr="00DE28A4" w:rsidRDefault="008C601D" w:rsidP="00D07313">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E28A4">
              <w:rPr>
                <w:rFonts w:ascii="Times New Roman" w:eastAsia="Times New Roman" w:hAnsi="Times New Roman" w:cs="Times New Roman"/>
                <w:b/>
                <w:bCs/>
                <w:color w:val="000000"/>
                <w:kern w:val="0"/>
                <w:sz w:val="20"/>
                <w:szCs w:val="20"/>
                <w:lang w:eastAsia="pt-BR"/>
                <w14:ligatures w14:val="none"/>
              </w:rPr>
              <w:t>N</w:t>
            </w:r>
            <w:r>
              <w:rPr>
                <w:rFonts w:ascii="Times New Roman" w:eastAsia="Times New Roman" w:hAnsi="Times New Roman" w:cs="Times New Roman"/>
                <w:b/>
                <w:bCs/>
                <w:color w:val="000000"/>
                <w:kern w:val="0"/>
                <w:sz w:val="20"/>
                <w:szCs w:val="20"/>
                <w:lang w:eastAsia="pt-BR"/>
                <w14:ligatures w14:val="none"/>
              </w:rPr>
              <w:t>o.</w:t>
            </w:r>
            <w:r w:rsidRPr="00DE28A4">
              <w:rPr>
                <w:rFonts w:ascii="Times New Roman" w:eastAsia="Times New Roman" w:hAnsi="Times New Roman" w:cs="Times New Roman"/>
                <w:b/>
                <w:bCs/>
                <w:color w:val="000000"/>
                <w:kern w:val="0"/>
                <w:sz w:val="20"/>
                <w:szCs w:val="20"/>
                <w:lang w:eastAsia="pt-BR"/>
                <w14:ligatures w14:val="none"/>
              </w:rPr>
              <w:t xml:space="preserve"> de Municípios</w:t>
            </w:r>
          </w:p>
        </w:tc>
      </w:tr>
      <w:tr w:rsidR="00AF21E0" w:rsidRPr="00DE28A4" w14:paraId="7B68AA20" w14:textId="2619044F" w:rsidTr="00AF21E0">
        <w:trPr>
          <w:trHeight w:val="300"/>
          <w:jc w:val="center"/>
        </w:trPr>
        <w:tc>
          <w:tcPr>
            <w:tcW w:w="2355" w:type="dxa"/>
            <w:tcBorders>
              <w:top w:val="nil"/>
              <w:left w:val="nil"/>
              <w:bottom w:val="single" w:sz="4" w:space="0" w:color="95B3D7"/>
              <w:right w:val="nil"/>
            </w:tcBorders>
            <w:shd w:val="clear" w:color="auto" w:fill="auto"/>
            <w:noWrap/>
            <w:vAlign w:val="bottom"/>
            <w:hideMark/>
          </w:tcPr>
          <w:p w14:paraId="2457BE04" w14:textId="2343D475" w:rsidR="00AF21E0" w:rsidRPr="00497652" w:rsidRDefault="00AF21E0" w:rsidP="00AF21E0">
            <w:pPr>
              <w:spacing w:after="0" w:line="240" w:lineRule="auto"/>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1 - Metrópole</w:t>
            </w:r>
          </w:p>
        </w:tc>
        <w:tc>
          <w:tcPr>
            <w:tcW w:w="2283" w:type="dxa"/>
            <w:tcBorders>
              <w:top w:val="nil"/>
              <w:left w:val="nil"/>
              <w:bottom w:val="single" w:sz="4" w:space="0" w:color="95B3D7"/>
              <w:right w:val="nil"/>
            </w:tcBorders>
            <w:shd w:val="clear" w:color="auto" w:fill="auto"/>
            <w:noWrap/>
            <w:vAlign w:val="bottom"/>
            <w:hideMark/>
          </w:tcPr>
          <w:p w14:paraId="55216CB4" w14:textId="53F637DC"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R$ 343.229.797.457,99 </w:t>
            </w:r>
          </w:p>
        </w:tc>
        <w:tc>
          <w:tcPr>
            <w:tcW w:w="1599" w:type="dxa"/>
            <w:tcBorders>
              <w:top w:val="nil"/>
              <w:left w:val="nil"/>
              <w:bottom w:val="single" w:sz="4" w:space="0" w:color="95B3D7"/>
              <w:right w:val="nil"/>
            </w:tcBorders>
            <w:shd w:val="clear" w:color="auto" w:fill="auto"/>
            <w:noWrap/>
            <w:vAlign w:val="bottom"/>
            <w:hideMark/>
          </w:tcPr>
          <w:p w14:paraId="7E5419A4" w14:textId="4F73872D"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67265307</w:t>
            </w:r>
          </w:p>
        </w:tc>
        <w:tc>
          <w:tcPr>
            <w:tcW w:w="1276" w:type="dxa"/>
            <w:tcBorders>
              <w:top w:val="nil"/>
              <w:left w:val="nil"/>
              <w:bottom w:val="single" w:sz="4" w:space="0" w:color="95B3D7"/>
              <w:right w:val="nil"/>
            </w:tcBorders>
            <w:vAlign w:val="bottom"/>
          </w:tcPr>
          <w:p w14:paraId="6D25BA32" w14:textId="3D32185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5.044,88 </w:t>
            </w:r>
          </w:p>
        </w:tc>
        <w:tc>
          <w:tcPr>
            <w:tcW w:w="1134" w:type="dxa"/>
            <w:tcBorders>
              <w:top w:val="nil"/>
              <w:left w:val="nil"/>
              <w:bottom w:val="single" w:sz="4" w:space="0" w:color="95B3D7"/>
              <w:right w:val="nil"/>
            </w:tcBorders>
            <w:vAlign w:val="center"/>
          </w:tcPr>
          <w:p w14:paraId="28C72165" w14:textId="29503CCE"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211 </w:t>
            </w:r>
          </w:p>
        </w:tc>
      </w:tr>
      <w:tr w:rsidR="00AF21E0" w:rsidRPr="00DE28A4" w14:paraId="22935096" w14:textId="7A58D93C" w:rsidTr="00AF21E0">
        <w:trPr>
          <w:trHeight w:val="300"/>
          <w:jc w:val="center"/>
        </w:trPr>
        <w:tc>
          <w:tcPr>
            <w:tcW w:w="2355" w:type="dxa"/>
            <w:tcBorders>
              <w:top w:val="nil"/>
              <w:left w:val="nil"/>
              <w:bottom w:val="nil"/>
              <w:right w:val="nil"/>
            </w:tcBorders>
            <w:shd w:val="clear" w:color="auto" w:fill="auto"/>
            <w:noWrap/>
            <w:vAlign w:val="bottom"/>
            <w:hideMark/>
          </w:tcPr>
          <w:p w14:paraId="79539012" w14:textId="63A3BB9C"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Centro-Oeste</w:t>
            </w:r>
          </w:p>
        </w:tc>
        <w:tc>
          <w:tcPr>
            <w:tcW w:w="2283" w:type="dxa"/>
            <w:tcBorders>
              <w:top w:val="nil"/>
              <w:left w:val="nil"/>
              <w:bottom w:val="nil"/>
              <w:right w:val="nil"/>
            </w:tcBorders>
            <w:shd w:val="clear" w:color="auto" w:fill="auto"/>
            <w:noWrap/>
            <w:vAlign w:val="bottom"/>
            <w:hideMark/>
          </w:tcPr>
          <w:p w14:paraId="15CB0BE3" w14:textId="5C6740CA"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R$ 13.188.327.941,98 </w:t>
            </w:r>
          </w:p>
        </w:tc>
        <w:tc>
          <w:tcPr>
            <w:tcW w:w="1599" w:type="dxa"/>
            <w:tcBorders>
              <w:top w:val="nil"/>
              <w:left w:val="nil"/>
              <w:bottom w:val="nil"/>
              <w:right w:val="nil"/>
            </w:tcBorders>
            <w:shd w:val="clear" w:color="auto" w:fill="auto"/>
            <w:noWrap/>
            <w:vAlign w:val="bottom"/>
            <w:hideMark/>
          </w:tcPr>
          <w:p w14:paraId="2993B4FF" w14:textId="685B306C"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3522422</w:t>
            </w:r>
          </w:p>
        </w:tc>
        <w:tc>
          <w:tcPr>
            <w:tcW w:w="1276" w:type="dxa"/>
            <w:tcBorders>
              <w:top w:val="nil"/>
              <w:left w:val="nil"/>
              <w:bottom w:val="nil"/>
              <w:right w:val="nil"/>
            </w:tcBorders>
            <w:vAlign w:val="bottom"/>
          </w:tcPr>
          <w:p w14:paraId="4BB97FEE" w14:textId="45DC368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3.779,13 </w:t>
            </w:r>
          </w:p>
        </w:tc>
        <w:tc>
          <w:tcPr>
            <w:tcW w:w="1134" w:type="dxa"/>
            <w:tcBorders>
              <w:top w:val="nil"/>
              <w:left w:val="nil"/>
              <w:bottom w:val="nil"/>
              <w:right w:val="nil"/>
            </w:tcBorders>
            <w:vAlign w:val="center"/>
          </w:tcPr>
          <w:p w14:paraId="3D92BFD1" w14:textId="1563CFE5"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23 </w:t>
            </w:r>
          </w:p>
        </w:tc>
      </w:tr>
      <w:tr w:rsidR="00AF21E0" w:rsidRPr="00DE28A4" w14:paraId="03E0828E" w14:textId="41D599DB" w:rsidTr="00AF21E0">
        <w:trPr>
          <w:trHeight w:val="300"/>
          <w:jc w:val="center"/>
        </w:trPr>
        <w:tc>
          <w:tcPr>
            <w:tcW w:w="2355" w:type="dxa"/>
            <w:tcBorders>
              <w:top w:val="nil"/>
              <w:left w:val="nil"/>
              <w:bottom w:val="nil"/>
              <w:right w:val="nil"/>
            </w:tcBorders>
            <w:shd w:val="clear" w:color="auto" w:fill="auto"/>
            <w:noWrap/>
            <w:vAlign w:val="bottom"/>
            <w:hideMark/>
          </w:tcPr>
          <w:p w14:paraId="08875BF1" w14:textId="7C79361E"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Nordeste</w:t>
            </w:r>
          </w:p>
        </w:tc>
        <w:tc>
          <w:tcPr>
            <w:tcW w:w="2283" w:type="dxa"/>
            <w:tcBorders>
              <w:top w:val="nil"/>
              <w:left w:val="nil"/>
              <w:bottom w:val="nil"/>
              <w:right w:val="nil"/>
            </w:tcBorders>
            <w:shd w:val="clear" w:color="auto" w:fill="auto"/>
            <w:noWrap/>
            <w:vAlign w:val="bottom"/>
            <w:hideMark/>
          </w:tcPr>
          <w:p w14:paraId="4BDEF109" w14:textId="13E9CCA3"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R$ 41.787.099.806,68 </w:t>
            </w:r>
          </w:p>
        </w:tc>
        <w:tc>
          <w:tcPr>
            <w:tcW w:w="1599" w:type="dxa"/>
            <w:tcBorders>
              <w:top w:val="nil"/>
              <w:left w:val="nil"/>
              <w:bottom w:val="nil"/>
              <w:right w:val="nil"/>
            </w:tcBorders>
            <w:shd w:val="clear" w:color="auto" w:fill="auto"/>
            <w:noWrap/>
            <w:vAlign w:val="bottom"/>
            <w:hideMark/>
          </w:tcPr>
          <w:p w14:paraId="42D1C0DC" w14:textId="7DAD439F"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10529185</w:t>
            </w:r>
          </w:p>
        </w:tc>
        <w:tc>
          <w:tcPr>
            <w:tcW w:w="1276" w:type="dxa"/>
            <w:tcBorders>
              <w:top w:val="nil"/>
              <w:left w:val="nil"/>
              <w:bottom w:val="nil"/>
              <w:right w:val="nil"/>
            </w:tcBorders>
            <w:vAlign w:val="bottom"/>
          </w:tcPr>
          <w:p w14:paraId="5ADA0290" w14:textId="2C24444A"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4.920,90 </w:t>
            </w:r>
          </w:p>
        </w:tc>
        <w:tc>
          <w:tcPr>
            <w:tcW w:w="1134" w:type="dxa"/>
            <w:tcBorders>
              <w:top w:val="nil"/>
              <w:left w:val="nil"/>
              <w:bottom w:val="nil"/>
              <w:right w:val="nil"/>
            </w:tcBorders>
            <w:vAlign w:val="center"/>
          </w:tcPr>
          <w:p w14:paraId="3A7C33BC" w14:textId="312B49BA"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33 </w:t>
            </w:r>
          </w:p>
        </w:tc>
      </w:tr>
      <w:tr w:rsidR="00AF21E0" w:rsidRPr="00DE28A4" w14:paraId="45A5FBFE" w14:textId="49D99095" w:rsidTr="00AF21E0">
        <w:trPr>
          <w:trHeight w:val="300"/>
          <w:jc w:val="center"/>
        </w:trPr>
        <w:tc>
          <w:tcPr>
            <w:tcW w:w="2355" w:type="dxa"/>
            <w:tcBorders>
              <w:top w:val="nil"/>
              <w:left w:val="nil"/>
              <w:bottom w:val="nil"/>
              <w:right w:val="nil"/>
            </w:tcBorders>
            <w:shd w:val="clear" w:color="auto" w:fill="auto"/>
            <w:noWrap/>
            <w:vAlign w:val="bottom"/>
            <w:hideMark/>
          </w:tcPr>
          <w:p w14:paraId="56FD31C4" w14:textId="092D18C5"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Norte</w:t>
            </w:r>
          </w:p>
        </w:tc>
        <w:tc>
          <w:tcPr>
            <w:tcW w:w="2283" w:type="dxa"/>
            <w:tcBorders>
              <w:top w:val="nil"/>
              <w:left w:val="nil"/>
              <w:bottom w:val="nil"/>
              <w:right w:val="nil"/>
            </w:tcBorders>
            <w:shd w:val="clear" w:color="auto" w:fill="auto"/>
            <w:noWrap/>
            <w:vAlign w:val="bottom"/>
            <w:hideMark/>
          </w:tcPr>
          <w:p w14:paraId="4A6AFE2D" w14:textId="469A6D5D"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R$ 13.700.116.976,06 </w:t>
            </w:r>
          </w:p>
        </w:tc>
        <w:tc>
          <w:tcPr>
            <w:tcW w:w="1599" w:type="dxa"/>
            <w:tcBorders>
              <w:top w:val="nil"/>
              <w:left w:val="nil"/>
              <w:bottom w:val="nil"/>
              <w:right w:val="nil"/>
            </w:tcBorders>
            <w:shd w:val="clear" w:color="auto" w:fill="auto"/>
            <w:noWrap/>
            <w:vAlign w:val="bottom"/>
            <w:hideMark/>
          </w:tcPr>
          <w:p w14:paraId="05A5D340" w14:textId="476367A7"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4021222</w:t>
            </w:r>
          </w:p>
        </w:tc>
        <w:tc>
          <w:tcPr>
            <w:tcW w:w="1276" w:type="dxa"/>
            <w:tcBorders>
              <w:top w:val="nil"/>
              <w:left w:val="nil"/>
              <w:bottom w:val="nil"/>
              <w:right w:val="nil"/>
            </w:tcBorders>
            <w:vAlign w:val="bottom"/>
          </w:tcPr>
          <w:p w14:paraId="59A810AD" w14:textId="065C98AA"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3.334,96 </w:t>
            </w:r>
          </w:p>
        </w:tc>
        <w:tc>
          <w:tcPr>
            <w:tcW w:w="1134" w:type="dxa"/>
            <w:tcBorders>
              <w:top w:val="nil"/>
              <w:left w:val="nil"/>
              <w:bottom w:val="nil"/>
              <w:right w:val="nil"/>
            </w:tcBorders>
            <w:vAlign w:val="center"/>
          </w:tcPr>
          <w:p w14:paraId="3A8C8370" w14:textId="64B82DA0"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5 </w:t>
            </w:r>
          </w:p>
        </w:tc>
      </w:tr>
      <w:tr w:rsidR="00AF21E0" w:rsidRPr="00DE28A4" w14:paraId="5163BF1A" w14:textId="3B9B3B53" w:rsidTr="00AF21E0">
        <w:trPr>
          <w:trHeight w:val="300"/>
          <w:jc w:val="center"/>
        </w:trPr>
        <w:tc>
          <w:tcPr>
            <w:tcW w:w="2355" w:type="dxa"/>
            <w:tcBorders>
              <w:top w:val="nil"/>
              <w:left w:val="nil"/>
              <w:bottom w:val="nil"/>
              <w:right w:val="nil"/>
            </w:tcBorders>
            <w:shd w:val="clear" w:color="auto" w:fill="auto"/>
            <w:noWrap/>
            <w:vAlign w:val="bottom"/>
            <w:hideMark/>
          </w:tcPr>
          <w:p w14:paraId="0BC10C87" w14:textId="2291007A"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Sudeste</w:t>
            </w:r>
          </w:p>
        </w:tc>
        <w:tc>
          <w:tcPr>
            <w:tcW w:w="2283" w:type="dxa"/>
            <w:tcBorders>
              <w:top w:val="nil"/>
              <w:left w:val="nil"/>
              <w:bottom w:val="nil"/>
              <w:right w:val="nil"/>
            </w:tcBorders>
            <w:shd w:val="clear" w:color="auto" w:fill="auto"/>
            <w:noWrap/>
            <w:vAlign w:val="bottom"/>
            <w:hideMark/>
          </w:tcPr>
          <w:p w14:paraId="080A54F0" w14:textId="17DE2C33"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R$ 233.267.641.050,10 </w:t>
            </w:r>
          </w:p>
        </w:tc>
        <w:tc>
          <w:tcPr>
            <w:tcW w:w="1599" w:type="dxa"/>
            <w:tcBorders>
              <w:top w:val="nil"/>
              <w:left w:val="nil"/>
              <w:bottom w:val="nil"/>
              <w:right w:val="nil"/>
            </w:tcBorders>
            <w:shd w:val="clear" w:color="auto" w:fill="auto"/>
            <w:noWrap/>
            <w:vAlign w:val="bottom"/>
            <w:hideMark/>
          </w:tcPr>
          <w:p w14:paraId="0F693004" w14:textId="6AB9C858"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40947096</w:t>
            </w:r>
          </w:p>
        </w:tc>
        <w:tc>
          <w:tcPr>
            <w:tcW w:w="1276" w:type="dxa"/>
            <w:tcBorders>
              <w:top w:val="nil"/>
              <w:left w:val="nil"/>
              <w:bottom w:val="nil"/>
              <w:right w:val="nil"/>
            </w:tcBorders>
            <w:vAlign w:val="bottom"/>
          </w:tcPr>
          <w:p w14:paraId="22882E0F" w14:textId="295953B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5.447,89 </w:t>
            </w:r>
          </w:p>
        </w:tc>
        <w:tc>
          <w:tcPr>
            <w:tcW w:w="1134" w:type="dxa"/>
            <w:tcBorders>
              <w:top w:val="nil"/>
              <w:left w:val="nil"/>
              <w:bottom w:val="nil"/>
              <w:right w:val="nil"/>
            </w:tcBorders>
            <w:vAlign w:val="center"/>
          </w:tcPr>
          <w:p w14:paraId="4D3FBE9C" w14:textId="08BB30CA"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93 </w:t>
            </w:r>
          </w:p>
        </w:tc>
      </w:tr>
      <w:tr w:rsidR="00AF21E0" w:rsidRPr="00DE28A4" w14:paraId="58C37485" w14:textId="2180503F" w:rsidTr="00AF21E0">
        <w:trPr>
          <w:trHeight w:val="300"/>
          <w:jc w:val="center"/>
        </w:trPr>
        <w:tc>
          <w:tcPr>
            <w:tcW w:w="2355" w:type="dxa"/>
            <w:tcBorders>
              <w:top w:val="nil"/>
              <w:left w:val="nil"/>
              <w:bottom w:val="nil"/>
              <w:right w:val="nil"/>
            </w:tcBorders>
            <w:shd w:val="clear" w:color="auto" w:fill="auto"/>
            <w:noWrap/>
            <w:vAlign w:val="bottom"/>
            <w:hideMark/>
          </w:tcPr>
          <w:p w14:paraId="7AA72461" w14:textId="40032D38"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Sul</w:t>
            </w:r>
          </w:p>
        </w:tc>
        <w:tc>
          <w:tcPr>
            <w:tcW w:w="2283" w:type="dxa"/>
            <w:tcBorders>
              <w:top w:val="nil"/>
              <w:left w:val="nil"/>
              <w:bottom w:val="nil"/>
              <w:right w:val="nil"/>
            </w:tcBorders>
            <w:shd w:val="clear" w:color="auto" w:fill="auto"/>
            <w:noWrap/>
            <w:vAlign w:val="bottom"/>
            <w:hideMark/>
          </w:tcPr>
          <w:p w14:paraId="792B9891" w14:textId="64D07E3A"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R$ 41.286.611.683,17 </w:t>
            </w:r>
          </w:p>
        </w:tc>
        <w:tc>
          <w:tcPr>
            <w:tcW w:w="1599" w:type="dxa"/>
            <w:tcBorders>
              <w:top w:val="nil"/>
              <w:left w:val="nil"/>
              <w:bottom w:val="nil"/>
              <w:right w:val="nil"/>
            </w:tcBorders>
            <w:shd w:val="clear" w:color="auto" w:fill="auto"/>
            <w:noWrap/>
            <w:vAlign w:val="bottom"/>
            <w:hideMark/>
          </w:tcPr>
          <w:p w14:paraId="1888F248" w14:textId="4EABF223"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8245382</w:t>
            </w:r>
          </w:p>
        </w:tc>
        <w:tc>
          <w:tcPr>
            <w:tcW w:w="1276" w:type="dxa"/>
            <w:tcBorders>
              <w:top w:val="nil"/>
              <w:left w:val="nil"/>
              <w:bottom w:val="nil"/>
              <w:right w:val="nil"/>
            </w:tcBorders>
            <w:vAlign w:val="bottom"/>
          </w:tcPr>
          <w:p w14:paraId="24716F79" w14:textId="62ECDEBB"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5.119,85 </w:t>
            </w:r>
          </w:p>
        </w:tc>
        <w:tc>
          <w:tcPr>
            <w:tcW w:w="1134" w:type="dxa"/>
            <w:tcBorders>
              <w:top w:val="nil"/>
              <w:left w:val="nil"/>
              <w:bottom w:val="nil"/>
              <w:right w:val="nil"/>
            </w:tcBorders>
            <w:vAlign w:val="center"/>
          </w:tcPr>
          <w:p w14:paraId="5293581A" w14:textId="104B6ACF"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57 </w:t>
            </w:r>
          </w:p>
        </w:tc>
      </w:tr>
      <w:tr w:rsidR="00AF21E0" w:rsidRPr="00F52EAD" w14:paraId="1FDECB6D" w14:textId="79A7C7C4" w:rsidTr="00AF21E0">
        <w:trPr>
          <w:trHeight w:val="300"/>
          <w:jc w:val="center"/>
        </w:trPr>
        <w:tc>
          <w:tcPr>
            <w:tcW w:w="2355" w:type="dxa"/>
            <w:tcBorders>
              <w:top w:val="nil"/>
              <w:left w:val="nil"/>
              <w:bottom w:val="single" w:sz="4" w:space="0" w:color="95B3D7"/>
              <w:right w:val="nil"/>
            </w:tcBorders>
            <w:shd w:val="clear" w:color="auto" w:fill="auto"/>
            <w:noWrap/>
            <w:vAlign w:val="bottom"/>
            <w:hideMark/>
          </w:tcPr>
          <w:p w14:paraId="5D59ED47" w14:textId="48D5FF4E" w:rsidR="00AF21E0" w:rsidRPr="00497652" w:rsidRDefault="00AF21E0" w:rsidP="00AF21E0">
            <w:pPr>
              <w:spacing w:after="0" w:line="240" w:lineRule="auto"/>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 Capital Regional</w:t>
            </w:r>
          </w:p>
        </w:tc>
        <w:tc>
          <w:tcPr>
            <w:tcW w:w="2283" w:type="dxa"/>
            <w:tcBorders>
              <w:top w:val="nil"/>
              <w:left w:val="nil"/>
              <w:bottom w:val="single" w:sz="4" w:space="0" w:color="95B3D7"/>
              <w:right w:val="nil"/>
            </w:tcBorders>
            <w:shd w:val="clear" w:color="auto" w:fill="auto"/>
            <w:noWrap/>
            <w:vAlign w:val="bottom"/>
            <w:hideMark/>
          </w:tcPr>
          <w:p w14:paraId="5DF0AA43" w14:textId="59544BA6"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R$ 193.248.046.551,94 </w:t>
            </w:r>
          </w:p>
        </w:tc>
        <w:tc>
          <w:tcPr>
            <w:tcW w:w="1599" w:type="dxa"/>
            <w:tcBorders>
              <w:top w:val="nil"/>
              <w:left w:val="nil"/>
              <w:bottom w:val="single" w:sz="4" w:space="0" w:color="95B3D7"/>
              <w:right w:val="nil"/>
            </w:tcBorders>
            <w:shd w:val="clear" w:color="auto" w:fill="auto"/>
            <w:noWrap/>
            <w:vAlign w:val="bottom"/>
            <w:hideMark/>
          </w:tcPr>
          <w:p w14:paraId="74C0B4A3" w14:textId="7BF5C6F8"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41728227</w:t>
            </w:r>
          </w:p>
        </w:tc>
        <w:tc>
          <w:tcPr>
            <w:tcW w:w="1276" w:type="dxa"/>
            <w:tcBorders>
              <w:top w:val="nil"/>
              <w:left w:val="nil"/>
              <w:bottom w:val="single" w:sz="4" w:space="0" w:color="95B3D7"/>
              <w:right w:val="nil"/>
            </w:tcBorders>
            <w:vAlign w:val="bottom"/>
          </w:tcPr>
          <w:p w14:paraId="38FFD8D2" w14:textId="34298A92"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5.548,09 </w:t>
            </w:r>
          </w:p>
        </w:tc>
        <w:tc>
          <w:tcPr>
            <w:tcW w:w="1134" w:type="dxa"/>
            <w:tcBorders>
              <w:top w:val="nil"/>
              <w:left w:val="nil"/>
              <w:bottom w:val="single" w:sz="4" w:space="0" w:color="95B3D7"/>
              <w:right w:val="nil"/>
            </w:tcBorders>
            <w:vAlign w:val="center"/>
          </w:tcPr>
          <w:p w14:paraId="34A7A0BE" w14:textId="567E04A2"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298 </w:t>
            </w:r>
          </w:p>
        </w:tc>
      </w:tr>
      <w:tr w:rsidR="00AF21E0" w:rsidRPr="00DE28A4" w14:paraId="276856BD" w14:textId="1DCE5A4A" w:rsidTr="00AF21E0">
        <w:trPr>
          <w:trHeight w:val="300"/>
          <w:jc w:val="center"/>
        </w:trPr>
        <w:tc>
          <w:tcPr>
            <w:tcW w:w="2355" w:type="dxa"/>
            <w:tcBorders>
              <w:top w:val="nil"/>
              <w:left w:val="nil"/>
              <w:bottom w:val="nil"/>
              <w:right w:val="nil"/>
            </w:tcBorders>
            <w:shd w:val="clear" w:color="auto" w:fill="auto"/>
            <w:noWrap/>
            <w:vAlign w:val="bottom"/>
            <w:hideMark/>
          </w:tcPr>
          <w:p w14:paraId="412ED1F7" w14:textId="03F31DD8"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Centro-Oeste</w:t>
            </w:r>
          </w:p>
        </w:tc>
        <w:tc>
          <w:tcPr>
            <w:tcW w:w="2283" w:type="dxa"/>
            <w:tcBorders>
              <w:top w:val="nil"/>
              <w:left w:val="nil"/>
              <w:bottom w:val="nil"/>
              <w:right w:val="nil"/>
            </w:tcBorders>
            <w:shd w:val="clear" w:color="auto" w:fill="auto"/>
            <w:noWrap/>
            <w:vAlign w:val="bottom"/>
            <w:hideMark/>
          </w:tcPr>
          <w:p w14:paraId="3C39C181" w14:textId="2B41116E"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R$ 14.897.755.597,68 </w:t>
            </w:r>
          </w:p>
        </w:tc>
        <w:tc>
          <w:tcPr>
            <w:tcW w:w="1599" w:type="dxa"/>
            <w:tcBorders>
              <w:top w:val="nil"/>
              <w:left w:val="nil"/>
              <w:bottom w:val="nil"/>
              <w:right w:val="nil"/>
            </w:tcBorders>
            <w:shd w:val="clear" w:color="auto" w:fill="auto"/>
            <w:noWrap/>
            <w:vAlign w:val="bottom"/>
            <w:hideMark/>
          </w:tcPr>
          <w:p w14:paraId="0EC1445D" w14:textId="6802418E"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2932514</w:t>
            </w:r>
          </w:p>
        </w:tc>
        <w:tc>
          <w:tcPr>
            <w:tcW w:w="1276" w:type="dxa"/>
            <w:tcBorders>
              <w:top w:val="nil"/>
              <w:left w:val="nil"/>
              <w:bottom w:val="nil"/>
              <w:right w:val="nil"/>
            </w:tcBorders>
            <w:vAlign w:val="bottom"/>
          </w:tcPr>
          <w:p w14:paraId="585CF4EB" w14:textId="38B5C653"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4.886,07 </w:t>
            </w:r>
          </w:p>
        </w:tc>
        <w:tc>
          <w:tcPr>
            <w:tcW w:w="1134" w:type="dxa"/>
            <w:tcBorders>
              <w:top w:val="nil"/>
              <w:left w:val="nil"/>
              <w:bottom w:val="nil"/>
              <w:right w:val="nil"/>
            </w:tcBorders>
            <w:vAlign w:val="center"/>
          </w:tcPr>
          <w:p w14:paraId="106A8461" w14:textId="384D4E3B"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7 </w:t>
            </w:r>
          </w:p>
        </w:tc>
      </w:tr>
      <w:tr w:rsidR="00AF21E0" w:rsidRPr="00DE28A4" w14:paraId="6B199DD0" w14:textId="61653941" w:rsidTr="00AF21E0">
        <w:trPr>
          <w:trHeight w:val="300"/>
          <w:jc w:val="center"/>
        </w:trPr>
        <w:tc>
          <w:tcPr>
            <w:tcW w:w="2355" w:type="dxa"/>
            <w:tcBorders>
              <w:top w:val="nil"/>
              <w:left w:val="nil"/>
              <w:bottom w:val="nil"/>
              <w:right w:val="nil"/>
            </w:tcBorders>
            <w:shd w:val="clear" w:color="auto" w:fill="auto"/>
            <w:noWrap/>
            <w:vAlign w:val="bottom"/>
            <w:hideMark/>
          </w:tcPr>
          <w:p w14:paraId="68D457EA" w14:textId="6601D4D5"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Nordeste</w:t>
            </w:r>
          </w:p>
        </w:tc>
        <w:tc>
          <w:tcPr>
            <w:tcW w:w="2283" w:type="dxa"/>
            <w:tcBorders>
              <w:top w:val="nil"/>
              <w:left w:val="nil"/>
              <w:bottom w:val="nil"/>
              <w:right w:val="nil"/>
            </w:tcBorders>
            <w:shd w:val="clear" w:color="auto" w:fill="auto"/>
            <w:noWrap/>
            <w:vAlign w:val="bottom"/>
            <w:hideMark/>
          </w:tcPr>
          <w:p w14:paraId="353DA23F" w14:textId="1D4DAFBB"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R$ 42.594.193.281,03 </w:t>
            </w:r>
          </w:p>
        </w:tc>
        <w:tc>
          <w:tcPr>
            <w:tcW w:w="1599" w:type="dxa"/>
            <w:tcBorders>
              <w:top w:val="nil"/>
              <w:left w:val="nil"/>
              <w:bottom w:val="nil"/>
              <w:right w:val="nil"/>
            </w:tcBorders>
            <w:shd w:val="clear" w:color="auto" w:fill="auto"/>
            <w:noWrap/>
            <w:vAlign w:val="bottom"/>
            <w:hideMark/>
          </w:tcPr>
          <w:p w14:paraId="1886167E" w14:textId="19CF299D"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11659872</w:t>
            </w:r>
          </w:p>
        </w:tc>
        <w:tc>
          <w:tcPr>
            <w:tcW w:w="1276" w:type="dxa"/>
            <w:tcBorders>
              <w:top w:val="nil"/>
              <w:left w:val="nil"/>
              <w:bottom w:val="nil"/>
              <w:right w:val="nil"/>
            </w:tcBorders>
            <w:vAlign w:val="bottom"/>
          </w:tcPr>
          <w:p w14:paraId="2F01FE52" w14:textId="30863C57"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4.538,53 </w:t>
            </w:r>
          </w:p>
        </w:tc>
        <w:tc>
          <w:tcPr>
            <w:tcW w:w="1134" w:type="dxa"/>
            <w:tcBorders>
              <w:top w:val="nil"/>
              <w:left w:val="nil"/>
              <w:bottom w:val="nil"/>
              <w:right w:val="nil"/>
            </w:tcBorders>
            <w:vAlign w:val="center"/>
          </w:tcPr>
          <w:p w14:paraId="03525F6A" w14:textId="08BF0EC5"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59 </w:t>
            </w:r>
          </w:p>
        </w:tc>
      </w:tr>
      <w:tr w:rsidR="00AF21E0" w:rsidRPr="00DE28A4" w14:paraId="77514EDD" w14:textId="0A230F19" w:rsidTr="00AF21E0">
        <w:trPr>
          <w:trHeight w:val="300"/>
          <w:jc w:val="center"/>
        </w:trPr>
        <w:tc>
          <w:tcPr>
            <w:tcW w:w="2355" w:type="dxa"/>
            <w:tcBorders>
              <w:top w:val="nil"/>
              <w:left w:val="nil"/>
              <w:bottom w:val="nil"/>
              <w:right w:val="nil"/>
            </w:tcBorders>
            <w:shd w:val="clear" w:color="auto" w:fill="auto"/>
            <w:noWrap/>
            <w:vAlign w:val="bottom"/>
            <w:hideMark/>
          </w:tcPr>
          <w:p w14:paraId="50C81DB0" w14:textId="3EE8BFBA"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Norte</w:t>
            </w:r>
          </w:p>
        </w:tc>
        <w:tc>
          <w:tcPr>
            <w:tcW w:w="2283" w:type="dxa"/>
            <w:tcBorders>
              <w:top w:val="nil"/>
              <w:left w:val="nil"/>
              <w:bottom w:val="nil"/>
              <w:right w:val="nil"/>
            </w:tcBorders>
            <w:shd w:val="clear" w:color="auto" w:fill="auto"/>
            <w:noWrap/>
            <w:vAlign w:val="bottom"/>
            <w:hideMark/>
          </w:tcPr>
          <w:p w14:paraId="2827BCC9" w14:textId="3E9FCBD4"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R$ 13.625.217.835,88 </w:t>
            </w:r>
          </w:p>
        </w:tc>
        <w:tc>
          <w:tcPr>
            <w:tcW w:w="1599" w:type="dxa"/>
            <w:tcBorders>
              <w:top w:val="nil"/>
              <w:left w:val="nil"/>
              <w:bottom w:val="nil"/>
              <w:right w:val="nil"/>
            </w:tcBorders>
            <w:shd w:val="clear" w:color="auto" w:fill="auto"/>
            <w:noWrap/>
            <w:vAlign w:val="bottom"/>
            <w:hideMark/>
          </w:tcPr>
          <w:p w14:paraId="17822850" w14:textId="722A2EBE"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3287481</w:t>
            </w:r>
          </w:p>
        </w:tc>
        <w:tc>
          <w:tcPr>
            <w:tcW w:w="1276" w:type="dxa"/>
            <w:tcBorders>
              <w:top w:val="nil"/>
              <w:left w:val="nil"/>
              <w:bottom w:val="nil"/>
              <w:right w:val="nil"/>
            </w:tcBorders>
            <w:vAlign w:val="bottom"/>
          </w:tcPr>
          <w:p w14:paraId="0E7B861A" w14:textId="28C59572"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4.121,61 </w:t>
            </w:r>
          </w:p>
        </w:tc>
        <w:tc>
          <w:tcPr>
            <w:tcW w:w="1134" w:type="dxa"/>
            <w:tcBorders>
              <w:top w:val="nil"/>
              <w:left w:val="nil"/>
              <w:bottom w:val="nil"/>
              <w:right w:val="nil"/>
            </w:tcBorders>
            <w:vAlign w:val="center"/>
          </w:tcPr>
          <w:p w14:paraId="7E06DE4A" w14:textId="24A64D2C"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13 </w:t>
            </w:r>
          </w:p>
        </w:tc>
      </w:tr>
      <w:tr w:rsidR="00AF21E0" w:rsidRPr="00DE28A4" w14:paraId="34DDB153" w14:textId="688AB428" w:rsidTr="00AF21E0">
        <w:trPr>
          <w:trHeight w:val="300"/>
          <w:jc w:val="center"/>
        </w:trPr>
        <w:tc>
          <w:tcPr>
            <w:tcW w:w="2355" w:type="dxa"/>
            <w:tcBorders>
              <w:top w:val="nil"/>
              <w:left w:val="nil"/>
              <w:bottom w:val="nil"/>
              <w:right w:val="nil"/>
            </w:tcBorders>
            <w:shd w:val="clear" w:color="auto" w:fill="auto"/>
            <w:noWrap/>
            <w:vAlign w:val="bottom"/>
            <w:hideMark/>
          </w:tcPr>
          <w:p w14:paraId="054B7145" w14:textId="40FBE459"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lastRenderedPageBreak/>
              <w:t>Sudeste</w:t>
            </w:r>
          </w:p>
        </w:tc>
        <w:tc>
          <w:tcPr>
            <w:tcW w:w="2283" w:type="dxa"/>
            <w:tcBorders>
              <w:top w:val="nil"/>
              <w:left w:val="nil"/>
              <w:bottom w:val="nil"/>
              <w:right w:val="nil"/>
            </w:tcBorders>
            <w:shd w:val="clear" w:color="auto" w:fill="auto"/>
            <w:noWrap/>
            <w:vAlign w:val="bottom"/>
            <w:hideMark/>
          </w:tcPr>
          <w:p w14:paraId="3A4516A5" w14:textId="135B4DC0"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R$ 85.734.396.484,45 </w:t>
            </w:r>
          </w:p>
        </w:tc>
        <w:tc>
          <w:tcPr>
            <w:tcW w:w="1599" w:type="dxa"/>
            <w:tcBorders>
              <w:top w:val="nil"/>
              <w:left w:val="nil"/>
              <w:bottom w:val="nil"/>
              <w:right w:val="nil"/>
            </w:tcBorders>
            <w:shd w:val="clear" w:color="auto" w:fill="auto"/>
            <w:noWrap/>
            <w:vAlign w:val="bottom"/>
            <w:hideMark/>
          </w:tcPr>
          <w:p w14:paraId="078282B9" w14:textId="46FF45C8"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16499112</w:t>
            </w:r>
          </w:p>
        </w:tc>
        <w:tc>
          <w:tcPr>
            <w:tcW w:w="1276" w:type="dxa"/>
            <w:tcBorders>
              <w:top w:val="nil"/>
              <w:left w:val="nil"/>
              <w:bottom w:val="nil"/>
              <w:right w:val="nil"/>
            </w:tcBorders>
            <w:vAlign w:val="bottom"/>
          </w:tcPr>
          <w:p w14:paraId="70922A56" w14:textId="3F0306F6"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6.063,51 </w:t>
            </w:r>
          </w:p>
        </w:tc>
        <w:tc>
          <w:tcPr>
            <w:tcW w:w="1134" w:type="dxa"/>
            <w:tcBorders>
              <w:top w:val="nil"/>
              <w:left w:val="nil"/>
              <w:bottom w:val="nil"/>
              <w:right w:val="nil"/>
            </w:tcBorders>
            <w:vAlign w:val="center"/>
          </w:tcPr>
          <w:p w14:paraId="2C2E5A31" w14:textId="37A0BF56"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143 </w:t>
            </w:r>
          </w:p>
        </w:tc>
      </w:tr>
      <w:tr w:rsidR="00AF21E0" w:rsidRPr="00DE28A4" w14:paraId="39F1431E" w14:textId="0946E6B7" w:rsidTr="00AF21E0">
        <w:trPr>
          <w:trHeight w:val="300"/>
          <w:jc w:val="center"/>
        </w:trPr>
        <w:tc>
          <w:tcPr>
            <w:tcW w:w="2355" w:type="dxa"/>
            <w:tcBorders>
              <w:top w:val="nil"/>
              <w:left w:val="nil"/>
              <w:bottom w:val="nil"/>
              <w:right w:val="nil"/>
            </w:tcBorders>
            <w:shd w:val="clear" w:color="auto" w:fill="auto"/>
            <w:noWrap/>
            <w:vAlign w:val="bottom"/>
            <w:hideMark/>
          </w:tcPr>
          <w:p w14:paraId="37E886E2" w14:textId="70B6EA4F"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Sul</w:t>
            </w:r>
          </w:p>
        </w:tc>
        <w:tc>
          <w:tcPr>
            <w:tcW w:w="2283" w:type="dxa"/>
            <w:tcBorders>
              <w:top w:val="nil"/>
              <w:left w:val="nil"/>
              <w:bottom w:val="nil"/>
              <w:right w:val="nil"/>
            </w:tcBorders>
            <w:shd w:val="clear" w:color="auto" w:fill="auto"/>
            <w:noWrap/>
            <w:vAlign w:val="bottom"/>
            <w:hideMark/>
          </w:tcPr>
          <w:p w14:paraId="6E8B5BBF" w14:textId="30C26809"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R$ 36.396.483.352,90 </w:t>
            </w:r>
          </w:p>
        </w:tc>
        <w:tc>
          <w:tcPr>
            <w:tcW w:w="1599" w:type="dxa"/>
            <w:tcBorders>
              <w:top w:val="nil"/>
              <w:left w:val="nil"/>
              <w:bottom w:val="nil"/>
              <w:right w:val="nil"/>
            </w:tcBorders>
            <w:shd w:val="clear" w:color="auto" w:fill="auto"/>
            <w:noWrap/>
            <w:vAlign w:val="bottom"/>
            <w:hideMark/>
          </w:tcPr>
          <w:p w14:paraId="734BB1CF" w14:textId="6C0672D9"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7349248</w:t>
            </w:r>
          </w:p>
        </w:tc>
        <w:tc>
          <w:tcPr>
            <w:tcW w:w="1276" w:type="dxa"/>
            <w:tcBorders>
              <w:top w:val="nil"/>
              <w:left w:val="nil"/>
              <w:bottom w:val="nil"/>
              <w:right w:val="nil"/>
            </w:tcBorders>
            <w:vAlign w:val="bottom"/>
          </w:tcPr>
          <w:p w14:paraId="6B6FAA01" w14:textId="722EEF52"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5.666,99 </w:t>
            </w:r>
          </w:p>
        </w:tc>
        <w:tc>
          <w:tcPr>
            <w:tcW w:w="1134" w:type="dxa"/>
            <w:tcBorders>
              <w:top w:val="nil"/>
              <w:left w:val="nil"/>
              <w:bottom w:val="nil"/>
              <w:right w:val="nil"/>
            </w:tcBorders>
            <w:vAlign w:val="center"/>
          </w:tcPr>
          <w:p w14:paraId="000DB6F4" w14:textId="1AEB4DE7"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76 </w:t>
            </w:r>
          </w:p>
        </w:tc>
      </w:tr>
      <w:tr w:rsidR="00AF21E0" w:rsidRPr="00DE28A4" w14:paraId="6A067674" w14:textId="29305229" w:rsidTr="00AF21E0">
        <w:trPr>
          <w:trHeight w:val="300"/>
          <w:jc w:val="center"/>
        </w:trPr>
        <w:tc>
          <w:tcPr>
            <w:tcW w:w="2355" w:type="dxa"/>
            <w:tcBorders>
              <w:top w:val="nil"/>
              <w:left w:val="nil"/>
              <w:bottom w:val="single" w:sz="4" w:space="0" w:color="95B3D7"/>
              <w:right w:val="nil"/>
            </w:tcBorders>
            <w:shd w:val="clear" w:color="auto" w:fill="auto"/>
            <w:noWrap/>
            <w:vAlign w:val="bottom"/>
            <w:hideMark/>
          </w:tcPr>
          <w:p w14:paraId="77A8A58B" w14:textId="4441BD1D" w:rsidR="00AF21E0" w:rsidRPr="00497652" w:rsidRDefault="00AF21E0" w:rsidP="00AF21E0">
            <w:pPr>
              <w:spacing w:after="0" w:line="240" w:lineRule="auto"/>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3- Centro </w:t>
            </w:r>
            <w:proofErr w:type="gramStart"/>
            <w:r w:rsidRPr="00497652">
              <w:rPr>
                <w:rFonts w:ascii="Times New Roman" w:hAnsi="Times New Roman" w:cs="Times New Roman"/>
                <w:color w:val="000000"/>
                <w:sz w:val="20"/>
                <w:szCs w:val="20"/>
              </w:rPr>
              <w:t>Sub-Regional</w:t>
            </w:r>
            <w:proofErr w:type="gramEnd"/>
          </w:p>
        </w:tc>
        <w:tc>
          <w:tcPr>
            <w:tcW w:w="2283" w:type="dxa"/>
            <w:tcBorders>
              <w:top w:val="nil"/>
              <w:left w:val="nil"/>
              <w:bottom w:val="single" w:sz="4" w:space="0" w:color="95B3D7"/>
              <w:right w:val="nil"/>
            </w:tcBorders>
            <w:shd w:val="clear" w:color="auto" w:fill="auto"/>
            <w:noWrap/>
            <w:vAlign w:val="bottom"/>
            <w:hideMark/>
          </w:tcPr>
          <w:p w14:paraId="1BE3C8EC" w14:textId="2D1DFE55"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R$ 140.505.483.544,98 </w:t>
            </w:r>
          </w:p>
        </w:tc>
        <w:tc>
          <w:tcPr>
            <w:tcW w:w="1599" w:type="dxa"/>
            <w:tcBorders>
              <w:top w:val="nil"/>
              <w:left w:val="nil"/>
              <w:bottom w:val="single" w:sz="4" w:space="0" w:color="95B3D7"/>
              <w:right w:val="nil"/>
            </w:tcBorders>
            <w:shd w:val="clear" w:color="auto" w:fill="auto"/>
            <w:noWrap/>
            <w:vAlign w:val="bottom"/>
            <w:hideMark/>
          </w:tcPr>
          <w:p w14:paraId="0C9FD04B" w14:textId="2DFE99AC"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29137046</w:t>
            </w:r>
          </w:p>
        </w:tc>
        <w:tc>
          <w:tcPr>
            <w:tcW w:w="1276" w:type="dxa"/>
            <w:tcBorders>
              <w:top w:val="nil"/>
              <w:left w:val="nil"/>
              <w:bottom w:val="single" w:sz="4" w:space="0" w:color="95B3D7"/>
              <w:right w:val="nil"/>
            </w:tcBorders>
            <w:vAlign w:val="bottom"/>
          </w:tcPr>
          <w:p w14:paraId="03B334BD" w14:textId="0DA00278"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5.483,79 </w:t>
            </w:r>
          </w:p>
        </w:tc>
        <w:tc>
          <w:tcPr>
            <w:tcW w:w="1134" w:type="dxa"/>
            <w:tcBorders>
              <w:top w:val="nil"/>
              <w:left w:val="nil"/>
              <w:bottom w:val="single" w:sz="4" w:space="0" w:color="95B3D7"/>
              <w:right w:val="nil"/>
            </w:tcBorders>
            <w:vAlign w:val="center"/>
          </w:tcPr>
          <w:p w14:paraId="3DCCA61E" w14:textId="1D8BBB8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487 </w:t>
            </w:r>
          </w:p>
        </w:tc>
      </w:tr>
      <w:tr w:rsidR="00AF21E0" w:rsidRPr="00DE28A4" w14:paraId="0CFA932F" w14:textId="6F0DAF5A" w:rsidTr="00AF21E0">
        <w:trPr>
          <w:trHeight w:val="300"/>
          <w:jc w:val="center"/>
        </w:trPr>
        <w:tc>
          <w:tcPr>
            <w:tcW w:w="2355" w:type="dxa"/>
            <w:tcBorders>
              <w:top w:val="nil"/>
              <w:left w:val="nil"/>
              <w:bottom w:val="nil"/>
              <w:right w:val="nil"/>
            </w:tcBorders>
            <w:shd w:val="clear" w:color="auto" w:fill="auto"/>
            <w:noWrap/>
            <w:vAlign w:val="bottom"/>
            <w:hideMark/>
          </w:tcPr>
          <w:p w14:paraId="14FB3C99" w14:textId="2293508A"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Centro-Oeste</w:t>
            </w:r>
          </w:p>
        </w:tc>
        <w:tc>
          <w:tcPr>
            <w:tcW w:w="2283" w:type="dxa"/>
            <w:tcBorders>
              <w:top w:val="nil"/>
              <w:left w:val="nil"/>
              <w:bottom w:val="nil"/>
              <w:right w:val="nil"/>
            </w:tcBorders>
            <w:shd w:val="clear" w:color="auto" w:fill="auto"/>
            <w:noWrap/>
            <w:vAlign w:val="bottom"/>
            <w:hideMark/>
          </w:tcPr>
          <w:p w14:paraId="0550881C" w14:textId="72B2CD48"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R$ 12.570.126.163,42 </w:t>
            </w:r>
          </w:p>
        </w:tc>
        <w:tc>
          <w:tcPr>
            <w:tcW w:w="1599" w:type="dxa"/>
            <w:tcBorders>
              <w:top w:val="nil"/>
              <w:left w:val="nil"/>
              <w:bottom w:val="nil"/>
              <w:right w:val="nil"/>
            </w:tcBorders>
            <w:shd w:val="clear" w:color="auto" w:fill="auto"/>
            <w:noWrap/>
            <w:vAlign w:val="bottom"/>
            <w:hideMark/>
          </w:tcPr>
          <w:p w14:paraId="7D825B6E" w14:textId="738F437E"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2329321</w:t>
            </w:r>
          </w:p>
        </w:tc>
        <w:tc>
          <w:tcPr>
            <w:tcW w:w="1276" w:type="dxa"/>
            <w:tcBorders>
              <w:top w:val="nil"/>
              <w:left w:val="nil"/>
              <w:bottom w:val="nil"/>
              <w:right w:val="nil"/>
            </w:tcBorders>
            <w:vAlign w:val="bottom"/>
          </w:tcPr>
          <w:p w14:paraId="12BE1DD4" w14:textId="4E8B7BCD"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6.067,79 </w:t>
            </w:r>
          </w:p>
        </w:tc>
        <w:tc>
          <w:tcPr>
            <w:tcW w:w="1134" w:type="dxa"/>
            <w:tcBorders>
              <w:top w:val="nil"/>
              <w:left w:val="nil"/>
              <w:bottom w:val="nil"/>
              <w:right w:val="nil"/>
            </w:tcBorders>
            <w:vAlign w:val="center"/>
          </w:tcPr>
          <w:p w14:paraId="7B0D0375" w14:textId="5018643E"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41 </w:t>
            </w:r>
          </w:p>
        </w:tc>
      </w:tr>
      <w:tr w:rsidR="00AF21E0" w:rsidRPr="00DE28A4" w14:paraId="3CF076E0" w14:textId="3D4A91C5" w:rsidTr="00AF21E0">
        <w:trPr>
          <w:trHeight w:val="300"/>
          <w:jc w:val="center"/>
        </w:trPr>
        <w:tc>
          <w:tcPr>
            <w:tcW w:w="2355" w:type="dxa"/>
            <w:tcBorders>
              <w:top w:val="nil"/>
              <w:left w:val="nil"/>
              <w:bottom w:val="nil"/>
              <w:right w:val="nil"/>
            </w:tcBorders>
            <w:shd w:val="clear" w:color="auto" w:fill="auto"/>
            <w:noWrap/>
            <w:vAlign w:val="bottom"/>
            <w:hideMark/>
          </w:tcPr>
          <w:p w14:paraId="03ED2E3F" w14:textId="03869249"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Nordeste</w:t>
            </w:r>
          </w:p>
        </w:tc>
        <w:tc>
          <w:tcPr>
            <w:tcW w:w="2283" w:type="dxa"/>
            <w:tcBorders>
              <w:top w:val="nil"/>
              <w:left w:val="nil"/>
              <w:bottom w:val="nil"/>
              <w:right w:val="nil"/>
            </w:tcBorders>
            <w:shd w:val="clear" w:color="auto" w:fill="auto"/>
            <w:noWrap/>
            <w:vAlign w:val="bottom"/>
            <w:hideMark/>
          </w:tcPr>
          <w:p w14:paraId="3D13D4E5" w14:textId="507A2B28"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R$ 25.330.343.027,23 </w:t>
            </w:r>
          </w:p>
        </w:tc>
        <w:tc>
          <w:tcPr>
            <w:tcW w:w="1599" w:type="dxa"/>
            <w:tcBorders>
              <w:top w:val="nil"/>
              <w:left w:val="nil"/>
              <w:bottom w:val="nil"/>
              <w:right w:val="nil"/>
            </w:tcBorders>
            <w:shd w:val="clear" w:color="auto" w:fill="auto"/>
            <w:noWrap/>
            <w:vAlign w:val="bottom"/>
            <w:hideMark/>
          </w:tcPr>
          <w:p w14:paraId="3CDB1CE6" w14:textId="3EB6F1AA"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6686712</w:t>
            </w:r>
          </w:p>
        </w:tc>
        <w:tc>
          <w:tcPr>
            <w:tcW w:w="1276" w:type="dxa"/>
            <w:tcBorders>
              <w:top w:val="nil"/>
              <w:left w:val="nil"/>
              <w:bottom w:val="nil"/>
              <w:right w:val="nil"/>
            </w:tcBorders>
            <w:vAlign w:val="bottom"/>
          </w:tcPr>
          <w:p w14:paraId="493DF686" w14:textId="581948E1"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3.967,53 </w:t>
            </w:r>
          </w:p>
        </w:tc>
        <w:tc>
          <w:tcPr>
            <w:tcW w:w="1134" w:type="dxa"/>
            <w:tcBorders>
              <w:top w:val="nil"/>
              <w:left w:val="nil"/>
              <w:bottom w:val="nil"/>
              <w:right w:val="nil"/>
            </w:tcBorders>
            <w:vAlign w:val="center"/>
          </w:tcPr>
          <w:p w14:paraId="70C70C8D" w14:textId="52CA89BF"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95 </w:t>
            </w:r>
          </w:p>
        </w:tc>
      </w:tr>
      <w:tr w:rsidR="00AF21E0" w:rsidRPr="00DE28A4" w14:paraId="399ADFCB" w14:textId="1F398332" w:rsidTr="00AF21E0">
        <w:trPr>
          <w:trHeight w:val="300"/>
          <w:jc w:val="center"/>
        </w:trPr>
        <w:tc>
          <w:tcPr>
            <w:tcW w:w="2355" w:type="dxa"/>
            <w:tcBorders>
              <w:top w:val="nil"/>
              <w:left w:val="nil"/>
              <w:bottom w:val="nil"/>
              <w:right w:val="nil"/>
            </w:tcBorders>
            <w:shd w:val="clear" w:color="auto" w:fill="auto"/>
            <w:noWrap/>
            <w:vAlign w:val="bottom"/>
            <w:hideMark/>
          </w:tcPr>
          <w:p w14:paraId="700D489D" w14:textId="0239F821"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Norte</w:t>
            </w:r>
          </w:p>
        </w:tc>
        <w:tc>
          <w:tcPr>
            <w:tcW w:w="2283" w:type="dxa"/>
            <w:tcBorders>
              <w:top w:val="nil"/>
              <w:left w:val="nil"/>
              <w:bottom w:val="nil"/>
              <w:right w:val="nil"/>
            </w:tcBorders>
            <w:shd w:val="clear" w:color="auto" w:fill="auto"/>
            <w:noWrap/>
            <w:vAlign w:val="bottom"/>
            <w:hideMark/>
          </w:tcPr>
          <w:p w14:paraId="48A795B0" w14:textId="79D67BDD"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R$ 11.925.639.420,17 </w:t>
            </w:r>
          </w:p>
        </w:tc>
        <w:tc>
          <w:tcPr>
            <w:tcW w:w="1599" w:type="dxa"/>
            <w:tcBorders>
              <w:top w:val="nil"/>
              <w:left w:val="nil"/>
              <w:bottom w:val="nil"/>
              <w:right w:val="nil"/>
            </w:tcBorders>
            <w:shd w:val="clear" w:color="auto" w:fill="auto"/>
            <w:noWrap/>
            <w:vAlign w:val="bottom"/>
            <w:hideMark/>
          </w:tcPr>
          <w:p w14:paraId="60265515" w14:textId="03624973"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2346959</w:t>
            </w:r>
          </w:p>
        </w:tc>
        <w:tc>
          <w:tcPr>
            <w:tcW w:w="1276" w:type="dxa"/>
            <w:tcBorders>
              <w:top w:val="nil"/>
              <w:left w:val="nil"/>
              <w:bottom w:val="nil"/>
              <w:right w:val="nil"/>
            </w:tcBorders>
            <w:vAlign w:val="bottom"/>
          </w:tcPr>
          <w:p w14:paraId="23E5F988" w14:textId="5D0DBEAC"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4.531,88 </w:t>
            </w:r>
          </w:p>
        </w:tc>
        <w:tc>
          <w:tcPr>
            <w:tcW w:w="1134" w:type="dxa"/>
            <w:tcBorders>
              <w:top w:val="nil"/>
              <w:left w:val="nil"/>
              <w:bottom w:val="nil"/>
              <w:right w:val="nil"/>
            </w:tcBorders>
            <w:vAlign w:val="center"/>
          </w:tcPr>
          <w:p w14:paraId="7C6AE64F" w14:textId="3F133B7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28 </w:t>
            </w:r>
          </w:p>
        </w:tc>
      </w:tr>
      <w:tr w:rsidR="00AF21E0" w:rsidRPr="00DE28A4" w14:paraId="476E4658" w14:textId="2C125A0A" w:rsidTr="00AF21E0">
        <w:trPr>
          <w:trHeight w:val="300"/>
          <w:jc w:val="center"/>
        </w:trPr>
        <w:tc>
          <w:tcPr>
            <w:tcW w:w="2355" w:type="dxa"/>
            <w:tcBorders>
              <w:top w:val="nil"/>
              <w:left w:val="nil"/>
              <w:bottom w:val="nil"/>
              <w:right w:val="nil"/>
            </w:tcBorders>
            <w:shd w:val="clear" w:color="auto" w:fill="auto"/>
            <w:noWrap/>
            <w:vAlign w:val="bottom"/>
            <w:hideMark/>
          </w:tcPr>
          <w:p w14:paraId="05884E6F" w14:textId="24B517FB"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Sudeste</w:t>
            </w:r>
          </w:p>
        </w:tc>
        <w:tc>
          <w:tcPr>
            <w:tcW w:w="2283" w:type="dxa"/>
            <w:tcBorders>
              <w:top w:val="nil"/>
              <w:left w:val="nil"/>
              <w:bottom w:val="nil"/>
              <w:right w:val="nil"/>
            </w:tcBorders>
            <w:shd w:val="clear" w:color="auto" w:fill="auto"/>
            <w:noWrap/>
            <w:vAlign w:val="bottom"/>
            <w:hideMark/>
          </w:tcPr>
          <w:p w14:paraId="5935AA13" w14:textId="345AC16D"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R$ 60.026.960.035,36 </w:t>
            </w:r>
          </w:p>
        </w:tc>
        <w:tc>
          <w:tcPr>
            <w:tcW w:w="1599" w:type="dxa"/>
            <w:tcBorders>
              <w:top w:val="nil"/>
              <w:left w:val="nil"/>
              <w:bottom w:val="nil"/>
              <w:right w:val="nil"/>
            </w:tcBorders>
            <w:shd w:val="clear" w:color="auto" w:fill="auto"/>
            <w:noWrap/>
            <w:vAlign w:val="bottom"/>
            <w:hideMark/>
          </w:tcPr>
          <w:p w14:paraId="7ACA8C1E" w14:textId="0F7B82AE"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11556555</w:t>
            </w:r>
          </w:p>
        </w:tc>
        <w:tc>
          <w:tcPr>
            <w:tcW w:w="1276" w:type="dxa"/>
            <w:tcBorders>
              <w:top w:val="nil"/>
              <w:left w:val="nil"/>
              <w:bottom w:val="nil"/>
              <w:right w:val="nil"/>
            </w:tcBorders>
            <w:vAlign w:val="bottom"/>
          </w:tcPr>
          <w:p w14:paraId="2402960D" w14:textId="7358ABA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6.080,90 </w:t>
            </w:r>
          </w:p>
        </w:tc>
        <w:tc>
          <w:tcPr>
            <w:tcW w:w="1134" w:type="dxa"/>
            <w:tcBorders>
              <w:top w:val="nil"/>
              <w:left w:val="nil"/>
              <w:bottom w:val="nil"/>
              <w:right w:val="nil"/>
            </w:tcBorders>
            <w:vAlign w:val="center"/>
          </w:tcPr>
          <w:p w14:paraId="5714F67E" w14:textId="495AE6A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199 </w:t>
            </w:r>
          </w:p>
        </w:tc>
      </w:tr>
      <w:tr w:rsidR="00AF21E0" w:rsidRPr="00DE28A4" w14:paraId="12E97BDD" w14:textId="5A4116D7" w:rsidTr="00AF21E0">
        <w:trPr>
          <w:trHeight w:val="300"/>
          <w:jc w:val="center"/>
        </w:trPr>
        <w:tc>
          <w:tcPr>
            <w:tcW w:w="2355" w:type="dxa"/>
            <w:tcBorders>
              <w:top w:val="nil"/>
              <w:left w:val="nil"/>
              <w:bottom w:val="nil"/>
              <w:right w:val="nil"/>
            </w:tcBorders>
            <w:shd w:val="clear" w:color="auto" w:fill="auto"/>
            <w:noWrap/>
            <w:vAlign w:val="bottom"/>
            <w:hideMark/>
          </w:tcPr>
          <w:p w14:paraId="6C8D8A16" w14:textId="2592F8C3"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Sul</w:t>
            </w:r>
          </w:p>
        </w:tc>
        <w:tc>
          <w:tcPr>
            <w:tcW w:w="2283" w:type="dxa"/>
            <w:tcBorders>
              <w:top w:val="nil"/>
              <w:left w:val="nil"/>
              <w:bottom w:val="nil"/>
              <w:right w:val="nil"/>
            </w:tcBorders>
            <w:shd w:val="clear" w:color="auto" w:fill="auto"/>
            <w:noWrap/>
            <w:vAlign w:val="bottom"/>
            <w:hideMark/>
          </w:tcPr>
          <w:p w14:paraId="0CF77252" w14:textId="18BB3B0E"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R$ 30.652.414.898,80 </w:t>
            </w:r>
          </w:p>
        </w:tc>
        <w:tc>
          <w:tcPr>
            <w:tcW w:w="1599" w:type="dxa"/>
            <w:tcBorders>
              <w:top w:val="nil"/>
              <w:left w:val="nil"/>
              <w:bottom w:val="nil"/>
              <w:right w:val="nil"/>
            </w:tcBorders>
            <w:shd w:val="clear" w:color="auto" w:fill="auto"/>
            <w:noWrap/>
            <w:vAlign w:val="bottom"/>
            <w:hideMark/>
          </w:tcPr>
          <w:p w14:paraId="0BE95EE0" w14:textId="6F8821E0"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6217499</w:t>
            </w:r>
          </w:p>
        </w:tc>
        <w:tc>
          <w:tcPr>
            <w:tcW w:w="1276" w:type="dxa"/>
            <w:tcBorders>
              <w:top w:val="nil"/>
              <w:left w:val="nil"/>
              <w:bottom w:val="nil"/>
              <w:right w:val="nil"/>
            </w:tcBorders>
            <w:vAlign w:val="bottom"/>
          </w:tcPr>
          <w:p w14:paraId="39EC6F5B" w14:textId="2BBDA6A5"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5.709,01 </w:t>
            </w:r>
          </w:p>
        </w:tc>
        <w:tc>
          <w:tcPr>
            <w:tcW w:w="1134" w:type="dxa"/>
            <w:tcBorders>
              <w:top w:val="nil"/>
              <w:left w:val="nil"/>
              <w:bottom w:val="nil"/>
              <w:right w:val="nil"/>
            </w:tcBorders>
            <w:vAlign w:val="center"/>
          </w:tcPr>
          <w:p w14:paraId="0E16127F" w14:textId="3F4F0F0C"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124 </w:t>
            </w:r>
          </w:p>
        </w:tc>
      </w:tr>
      <w:tr w:rsidR="00AF21E0" w:rsidRPr="00DE28A4" w14:paraId="13C13970" w14:textId="7FD0442F" w:rsidTr="00AF21E0">
        <w:trPr>
          <w:trHeight w:val="300"/>
          <w:jc w:val="center"/>
        </w:trPr>
        <w:tc>
          <w:tcPr>
            <w:tcW w:w="2355" w:type="dxa"/>
            <w:tcBorders>
              <w:top w:val="nil"/>
              <w:left w:val="nil"/>
              <w:bottom w:val="single" w:sz="4" w:space="0" w:color="95B3D7"/>
              <w:right w:val="nil"/>
            </w:tcBorders>
            <w:shd w:val="clear" w:color="auto" w:fill="auto"/>
            <w:noWrap/>
            <w:vAlign w:val="bottom"/>
            <w:hideMark/>
          </w:tcPr>
          <w:p w14:paraId="22418183" w14:textId="3D0BFB43" w:rsidR="00AF21E0" w:rsidRPr="00497652" w:rsidRDefault="00AF21E0" w:rsidP="00AF21E0">
            <w:pPr>
              <w:spacing w:after="0" w:line="240" w:lineRule="auto"/>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4 - Centro de Zona</w:t>
            </w:r>
          </w:p>
        </w:tc>
        <w:tc>
          <w:tcPr>
            <w:tcW w:w="2283" w:type="dxa"/>
            <w:tcBorders>
              <w:top w:val="nil"/>
              <w:left w:val="nil"/>
              <w:bottom w:val="single" w:sz="4" w:space="0" w:color="95B3D7"/>
              <w:right w:val="nil"/>
            </w:tcBorders>
            <w:shd w:val="clear" w:color="auto" w:fill="auto"/>
            <w:noWrap/>
            <w:vAlign w:val="bottom"/>
            <w:hideMark/>
          </w:tcPr>
          <w:p w14:paraId="46124938" w14:textId="61D5545C"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R$ 53.508.886.322,09 </w:t>
            </w:r>
          </w:p>
        </w:tc>
        <w:tc>
          <w:tcPr>
            <w:tcW w:w="1599" w:type="dxa"/>
            <w:tcBorders>
              <w:top w:val="nil"/>
              <w:left w:val="nil"/>
              <w:bottom w:val="single" w:sz="4" w:space="0" w:color="95B3D7"/>
              <w:right w:val="nil"/>
            </w:tcBorders>
            <w:shd w:val="clear" w:color="auto" w:fill="auto"/>
            <w:noWrap/>
            <w:vAlign w:val="bottom"/>
            <w:hideMark/>
          </w:tcPr>
          <w:p w14:paraId="468FBFE3" w14:textId="47860B10"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11698058</w:t>
            </w:r>
          </w:p>
        </w:tc>
        <w:tc>
          <w:tcPr>
            <w:tcW w:w="1276" w:type="dxa"/>
            <w:tcBorders>
              <w:top w:val="nil"/>
              <w:left w:val="nil"/>
              <w:bottom w:val="single" w:sz="4" w:space="0" w:color="95B3D7"/>
              <w:right w:val="nil"/>
            </w:tcBorders>
            <w:vAlign w:val="bottom"/>
          </w:tcPr>
          <w:p w14:paraId="3C7054DB" w14:textId="25AEC95B"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4.934,40 </w:t>
            </w:r>
          </w:p>
        </w:tc>
        <w:tc>
          <w:tcPr>
            <w:tcW w:w="1134" w:type="dxa"/>
            <w:tcBorders>
              <w:top w:val="nil"/>
              <w:left w:val="nil"/>
              <w:bottom w:val="single" w:sz="4" w:space="0" w:color="95B3D7"/>
              <w:right w:val="nil"/>
            </w:tcBorders>
            <w:vAlign w:val="center"/>
          </w:tcPr>
          <w:p w14:paraId="73D4CC29" w14:textId="570127A9"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427 </w:t>
            </w:r>
          </w:p>
        </w:tc>
      </w:tr>
      <w:tr w:rsidR="00AF21E0" w:rsidRPr="00DE28A4" w14:paraId="6B28ABA1" w14:textId="45A9424C" w:rsidTr="00AF21E0">
        <w:trPr>
          <w:trHeight w:val="300"/>
          <w:jc w:val="center"/>
        </w:trPr>
        <w:tc>
          <w:tcPr>
            <w:tcW w:w="2355" w:type="dxa"/>
            <w:tcBorders>
              <w:top w:val="nil"/>
              <w:left w:val="nil"/>
              <w:bottom w:val="nil"/>
              <w:right w:val="nil"/>
            </w:tcBorders>
            <w:shd w:val="clear" w:color="auto" w:fill="auto"/>
            <w:noWrap/>
            <w:vAlign w:val="bottom"/>
            <w:hideMark/>
          </w:tcPr>
          <w:p w14:paraId="76C54C95" w14:textId="610B1EE0"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Centro-Oeste</w:t>
            </w:r>
          </w:p>
        </w:tc>
        <w:tc>
          <w:tcPr>
            <w:tcW w:w="2283" w:type="dxa"/>
            <w:tcBorders>
              <w:top w:val="nil"/>
              <w:left w:val="nil"/>
              <w:bottom w:val="nil"/>
              <w:right w:val="nil"/>
            </w:tcBorders>
            <w:shd w:val="clear" w:color="auto" w:fill="auto"/>
            <w:noWrap/>
            <w:vAlign w:val="bottom"/>
            <w:hideMark/>
          </w:tcPr>
          <w:p w14:paraId="0A17FA9A" w14:textId="713B9887"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R$ 6.484.751.926,33 </w:t>
            </w:r>
          </w:p>
        </w:tc>
        <w:tc>
          <w:tcPr>
            <w:tcW w:w="1599" w:type="dxa"/>
            <w:tcBorders>
              <w:top w:val="nil"/>
              <w:left w:val="nil"/>
              <w:bottom w:val="nil"/>
              <w:right w:val="nil"/>
            </w:tcBorders>
            <w:shd w:val="clear" w:color="auto" w:fill="auto"/>
            <w:noWrap/>
            <w:vAlign w:val="bottom"/>
            <w:hideMark/>
          </w:tcPr>
          <w:p w14:paraId="54F58CD5" w14:textId="0DE6E91B"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1152044</w:t>
            </w:r>
          </w:p>
        </w:tc>
        <w:tc>
          <w:tcPr>
            <w:tcW w:w="1276" w:type="dxa"/>
            <w:tcBorders>
              <w:top w:val="nil"/>
              <w:left w:val="nil"/>
              <w:bottom w:val="nil"/>
              <w:right w:val="nil"/>
            </w:tcBorders>
            <w:vAlign w:val="bottom"/>
          </w:tcPr>
          <w:p w14:paraId="4F84D6A6" w14:textId="3D6F717D"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5.873,90 </w:t>
            </w:r>
          </w:p>
        </w:tc>
        <w:tc>
          <w:tcPr>
            <w:tcW w:w="1134" w:type="dxa"/>
            <w:tcBorders>
              <w:top w:val="nil"/>
              <w:left w:val="nil"/>
              <w:bottom w:val="nil"/>
              <w:right w:val="nil"/>
            </w:tcBorders>
            <w:vAlign w:val="center"/>
          </w:tcPr>
          <w:p w14:paraId="09612BC3" w14:textId="5FDCAD87"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47 </w:t>
            </w:r>
          </w:p>
        </w:tc>
      </w:tr>
      <w:tr w:rsidR="00AF21E0" w:rsidRPr="00DE28A4" w14:paraId="7FF8CF98" w14:textId="6FD89C9F" w:rsidTr="00AF21E0">
        <w:trPr>
          <w:trHeight w:val="300"/>
          <w:jc w:val="center"/>
        </w:trPr>
        <w:tc>
          <w:tcPr>
            <w:tcW w:w="2355" w:type="dxa"/>
            <w:tcBorders>
              <w:top w:val="nil"/>
              <w:left w:val="nil"/>
              <w:bottom w:val="nil"/>
              <w:right w:val="nil"/>
            </w:tcBorders>
            <w:shd w:val="clear" w:color="auto" w:fill="auto"/>
            <w:noWrap/>
            <w:vAlign w:val="bottom"/>
            <w:hideMark/>
          </w:tcPr>
          <w:p w14:paraId="124D410B" w14:textId="2C5D66FC"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Nordeste</w:t>
            </w:r>
          </w:p>
        </w:tc>
        <w:tc>
          <w:tcPr>
            <w:tcW w:w="2283" w:type="dxa"/>
            <w:tcBorders>
              <w:top w:val="nil"/>
              <w:left w:val="nil"/>
              <w:bottom w:val="nil"/>
              <w:right w:val="nil"/>
            </w:tcBorders>
            <w:shd w:val="clear" w:color="auto" w:fill="auto"/>
            <w:noWrap/>
            <w:vAlign w:val="bottom"/>
            <w:hideMark/>
          </w:tcPr>
          <w:p w14:paraId="38C4F8B8" w14:textId="16575667"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R$ 17.984.763.099,94 </w:t>
            </w:r>
          </w:p>
        </w:tc>
        <w:tc>
          <w:tcPr>
            <w:tcW w:w="1599" w:type="dxa"/>
            <w:tcBorders>
              <w:top w:val="nil"/>
              <w:left w:val="nil"/>
              <w:bottom w:val="nil"/>
              <w:right w:val="nil"/>
            </w:tcBorders>
            <w:shd w:val="clear" w:color="auto" w:fill="auto"/>
            <w:noWrap/>
            <w:vAlign w:val="bottom"/>
            <w:hideMark/>
          </w:tcPr>
          <w:p w14:paraId="77868DBF" w14:textId="6C0C5152"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4382026</w:t>
            </w:r>
          </w:p>
        </w:tc>
        <w:tc>
          <w:tcPr>
            <w:tcW w:w="1276" w:type="dxa"/>
            <w:tcBorders>
              <w:top w:val="nil"/>
              <w:left w:val="nil"/>
              <w:bottom w:val="nil"/>
              <w:right w:val="nil"/>
            </w:tcBorders>
            <w:vAlign w:val="bottom"/>
          </w:tcPr>
          <w:p w14:paraId="3EFA3A9A" w14:textId="7761A28C"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4.190,36 </w:t>
            </w:r>
          </w:p>
        </w:tc>
        <w:tc>
          <w:tcPr>
            <w:tcW w:w="1134" w:type="dxa"/>
            <w:tcBorders>
              <w:top w:val="nil"/>
              <w:left w:val="nil"/>
              <w:bottom w:val="nil"/>
              <w:right w:val="nil"/>
            </w:tcBorders>
            <w:vAlign w:val="center"/>
          </w:tcPr>
          <w:p w14:paraId="63FD7639" w14:textId="646ED1D0"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138 </w:t>
            </w:r>
          </w:p>
        </w:tc>
      </w:tr>
      <w:tr w:rsidR="00AF21E0" w:rsidRPr="00DE28A4" w14:paraId="162FA8CB" w14:textId="0DAD494B" w:rsidTr="00AF21E0">
        <w:trPr>
          <w:trHeight w:val="300"/>
          <w:jc w:val="center"/>
        </w:trPr>
        <w:tc>
          <w:tcPr>
            <w:tcW w:w="2355" w:type="dxa"/>
            <w:tcBorders>
              <w:top w:val="nil"/>
              <w:left w:val="nil"/>
              <w:bottom w:val="nil"/>
              <w:right w:val="nil"/>
            </w:tcBorders>
            <w:shd w:val="clear" w:color="auto" w:fill="auto"/>
            <w:noWrap/>
            <w:vAlign w:val="bottom"/>
            <w:hideMark/>
          </w:tcPr>
          <w:p w14:paraId="0740FA20" w14:textId="6008E4D3"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Norte</w:t>
            </w:r>
          </w:p>
        </w:tc>
        <w:tc>
          <w:tcPr>
            <w:tcW w:w="2283" w:type="dxa"/>
            <w:tcBorders>
              <w:top w:val="nil"/>
              <w:left w:val="nil"/>
              <w:bottom w:val="nil"/>
              <w:right w:val="nil"/>
            </w:tcBorders>
            <w:shd w:val="clear" w:color="auto" w:fill="auto"/>
            <w:noWrap/>
            <w:vAlign w:val="bottom"/>
            <w:hideMark/>
          </w:tcPr>
          <w:p w14:paraId="62C8537F" w14:textId="2F9A5B80"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R$ 3.408.007.850,99 </w:t>
            </w:r>
          </w:p>
        </w:tc>
        <w:tc>
          <w:tcPr>
            <w:tcW w:w="1599" w:type="dxa"/>
            <w:tcBorders>
              <w:top w:val="nil"/>
              <w:left w:val="nil"/>
              <w:bottom w:val="nil"/>
              <w:right w:val="nil"/>
            </w:tcBorders>
            <w:shd w:val="clear" w:color="auto" w:fill="auto"/>
            <w:noWrap/>
            <w:vAlign w:val="bottom"/>
            <w:hideMark/>
          </w:tcPr>
          <w:p w14:paraId="3A381FFB" w14:textId="77334D9C"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820895</w:t>
            </w:r>
          </w:p>
        </w:tc>
        <w:tc>
          <w:tcPr>
            <w:tcW w:w="1276" w:type="dxa"/>
            <w:tcBorders>
              <w:top w:val="nil"/>
              <w:left w:val="nil"/>
              <w:bottom w:val="nil"/>
              <w:right w:val="nil"/>
            </w:tcBorders>
            <w:vAlign w:val="bottom"/>
          </w:tcPr>
          <w:p w14:paraId="417EB5E4" w14:textId="77A5C267"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4.994,39 </w:t>
            </w:r>
          </w:p>
        </w:tc>
        <w:tc>
          <w:tcPr>
            <w:tcW w:w="1134" w:type="dxa"/>
            <w:tcBorders>
              <w:top w:val="nil"/>
              <w:left w:val="nil"/>
              <w:bottom w:val="nil"/>
              <w:right w:val="nil"/>
            </w:tcBorders>
            <w:vAlign w:val="center"/>
          </w:tcPr>
          <w:p w14:paraId="4BE17AE4" w14:textId="2FF9EC76"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26 </w:t>
            </w:r>
          </w:p>
        </w:tc>
      </w:tr>
      <w:tr w:rsidR="00AF21E0" w:rsidRPr="00DE28A4" w14:paraId="506218BA" w14:textId="243462F5" w:rsidTr="00AF21E0">
        <w:trPr>
          <w:trHeight w:val="300"/>
          <w:jc w:val="center"/>
        </w:trPr>
        <w:tc>
          <w:tcPr>
            <w:tcW w:w="2355" w:type="dxa"/>
            <w:tcBorders>
              <w:top w:val="nil"/>
              <w:left w:val="nil"/>
              <w:bottom w:val="nil"/>
              <w:right w:val="nil"/>
            </w:tcBorders>
            <w:shd w:val="clear" w:color="auto" w:fill="auto"/>
            <w:noWrap/>
            <w:vAlign w:val="bottom"/>
            <w:hideMark/>
          </w:tcPr>
          <w:p w14:paraId="3D6B2799" w14:textId="2920FB88"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Sudeste</w:t>
            </w:r>
          </w:p>
        </w:tc>
        <w:tc>
          <w:tcPr>
            <w:tcW w:w="2283" w:type="dxa"/>
            <w:tcBorders>
              <w:top w:val="nil"/>
              <w:left w:val="nil"/>
              <w:bottom w:val="nil"/>
              <w:right w:val="nil"/>
            </w:tcBorders>
            <w:shd w:val="clear" w:color="auto" w:fill="auto"/>
            <w:noWrap/>
            <w:vAlign w:val="bottom"/>
            <w:hideMark/>
          </w:tcPr>
          <w:p w14:paraId="52DAE6BB" w14:textId="4FB50C2D"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R$ 15.016.842.683,66 </w:t>
            </w:r>
          </w:p>
        </w:tc>
        <w:tc>
          <w:tcPr>
            <w:tcW w:w="1599" w:type="dxa"/>
            <w:tcBorders>
              <w:top w:val="nil"/>
              <w:left w:val="nil"/>
              <w:bottom w:val="nil"/>
              <w:right w:val="nil"/>
            </w:tcBorders>
            <w:shd w:val="clear" w:color="auto" w:fill="auto"/>
            <w:noWrap/>
            <w:vAlign w:val="bottom"/>
            <w:hideMark/>
          </w:tcPr>
          <w:p w14:paraId="32D27F15" w14:textId="20286EF1"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3314455</w:t>
            </w:r>
          </w:p>
        </w:tc>
        <w:tc>
          <w:tcPr>
            <w:tcW w:w="1276" w:type="dxa"/>
            <w:tcBorders>
              <w:top w:val="nil"/>
              <w:left w:val="nil"/>
              <w:bottom w:val="nil"/>
              <w:right w:val="nil"/>
            </w:tcBorders>
            <w:vAlign w:val="bottom"/>
          </w:tcPr>
          <w:p w14:paraId="77DEEF13" w14:textId="2D1FD8D6"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4.923,53 </w:t>
            </w:r>
          </w:p>
        </w:tc>
        <w:tc>
          <w:tcPr>
            <w:tcW w:w="1134" w:type="dxa"/>
            <w:tcBorders>
              <w:top w:val="nil"/>
              <w:left w:val="nil"/>
              <w:bottom w:val="nil"/>
              <w:right w:val="nil"/>
            </w:tcBorders>
            <w:vAlign w:val="center"/>
          </w:tcPr>
          <w:p w14:paraId="08C51A96" w14:textId="207FC48E"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119 </w:t>
            </w:r>
          </w:p>
        </w:tc>
      </w:tr>
      <w:tr w:rsidR="00AF21E0" w:rsidRPr="00DE28A4" w14:paraId="29A35CD9" w14:textId="0C99AE35" w:rsidTr="00AF21E0">
        <w:trPr>
          <w:trHeight w:val="300"/>
          <w:jc w:val="center"/>
        </w:trPr>
        <w:tc>
          <w:tcPr>
            <w:tcW w:w="2355" w:type="dxa"/>
            <w:tcBorders>
              <w:top w:val="nil"/>
              <w:left w:val="nil"/>
              <w:bottom w:val="nil"/>
              <w:right w:val="nil"/>
            </w:tcBorders>
            <w:shd w:val="clear" w:color="auto" w:fill="auto"/>
            <w:noWrap/>
            <w:vAlign w:val="bottom"/>
            <w:hideMark/>
          </w:tcPr>
          <w:p w14:paraId="5E5B7814" w14:textId="4AEE6949"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Sul</w:t>
            </w:r>
          </w:p>
        </w:tc>
        <w:tc>
          <w:tcPr>
            <w:tcW w:w="2283" w:type="dxa"/>
            <w:tcBorders>
              <w:top w:val="nil"/>
              <w:left w:val="nil"/>
              <w:bottom w:val="nil"/>
              <w:right w:val="nil"/>
            </w:tcBorders>
            <w:shd w:val="clear" w:color="auto" w:fill="auto"/>
            <w:noWrap/>
            <w:vAlign w:val="bottom"/>
            <w:hideMark/>
          </w:tcPr>
          <w:p w14:paraId="761A6F4E" w14:textId="6FA0E98B"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R$ 10.614.520.761,17 </w:t>
            </w:r>
          </w:p>
        </w:tc>
        <w:tc>
          <w:tcPr>
            <w:tcW w:w="1599" w:type="dxa"/>
            <w:tcBorders>
              <w:top w:val="nil"/>
              <w:left w:val="nil"/>
              <w:bottom w:val="nil"/>
              <w:right w:val="nil"/>
            </w:tcBorders>
            <w:shd w:val="clear" w:color="auto" w:fill="auto"/>
            <w:noWrap/>
            <w:vAlign w:val="bottom"/>
            <w:hideMark/>
          </w:tcPr>
          <w:p w14:paraId="6F2CED95" w14:textId="04E7B803"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2028638</w:t>
            </w:r>
          </w:p>
        </w:tc>
        <w:tc>
          <w:tcPr>
            <w:tcW w:w="1276" w:type="dxa"/>
            <w:tcBorders>
              <w:top w:val="nil"/>
              <w:left w:val="nil"/>
              <w:bottom w:val="nil"/>
              <w:right w:val="nil"/>
            </w:tcBorders>
            <w:vAlign w:val="bottom"/>
          </w:tcPr>
          <w:p w14:paraId="50A1ECD4" w14:textId="39CE677A"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5.534,96 </w:t>
            </w:r>
          </w:p>
        </w:tc>
        <w:tc>
          <w:tcPr>
            <w:tcW w:w="1134" w:type="dxa"/>
            <w:tcBorders>
              <w:top w:val="nil"/>
              <w:left w:val="nil"/>
              <w:bottom w:val="nil"/>
              <w:right w:val="nil"/>
            </w:tcBorders>
            <w:vAlign w:val="center"/>
          </w:tcPr>
          <w:p w14:paraId="7EBCE631" w14:textId="21F12B3C"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97 </w:t>
            </w:r>
          </w:p>
        </w:tc>
      </w:tr>
      <w:tr w:rsidR="00AF21E0" w:rsidRPr="00DE28A4" w14:paraId="7DF6BEDB" w14:textId="2FD7D5D2" w:rsidTr="00AF21E0">
        <w:trPr>
          <w:trHeight w:val="300"/>
          <w:jc w:val="center"/>
        </w:trPr>
        <w:tc>
          <w:tcPr>
            <w:tcW w:w="2355" w:type="dxa"/>
            <w:tcBorders>
              <w:top w:val="nil"/>
              <w:left w:val="nil"/>
              <w:bottom w:val="single" w:sz="4" w:space="0" w:color="95B3D7"/>
              <w:right w:val="nil"/>
            </w:tcBorders>
            <w:shd w:val="clear" w:color="auto" w:fill="auto"/>
            <w:noWrap/>
            <w:vAlign w:val="bottom"/>
            <w:hideMark/>
          </w:tcPr>
          <w:p w14:paraId="7B2DC413" w14:textId="2D504CFD" w:rsidR="00AF21E0" w:rsidRPr="00497652" w:rsidRDefault="00AF21E0" w:rsidP="00AF21E0">
            <w:pPr>
              <w:spacing w:after="0" w:line="240" w:lineRule="auto"/>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5 - Centro Local</w:t>
            </w:r>
          </w:p>
        </w:tc>
        <w:tc>
          <w:tcPr>
            <w:tcW w:w="2283" w:type="dxa"/>
            <w:tcBorders>
              <w:top w:val="nil"/>
              <w:left w:val="nil"/>
              <w:bottom w:val="single" w:sz="4" w:space="0" w:color="95B3D7"/>
              <w:right w:val="nil"/>
            </w:tcBorders>
            <w:shd w:val="clear" w:color="auto" w:fill="auto"/>
            <w:noWrap/>
            <w:vAlign w:val="bottom"/>
            <w:hideMark/>
          </w:tcPr>
          <w:p w14:paraId="25C8058A" w14:textId="0B2C797A"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R$ 251.715.738.210,93 </w:t>
            </w:r>
          </w:p>
        </w:tc>
        <w:tc>
          <w:tcPr>
            <w:tcW w:w="1599" w:type="dxa"/>
            <w:tcBorders>
              <w:top w:val="nil"/>
              <w:left w:val="nil"/>
              <w:bottom w:val="single" w:sz="4" w:space="0" w:color="95B3D7"/>
              <w:right w:val="nil"/>
            </w:tcBorders>
            <w:shd w:val="clear" w:color="auto" w:fill="auto"/>
            <w:noWrap/>
            <w:vAlign w:val="bottom"/>
            <w:hideMark/>
          </w:tcPr>
          <w:p w14:paraId="058943B2" w14:textId="1C10CE4C"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47038595</w:t>
            </w:r>
          </w:p>
        </w:tc>
        <w:tc>
          <w:tcPr>
            <w:tcW w:w="1276" w:type="dxa"/>
            <w:tcBorders>
              <w:top w:val="nil"/>
              <w:left w:val="nil"/>
              <w:bottom w:val="single" w:sz="4" w:space="0" w:color="95B3D7"/>
              <w:right w:val="nil"/>
            </w:tcBorders>
            <w:vAlign w:val="bottom"/>
          </w:tcPr>
          <w:p w14:paraId="069487FD" w14:textId="3E64961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6.454,86 </w:t>
            </w:r>
          </w:p>
        </w:tc>
        <w:tc>
          <w:tcPr>
            <w:tcW w:w="1134" w:type="dxa"/>
            <w:tcBorders>
              <w:top w:val="nil"/>
              <w:left w:val="nil"/>
              <w:bottom w:val="single" w:sz="4" w:space="0" w:color="95B3D7"/>
              <w:right w:val="nil"/>
            </w:tcBorders>
            <w:vAlign w:val="center"/>
          </w:tcPr>
          <w:p w14:paraId="0632A20C" w14:textId="5819F790"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3.970 </w:t>
            </w:r>
          </w:p>
        </w:tc>
      </w:tr>
      <w:tr w:rsidR="00AF21E0" w:rsidRPr="00DE28A4" w14:paraId="29EF3FDC" w14:textId="5F7F6825" w:rsidTr="00AF21E0">
        <w:trPr>
          <w:trHeight w:val="300"/>
          <w:jc w:val="center"/>
        </w:trPr>
        <w:tc>
          <w:tcPr>
            <w:tcW w:w="2355" w:type="dxa"/>
            <w:tcBorders>
              <w:top w:val="nil"/>
              <w:left w:val="nil"/>
              <w:bottom w:val="nil"/>
              <w:right w:val="nil"/>
            </w:tcBorders>
            <w:shd w:val="clear" w:color="auto" w:fill="auto"/>
            <w:noWrap/>
            <w:vAlign w:val="bottom"/>
            <w:hideMark/>
          </w:tcPr>
          <w:p w14:paraId="7E04C46D" w14:textId="12C2FC4F"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Centro-Oeste</w:t>
            </w:r>
          </w:p>
        </w:tc>
        <w:tc>
          <w:tcPr>
            <w:tcW w:w="2283" w:type="dxa"/>
            <w:tcBorders>
              <w:top w:val="nil"/>
              <w:left w:val="nil"/>
              <w:bottom w:val="nil"/>
              <w:right w:val="nil"/>
            </w:tcBorders>
            <w:shd w:val="clear" w:color="auto" w:fill="auto"/>
            <w:noWrap/>
            <w:vAlign w:val="bottom"/>
            <w:hideMark/>
          </w:tcPr>
          <w:p w14:paraId="17F086F5" w14:textId="443CFA16"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R$ 20.492.411.409,30 </w:t>
            </w:r>
          </w:p>
        </w:tc>
        <w:tc>
          <w:tcPr>
            <w:tcW w:w="1599" w:type="dxa"/>
            <w:tcBorders>
              <w:top w:val="nil"/>
              <w:left w:val="nil"/>
              <w:bottom w:val="nil"/>
              <w:right w:val="nil"/>
            </w:tcBorders>
            <w:shd w:val="clear" w:color="auto" w:fill="auto"/>
            <w:noWrap/>
            <w:vAlign w:val="bottom"/>
            <w:hideMark/>
          </w:tcPr>
          <w:p w14:paraId="01761423" w14:textId="2A9F9C76"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3050013</w:t>
            </w:r>
          </w:p>
        </w:tc>
        <w:tc>
          <w:tcPr>
            <w:tcW w:w="1276" w:type="dxa"/>
            <w:tcBorders>
              <w:top w:val="nil"/>
              <w:left w:val="nil"/>
              <w:bottom w:val="nil"/>
              <w:right w:val="nil"/>
            </w:tcBorders>
            <w:vAlign w:val="bottom"/>
          </w:tcPr>
          <w:p w14:paraId="08978C5A" w14:textId="33DE402D"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7.991,32 </w:t>
            </w:r>
          </w:p>
        </w:tc>
        <w:tc>
          <w:tcPr>
            <w:tcW w:w="1134" w:type="dxa"/>
            <w:tcBorders>
              <w:top w:val="nil"/>
              <w:left w:val="nil"/>
              <w:bottom w:val="nil"/>
              <w:right w:val="nil"/>
            </w:tcBorders>
            <w:vAlign w:val="center"/>
          </w:tcPr>
          <w:p w14:paraId="35CB3FB7" w14:textId="158BCC0A"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325 </w:t>
            </w:r>
          </w:p>
        </w:tc>
      </w:tr>
      <w:tr w:rsidR="00AF21E0" w:rsidRPr="00DE28A4" w14:paraId="0850D896" w14:textId="51581503" w:rsidTr="00AF21E0">
        <w:trPr>
          <w:trHeight w:val="300"/>
          <w:jc w:val="center"/>
        </w:trPr>
        <w:tc>
          <w:tcPr>
            <w:tcW w:w="2355" w:type="dxa"/>
            <w:tcBorders>
              <w:top w:val="nil"/>
              <w:left w:val="nil"/>
              <w:bottom w:val="nil"/>
              <w:right w:val="nil"/>
            </w:tcBorders>
            <w:shd w:val="clear" w:color="auto" w:fill="auto"/>
            <w:noWrap/>
            <w:vAlign w:val="bottom"/>
            <w:hideMark/>
          </w:tcPr>
          <w:p w14:paraId="5A7196CA" w14:textId="4B61053A"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Nordeste</w:t>
            </w:r>
          </w:p>
        </w:tc>
        <w:tc>
          <w:tcPr>
            <w:tcW w:w="2283" w:type="dxa"/>
            <w:tcBorders>
              <w:top w:val="nil"/>
              <w:left w:val="nil"/>
              <w:bottom w:val="nil"/>
              <w:right w:val="nil"/>
            </w:tcBorders>
            <w:shd w:val="clear" w:color="auto" w:fill="auto"/>
            <w:noWrap/>
            <w:vAlign w:val="bottom"/>
            <w:hideMark/>
          </w:tcPr>
          <w:p w14:paraId="52B2ADBE" w14:textId="725303BE"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R$ 94.436.748.702,79 </w:t>
            </w:r>
          </w:p>
        </w:tc>
        <w:tc>
          <w:tcPr>
            <w:tcW w:w="1599" w:type="dxa"/>
            <w:tcBorders>
              <w:top w:val="nil"/>
              <w:left w:val="nil"/>
              <w:bottom w:val="nil"/>
              <w:right w:val="nil"/>
            </w:tcBorders>
            <w:shd w:val="clear" w:color="auto" w:fill="auto"/>
            <w:noWrap/>
            <w:vAlign w:val="bottom"/>
            <w:hideMark/>
          </w:tcPr>
          <w:p w14:paraId="2BC038D4" w14:textId="77E91D4A"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20372811</w:t>
            </w:r>
          </w:p>
        </w:tc>
        <w:tc>
          <w:tcPr>
            <w:tcW w:w="1276" w:type="dxa"/>
            <w:tcBorders>
              <w:top w:val="nil"/>
              <w:left w:val="nil"/>
              <w:bottom w:val="nil"/>
              <w:right w:val="nil"/>
            </w:tcBorders>
            <w:vAlign w:val="bottom"/>
          </w:tcPr>
          <w:p w14:paraId="6B1E5084" w14:textId="7050E00D"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5.218,19 </w:t>
            </w:r>
          </w:p>
        </w:tc>
        <w:tc>
          <w:tcPr>
            <w:tcW w:w="1134" w:type="dxa"/>
            <w:tcBorders>
              <w:top w:val="nil"/>
              <w:left w:val="nil"/>
              <w:bottom w:val="nil"/>
              <w:right w:val="nil"/>
            </w:tcBorders>
            <w:vAlign w:val="center"/>
          </w:tcPr>
          <w:p w14:paraId="3B2B0382" w14:textId="4B6E3F04"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1.416 </w:t>
            </w:r>
          </w:p>
        </w:tc>
      </w:tr>
      <w:tr w:rsidR="00AF21E0" w:rsidRPr="00DE28A4" w14:paraId="58CC136A" w14:textId="7C326FE2" w:rsidTr="00AF21E0">
        <w:trPr>
          <w:trHeight w:val="300"/>
          <w:jc w:val="center"/>
        </w:trPr>
        <w:tc>
          <w:tcPr>
            <w:tcW w:w="2355" w:type="dxa"/>
            <w:tcBorders>
              <w:top w:val="nil"/>
              <w:left w:val="nil"/>
              <w:bottom w:val="nil"/>
              <w:right w:val="nil"/>
            </w:tcBorders>
            <w:shd w:val="clear" w:color="auto" w:fill="auto"/>
            <w:noWrap/>
            <w:vAlign w:val="bottom"/>
            <w:hideMark/>
          </w:tcPr>
          <w:p w14:paraId="2091B57B" w14:textId="2D8B2045"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Norte</w:t>
            </w:r>
          </w:p>
        </w:tc>
        <w:tc>
          <w:tcPr>
            <w:tcW w:w="2283" w:type="dxa"/>
            <w:tcBorders>
              <w:top w:val="nil"/>
              <w:left w:val="nil"/>
              <w:bottom w:val="nil"/>
              <w:right w:val="nil"/>
            </w:tcBorders>
            <w:shd w:val="clear" w:color="auto" w:fill="auto"/>
            <w:noWrap/>
            <w:vAlign w:val="bottom"/>
            <w:hideMark/>
          </w:tcPr>
          <w:p w14:paraId="10EBF200" w14:textId="689828CD"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R$ 32.859.059.232,98 </w:t>
            </w:r>
          </w:p>
        </w:tc>
        <w:tc>
          <w:tcPr>
            <w:tcW w:w="1599" w:type="dxa"/>
            <w:tcBorders>
              <w:top w:val="nil"/>
              <w:left w:val="nil"/>
              <w:bottom w:val="nil"/>
              <w:right w:val="nil"/>
            </w:tcBorders>
            <w:shd w:val="clear" w:color="auto" w:fill="auto"/>
            <w:noWrap/>
            <w:vAlign w:val="bottom"/>
            <w:hideMark/>
          </w:tcPr>
          <w:p w14:paraId="46AF93F6" w14:textId="11080FCE"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6459105</w:t>
            </w:r>
          </w:p>
        </w:tc>
        <w:tc>
          <w:tcPr>
            <w:tcW w:w="1276" w:type="dxa"/>
            <w:tcBorders>
              <w:top w:val="nil"/>
              <w:left w:val="nil"/>
              <w:bottom w:val="nil"/>
              <w:right w:val="nil"/>
            </w:tcBorders>
            <w:vAlign w:val="bottom"/>
          </w:tcPr>
          <w:p w14:paraId="7F998780" w14:textId="69B04D87"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6.022,45 </w:t>
            </w:r>
          </w:p>
        </w:tc>
        <w:tc>
          <w:tcPr>
            <w:tcW w:w="1134" w:type="dxa"/>
            <w:tcBorders>
              <w:top w:val="nil"/>
              <w:left w:val="nil"/>
              <w:bottom w:val="nil"/>
              <w:right w:val="nil"/>
            </w:tcBorders>
            <w:vAlign w:val="center"/>
          </w:tcPr>
          <w:p w14:paraId="35FB3341" w14:textId="2F1F59C0"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355 </w:t>
            </w:r>
          </w:p>
        </w:tc>
      </w:tr>
      <w:tr w:rsidR="00AF21E0" w:rsidRPr="00DE28A4" w14:paraId="5DC725D5" w14:textId="00EA0BB9" w:rsidTr="00AF21E0">
        <w:trPr>
          <w:trHeight w:val="300"/>
          <w:jc w:val="center"/>
        </w:trPr>
        <w:tc>
          <w:tcPr>
            <w:tcW w:w="2355" w:type="dxa"/>
            <w:tcBorders>
              <w:top w:val="nil"/>
              <w:left w:val="nil"/>
              <w:bottom w:val="nil"/>
              <w:right w:val="nil"/>
            </w:tcBorders>
            <w:shd w:val="clear" w:color="auto" w:fill="auto"/>
            <w:noWrap/>
            <w:vAlign w:val="bottom"/>
            <w:hideMark/>
          </w:tcPr>
          <w:p w14:paraId="2811BB8D" w14:textId="39174E4E"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Sudeste</w:t>
            </w:r>
          </w:p>
        </w:tc>
        <w:tc>
          <w:tcPr>
            <w:tcW w:w="2283" w:type="dxa"/>
            <w:tcBorders>
              <w:top w:val="nil"/>
              <w:left w:val="nil"/>
              <w:bottom w:val="nil"/>
              <w:right w:val="nil"/>
            </w:tcBorders>
            <w:shd w:val="clear" w:color="auto" w:fill="auto"/>
            <w:noWrap/>
            <w:vAlign w:val="bottom"/>
            <w:hideMark/>
          </w:tcPr>
          <w:p w14:paraId="4B54D53B" w14:textId="41166406"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R$ 66.358.195.616,94 </w:t>
            </w:r>
          </w:p>
        </w:tc>
        <w:tc>
          <w:tcPr>
            <w:tcW w:w="1599" w:type="dxa"/>
            <w:tcBorders>
              <w:top w:val="nil"/>
              <w:left w:val="nil"/>
              <w:bottom w:val="nil"/>
              <w:right w:val="nil"/>
            </w:tcBorders>
            <w:shd w:val="clear" w:color="auto" w:fill="auto"/>
            <w:noWrap/>
            <w:vAlign w:val="bottom"/>
            <w:hideMark/>
          </w:tcPr>
          <w:p w14:paraId="10851D71" w14:textId="20FB2C1A"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11472782</w:t>
            </w:r>
          </w:p>
        </w:tc>
        <w:tc>
          <w:tcPr>
            <w:tcW w:w="1276" w:type="dxa"/>
            <w:tcBorders>
              <w:top w:val="nil"/>
              <w:left w:val="nil"/>
              <w:bottom w:val="nil"/>
              <w:right w:val="nil"/>
            </w:tcBorders>
            <w:vAlign w:val="bottom"/>
          </w:tcPr>
          <w:p w14:paraId="7B27FF7C" w14:textId="2B9B2928"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6.574,56 </w:t>
            </w:r>
          </w:p>
        </w:tc>
        <w:tc>
          <w:tcPr>
            <w:tcW w:w="1134" w:type="dxa"/>
            <w:tcBorders>
              <w:top w:val="nil"/>
              <w:left w:val="nil"/>
              <w:bottom w:val="nil"/>
              <w:right w:val="nil"/>
            </w:tcBorders>
            <w:vAlign w:val="center"/>
          </w:tcPr>
          <w:p w14:paraId="2DD07A25" w14:textId="3C5B13A2"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1.077 </w:t>
            </w:r>
          </w:p>
        </w:tc>
      </w:tr>
      <w:tr w:rsidR="00AF21E0" w:rsidRPr="00DE28A4" w14:paraId="371238DF" w14:textId="31EAB14A" w:rsidTr="00AF21E0">
        <w:trPr>
          <w:trHeight w:val="300"/>
          <w:jc w:val="center"/>
        </w:trPr>
        <w:tc>
          <w:tcPr>
            <w:tcW w:w="2355" w:type="dxa"/>
            <w:tcBorders>
              <w:top w:val="nil"/>
              <w:left w:val="nil"/>
              <w:bottom w:val="nil"/>
              <w:right w:val="nil"/>
            </w:tcBorders>
            <w:shd w:val="clear" w:color="auto" w:fill="auto"/>
            <w:noWrap/>
            <w:vAlign w:val="bottom"/>
            <w:hideMark/>
          </w:tcPr>
          <w:p w14:paraId="3C03358B" w14:textId="4E81D0DE" w:rsidR="00AF21E0" w:rsidRPr="00497652" w:rsidRDefault="00AF21E0" w:rsidP="00AF21E0">
            <w:pPr>
              <w:spacing w:after="0" w:line="240" w:lineRule="auto"/>
              <w:ind w:firstLineChars="100" w:firstLine="200"/>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Sul</w:t>
            </w:r>
          </w:p>
        </w:tc>
        <w:tc>
          <w:tcPr>
            <w:tcW w:w="2283" w:type="dxa"/>
            <w:tcBorders>
              <w:top w:val="nil"/>
              <w:left w:val="nil"/>
              <w:bottom w:val="nil"/>
              <w:right w:val="nil"/>
            </w:tcBorders>
            <w:shd w:val="clear" w:color="auto" w:fill="auto"/>
            <w:noWrap/>
            <w:vAlign w:val="bottom"/>
            <w:hideMark/>
          </w:tcPr>
          <w:p w14:paraId="6229F52E" w14:textId="1308196B"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R$ 37.569.323.248,92 </w:t>
            </w:r>
          </w:p>
        </w:tc>
        <w:tc>
          <w:tcPr>
            <w:tcW w:w="1599" w:type="dxa"/>
            <w:tcBorders>
              <w:top w:val="nil"/>
              <w:left w:val="nil"/>
              <w:bottom w:val="nil"/>
              <w:right w:val="nil"/>
            </w:tcBorders>
            <w:shd w:val="clear" w:color="auto" w:fill="auto"/>
            <w:noWrap/>
            <w:vAlign w:val="bottom"/>
            <w:hideMark/>
          </w:tcPr>
          <w:p w14:paraId="7EAFBDD3" w14:textId="15F45E2F"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5683884</w:t>
            </w:r>
          </w:p>
        </w:tc>
        <w:tc>
          <w:tcPr>
            <w:tcW w:w="1276" w:type="dxa"/>
            <w:tcBorders>
              <w:top w:val="nil"/>
              <w:left w:val="nil"/>
              <w:bottom w:val="nil"/>
              <w:right w:val="nil"/>
            </w:tcBorders>
            <w:vAlign w:val="bottom"/>
          </w:tcPr>
          <w:p w14:paraId="20DEDAFF" w14:textId="7A86B9B2"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8.056,32 </w:t>
            </w:r>
          </w:p>
        </w:tc>
        <w:tc>
          <w:tcPr>
            <w:tcW w:w="1134" w:type="dxa"/>
            <w:tcBorders>
              <w:top w:val="nil"/>
              <w:left w:val="nil"/>
              <w:bottom w:val="nil"/>
              <w:right w:val="nil"/>
            </w:tcBorders>
            <w:vAlign w:val="center"/>
          </w:tcPr>
          <w:p w14:paraId="13A02CAE" w14:textId="60C2E47A"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797 </w:t>
            </w:r>
          </w:p>
        </w:tc>
      </w:tr>
      <w:tr w:rsidR="00AF21E0" w:rsidRPr="00DE28A4" w14:paraId="37AE23E5" w14:textId="02DEC14E" w:rsidTr="00AF21E0">
        <w:trPr>
          <w:trHeight w:val="300"/>
          <w:jc w:val="center"/>
        </w:trPr>
        <w:tc>
          <w:tcPr>
            <w:tcW w:w="2355" w:type="dxa"/>
            <w:tcBorders>
              <w:top w:val="single" w:sz="4" w:space="0" w:color="95B3D7"/>
              <w:left w:val="nil"/>
              <w:bottom w:val="nil"/>
              <w:right w:val="nil"/>
            </w:tcBorders>
            <w:shd w:val="clear" w:color="DCE6F1" w:fill="DCE6F1"/>
            <w:noWrap/>
            <w:vAlign w:val="bottom"/>
            <w:hideMark/>
          </w:tcPr>
          <w:p w14:paraId="511C882B" w14:textId="5FCD9160" w:rsidR="00AF21E0" w:rsidRPr="00497652" w:rsidRDefault="00AF21E0" w:rsidP="00AF21E0">
            <w:pPr>
              <w:spacing w:after="0" w:line="240" w:lineRule="auto"/>
              <w:rPr>
                <w:rFonts w:ascii="Times New Roman" w:eastAsia="Times New Roman" w:hAnsi="Times New Roman" w:cs="Times New Roman"/>
                <w:color w:val="000000"/>
                <w:kern w:val="0"/>
                <w:sz w:val="20"/>
                <w:szCs w:val="20"/>
                <w:lang w:eastAsia="pt-BR"/>
                <w14:ligatures w14:val="none"/>
              </w:rPr>
            </w:pPr>
            <w:r>
              <w:rPr>
                <w:rFonts w:ascii="Times New Roman" w:hAnsi="Times New Roman" w:cs="Times New Roman"/>
                <w:color w:val="000000"/>
                <w:sz w:val="20"/>
                <w:szCs w:val="20"/>
              </w:rPr>
              <w:t>Brasil</w:t>
            </w:r>
          </w:p>
        </w:tc>
        <w:tc>
          <w:tcPr>
            <w:tcW w:w="2283" w:type="dxa"/>
            <w:tcBorders>
              <w:top w:val="single" w:sz="4" w:space="0" w:color="95B3D7"/>
              <w:left w:val="nil"/>
              <w:bottom w:val="nil"/>
              <w:right w:val="nil"/>
            </w:tcBorders>
            <w:shd w:val="clear" w:color="DCE6F1" w:fill="DCE6F1"/>
            <w:noWrap/>
            <w:vAlign w:val="bottom"/>
            <w:hideMark/>
          </w:tcPr>
          <w:p w14:paraId="4EA0CC8F" w14:textId="38C3CC2D"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 xml:space="preserve"> R$ 982.207.952.087,93 </w:t>
            </w:r>
          </w:p>
        </w:tc>
        <w:tc>
          <w:tcPr>
            <w:tcW w:w="1599" w:type="dxa"/>
            <w:tcBorders>
              <w:top w:val="single" w:sz="4" w:space="0" w:color="95B3D7"/>
              <w:left w:val="nil"/>
              <w:bottom w:val="nil"/>
              <w:right w:val="nil"/>
            </w:tcBorders>
            <w:shd w:val="clear" w:color="DCE6F1" w:fill="DCE6F1"/>
            <w:noWrap/>
            <w:vAlign w:val="bottom"/>
            <w:hideMark/>
          </w:tcPr>
          <w:p w14:paraId="09D47C38" w14:textId="1C410BDA" w:rsidR="00AF21E0" w:rsidRPr="00497652"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97652">
              <w:rPr>
                <w:rFonts w:ascii="Times New Roman" w:hAnsi="Times New Roman" w:cs="Times New Roman"/>
                <w:color w:val="000000"/>
                <w:sz w:val="20"/>
                <w:szCs w:val="20"/>
              </w:rPr>
              <w:t>196867233</w:t>
            </w:r>
          </w:p>
        </w:tc>
        <w:tc>
          <w:tcPr>
            <w:tcW w:w="1276" w:type="dxa"/>
            <w:tcBorders>
              <w:top w:val="single" w:sz="4" w:space="0" w:color="95B3D7"/>
              <w:left w:val="nil"/>
              <w:bottom w:val="nil"/>
              <w:right w:val="nil"/>
            </w:tcBorders>
            <w:shd w:val="clear" w:color="DCE6F1" w:fill="DCE6F1"/>
            <w:vAlign w:val="bottom"/>
          </w:tcPr>
          <w:p w14:paraId="08F4E22A" w14:textId="1D8EDD86"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 R$</w:t>
            </w:r>
            <w:r>
              <w:rPr>
                <w:rFonts w:ascii="Times New Roman" w:hAnsi="Times New Roman" w:cs="Times New Roman"/>
                <w:color w:val="000000"/>
                <w:sz w:val="20"/>
                <w:szCs w:val="20"/>
              </w:rPr>
              <w:t xml:space="preserve"> </w:t>
            </w:r>
            <w:r w:rsidRPr="00AF21E0">
              <w:rPr>
                <w:rFonts w:ascii="Times New Roman" w:hAnsi="Times New Roman" w:cs="Times New Roman"/>
                <w:color w:val="000000"/>
                <w:sz w:val="20"/>
                <w:szCs w:val="20"/>
              </w:rPr>
              <w:t xml:space="preserve">6.141,51 </w:t>
            </w:r>
          </w:p>
        </w:tc>
        <w:tc>
          <w:tcPr>
            <w:tcW w:w="1134" w:type="dxa"/>
            <w:tcBorders>
              <w:top w:val="single" w:sz="4" w:space="0" w:color="95B3D7"/>
              <w:left w:val="nil"/>
              <w:bottom w:val="nil"/>
              <w:right w:val="nil"/>
            </w:tcBorders>
            <w:shd w:val="clear" w:color="DCE6F1" w:fill="DCE6F1"/>
            <w:vAlign w:val="center"/>
          </w:tcPr>
          <w:p w14:paraId="36AA7E01" w14:textId="33671A2C" w:rsidR="00AF21E0" w:rsidRPr="00AF21E0" w:rsidRDefault="00AF21E0" w:rsidP="00AF21E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AF21E0">
              <w:rPr>
                <w:rFonts w:ascii="Times New Roman" w:hAnsi="Times New Roman" w:cs="Times New Roman"/>
                <w:color w:val="000000"/>
                <w:sz w:val="20"/>
                <w:szCs w:val="20"/>
              </w:rPr>
              <w:t xml:space="preserve">5.393 </w:t>
            </w:r>
          </w:p>
        </w:tc>
      </w:tr>
    </w:tbl>
    <w:p w14:paraId="4B635311" w14:textId="2ADBC653" w:rsidR="00AF21E0" w:rsidRDefault="00AF21E0" w:rsidP="00AF21E0">
      <w:pPr>
        <w:pStyle w:val="standard"/>
        <w:spacing w:before="0" w:beforeAutospacing="0" w:after="120" w:afterAutospacing="0" w:line="360" w:lineRule="auto"/>
        <w:ind w:right="-1"/>
        <w:jc w:val="both"/>
        <w:rPr>
          <w:rFonts w:eastAsiaTheme="minorHAnsi"/>
          <w:kern w:val="2"/>
          <w:lang w:eastAsia="en-US"/>
          <w14:ligatures w14:val="standardContextual"/>
        </w:rPr>
      </w:pPr>
    </w:p>
    <w:p w14:paraId="60EAFCDA" w14:textId="77777777" w:rsidR="00D07313" w:rsidRDefault="00117FB2" w:rsidP="008D08A1">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Como observado na Tabela 2, para a</w:t>
      </w:r>
      <w:r w:rsidR="006711EE">
        <w:rPr>
          <w:rFonts w:eastAsiaTheme="minorHAnsi"/>
          <w:kern w:val="2"/>
          <w:lang w:eastAsia="en-US"/>
          <w14:ligatures w14:val="standardContextual"/>
        </w:rPr>
        <w:t>s</w:t>
      </w:r>
      <w:r>
        <w:rPr>
          <w:rFonts w:eastAsiaTheme="minorHAnsi"/>
          <w:kern w:val="2"/>
          <w:lang w:eastAsia="en-US"/>
          <w14:ligatures w14:val="standardContextual"/>
        </w:rPr>
        <w:t xml:space="preserve"> regi</w:t>
      </w:r>
      <w:r w:rsidR="006711EE">
        <w:rPr>
          <w:rFonts w:eastAsiaTheme="minorHAnsi"/>
          <w:kern w:val="2"/>
          <w:lang w:eastAsia="en-US"/>
          <w14:ligatures w14:val="standardContextual"/>
        </w:rPr>
        <w:t>ões</w:t>
      </w:r>
      <w:r>
        <w:rPr>
          <w:rFonts w:eastAsiaTheme="minorHAnsi"/>
          <w:kern w:val="2"/>
          <w:lang w:eastAsia="en-US"/>
          <w14:ligatures w14:val="standardContextual"/>
        </w:rPr>
        <w:t xml:space="preserve"> Centro-Oeste</w:t>
      </w:r>
      <w:r w:rsidR="006711EE">
        <w:rPr>
          <w:rFonts w:eastAsiaTheme="minorHAnsi"/>
          <w:kern w:val="2"/>
          <w:lang w:eastAsia="en-US"/>
          <w14:ligatures w14:val="standardContextual"/>
        </w:rPr>
        <w:t xml:space="preserve"> e Norte</w:t>
      </w:r>
      <w:r>
        <w:rPr>
          <w:rFonts w:eastAsiaTheme="minorHAnsi"/>
          <w:kern w:val="2"/>
          <w:lang w:eastAsia="en-US"/>
          <w14:ligatures w14:val="standardContextual"/>
        </w:rPr>
        <w:t xml:space="preserve"> h</w:t>
      </w:r>
      <w:r w:rsidRPr="00117FB2">
        <w:rPr>
          <w:rFonts w:eastAsiaTheme="minorHAnsi"/>
          <w:kern w:val="2"/>
          <w:lang w:eastAsia="en-US"/>
          <w14:ligatures w14:val="standardContextual"/>
        </w:rPr>
        <w:t xml:space="preserve">á uma alocação significativa do orçamento municipal para áreas menos urbanizadas, como indicado pelo </w:t>
      </w:r>
      <w:r>
        <w:rPr>
          <w:rFonts w:eastAsiaTheme="minorHAnsi"/>
          <w:kern w:val="2"/>
          <w:lang w:eastAsia="en-US"/>
          <w14:ligatures w14:val="standardContextual"/>
        </w:rPr>
        <w:t>orçamento</w:t>
      </w:r>
      <w:r w:rsidRPr="00117FB2">
        <w:rPr>
          <w:rFonts w:eastAsiaTheme="minorHAnsi"/>
          <w:kern w:val="2"/>
          <w:lang w:eastAsia="en-US"/>
          <w14:ligatures w14:val="standardContextual"/>
        </w:rPr>
        <w:t xml:space="preserve"> expressivo em Centro</w:t>
      </w:r>
      <w:r>
        <w:rPr>
          <w:rFonts w:eastAsiaTheme="minorHAnsi"/>
          <w:kern w:val="2"/>
          <w:lang w:eastAsia="en-US"/>
          <w14:ligatures w14:val="standardContextual"/>
        </w:rPr>
        <w:t>s</w:t>
      </w:r>
      <w:r w:rsidRPr="00117FB2">
        <w:rPr>
          <w:rFonts w:eastAsiaTheme="minorHAnsi"/>
          <w:kern w:val="2"/>
          <w:lang w:eastAsia="en-US"/>
          <w14:ligatures w14:val="standardContextual"/>
        </w:rPr>
        <w:t xml:space="preserve"> Loca</w:t>
      </w:r>
      <w:r>
        <w:rPr>
          <w:rFonts w:eastAsiaTheme="minorHAnsi"/>
          <w:kern w:val="2"/>
          <w:lang w:eastAsia="en-US"/>
          <w14:ligatures w14:val="standardContextual"/>
        </w:rPr>
        <w:t>is</w:t>
      </w:r>
      <w:r w:rsidRPr="00117FB2">
        <w:rPr>
          <w:rFonts w:eastAsiaTheme="minorHAnsi"/>
          <w:kern w:val="2"/>
          <w:lang w:eastAsia="en-US"/>
          <w14:ligatures w14:val="standardContextual"/>
        </w:rPr>
        <w:t>.</w:t>
      </w:r>
      <w:r>
        <w:rPr>
          <w:rFonts w:eastAsiaTheme="minorHAnsi"/>
          <w:kern w:val="2"/>
          <w:lang w:eastAsia="en-US"/>
          <w14:ligatures w14:val="standardContextual"/>
        </w:rPr>
        <w:t xml:space="preserve"> Já na região Nordeste, a</w:t>
      </w:r>
      <w:r w:rsidRPr="00117FB2">
        <w:rPr>
          <w:rFonts w:eastAsiaTheme="minorHAnsi"/>
          <w:kern w:val="2"/>
          <w:lang w:eastAsia="en-US"/>
          <w14:ligatures w14:val="standardContextual"/>
        </w:rPr>
        <w:t>s Metrópoles e Capitais Regionais recebem uma parte substancial do orçamento municipal, refletindo a concentração populacional nestas áreas urbanas</w:t>
      </w:r>
      <w:r w:rsidR="006711EE">
        <w:rPr>
          <w:rFonts w:eastAsiaTheme="minorHAnsi"/>
          <w:kern w:val="2"/>
          <w:lang w:eastAsia="en-US"/>
          <w14:ligatures w14:val="standardContextual"/>
        </w:rPr>
        <w:t xml:space="preserve">, ainda que os </w:t>
      </w:r>
      <w:r w:rsidR="00D07313">
        <w:rPr>
          <w:rFonts w:eastAsiaTheme="minorHAnsi"/>
          <w:kern w:val="2"/>
          <w:lang w:eastAsia="en-US"/>
          <w14:ligatures w14:val="standardContextual"/>
        </w:rPr>
        <w:t>C</w:t>
      </w:r>
      <w:r w:rsidR="006711EE">
        <w:rPr>
          <w:rFonts w:eastAsiaTheme="minorHAnsi"/>
          <w:kern w:val="2"/>
          <w:lang w:eastAsia="en-US"/>
          <w14:ligatures w14:val="standardContextual"/>
        </w:rPr>
        <w:t>entros</w:t>
      </w:r>
      <w:r w:rsidR="00D07313">
        <w:rPr>
          <w:rFonts w:eastAsiaTheme="minorHAnsi"/>
          <w:kern w:val="2"/>
          <w:lang w:eastAsia="en-US"/>
          <w14:ligatures w14:val="standardContextual"/>
        </w:rPr>
        <w:t xml:space="preserve"> L</w:t>
      </w:r>
      <w:r w:rsidR="006711EE">
        <w:rPr>
          <w:rFonts w:eastAsiaTheme="minorHAnsi"/>
          <w:kern w:val="2"/>
          <w:lang w:eastAsia="en-US"/>
          <w14:ligatures w14:val="standardContextual"/>
        </w:rPr>
        <w:t>ocais também concentrem boa parte do orçamento</w:t>
      </w:r>
      <w:r w:rsidR="00D07313">
        <w:rPr>
          <w:rFonts w:eastAsiaTheme="minorHAnsi"/>
          <w:kern w:val="2"/>
          <w:lang w:eastAsia="en-US"/>
          <w14:ligatures w14:val="standardContextual"/>
        </w:rPr>
        <w:t>, principalmente quando se analisa o orçamento per capita</w:t>
      </w:r>
      <w:r w:rsidRPr="00117FB2">
        <w:rPr>
          <w:rFonts w:eastAsiaTheme="minorHAnsi"/>
          <w:kern w:val="2"/>
          <w:lang w:eastAsia="en-US"/>
          <w14:ligatures w14:val="standardContextual"/>
        </w:rPr>
        <w:t>.</w:t>
      </w:r>
      <w:r>
        <w:rPr>
          <w:rFonts w:eastAsiaTheme="minorHAnsi"/>
          <w:kern w:val="2"/>
          <w:lang w:eastAsia="en-US"/>
          <w14:ligatures w14:val="standardContextual"/>
        </w:rPr>
        <w:t xml:space="preserve"> </w:t>
      </w:r>
    </w:p>
    <w:p w14:paraId="57346D99" w14:textId="15ACE4A5" w:rsidR="00117FB2" w:rsidRDefault="00117FB2" w:rsidP="008D08A1">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Na região Sudeste, a</w:t>
      </w:r>
      <w:r w:rsidRPr="00117FB2">
        <w:rPr>
          <w:rFonts w:eastAsiaTheme="minorHAnsi"/>
          <w:kern w:val="2"/>
          <w:lang w:eastAsia="en-US"/>
          <w14:ligatures w14:val="standardContextual"/>
        </w:rPr>
        <w:t>s Metrópoles recebem a maior parte do orçamento, evidenciando seu papel central na economia e população da região</w:t>
      </w:r>
      <w:r w:rsidR="00D07313">
        <w:rPr>
          <w:rFonts w:eastAsiaTheme="minorHAnsi"/>
          <w:kern w:val="2"/>
          <w:lang w:eastAsia="en-US"/>
          <w14:ligatures w14:val="standardContextual"/>
        </w:rPr>
        <w:t>, no entanto ao se analisar o orçamento per capita</w:t>
      </w:r>
      <w:r w:rsidR="00204D6B">
        <w:rPr>
          <w:rFonts w:eastAsiaTheme="minorHAnsi"/>
          <w:kern w:val="2"/>
          <w:lang w:eastAsia="en-US"/>
          <w14:ligatures w14:val="standardContextual"/>
        </w:rPr>
        <w:t>,</w:t>
      </w:r>
      <w:r w:rsidR="00D07313">
        <w:rPr>
          <w:rFonts w:eastAsiaTheme="minorHAnsi"/>
          <w:kern w:val="2"/>
          <w:lang w:eastAsia="en-US"/>
          <w14:ligatures w14:val="standardContextual"/>
        </w:rPr>
        <w:t xml:space="preserve"> verifica-se uma distribuição mais homogênea do orçamento entre os 5 níveis hierárquicos dos municípios da região</w:t>
      </w:r>
      <w:r w:rsidRPr="00117FB2">
        <w:rPr>
          <w:rFonts w:eastAsiaTheme="minorHAnsi"/>
          <w:kern w:val="2"/>
          <w:lang w:eastAsia="en-US"/>
          <w14:ligatures w14:val="standardContextual"/>
        </w:rPr>
        <w:t>.</w:t>
      </w:r>
      <w:r>
        <w:rPr>
          <w:rFonts w:eastAsiaTheme="minorHAnsi"/>
          <w:kern w:val="2"/>
          <w:lang w:eastAsia="en-US"/>
          <w14:ligatures w14:val="standardContextual"/>
        </w:rPr>
        <w:t xml:space="preserve"> Por fim, a região Sul apresenta uma</w:t>
      </w:r>
      <w:r w:rsidRPr="00117FB2">
        <w:rPr>
          <w:rFonts w:eastAsiaTheme="minorHAnsi"/>
          <w:kern w:val="2"/>
          <w:lang w:eastAsia="en-US"/>
          <w14:ligatures w14:val="standardContextual"/>
        </w:rPr>
        <w:t xml:space="preserve"> distribuição </w:t>
      </w:r>
      <w:r>
        <w:rPr>
          <w:rFonts w:eastAsiaTheme="minorHAnsi"/>
          <w:kern w:val="2"/>
          <w:lang w:eastAsia="en-US"/>
          <w14:ligatures w14:val="standardContextual"/>
        </w:rPr>
        <w:t xml:space="preserve">mais </w:t>
      </w:r>
      <w:r w:rsidRPr="00117FB2">
        <w:rPr>
          <w:rFonts w:eastAsiaTheme="minorHAnsi"/>
          <w:kern w:val="2"/>
          <w:lang w:eastAsia="en-US"/>
          <w14:ligatures w14:val="standardContextual"/>
        </w:rPr>
        <w:t>equilibrada do orçamento entre as hierarquias</w:t>
      </w:r>
      <w:r w:rsidR="00D07313">
        <w:rPr>
          <w:rFonts w:eastAsiaTheme="minorHAnsi"/>
          <w:kern w:val="2"/>
          <w:lang w:eastAsia="en-US"/>
          <w14:ligatures w14:val="standardContextual"/>
        </w:rPr>
        <w:t>, com destaque para o maior orçamento per capita entre os municípios classificados como Centros Locais</w:t>
      </w:r>
      <w:r>
        <w:rPr>
          <w:rFonts w:eastAsiaTheme="minorHAnsi"/>
          <w:kern w:val="2"/>
          <w:lang w:eastAsia="en-US"/>
          <w14:ligatures w14:val="standardContextual"/>
        </w:rPr>
        <w:t>.</w:t>
      </w:r>
    </w:p>
    <w:p w14:paraId="23887FDB" w14:textId="1E4FD16C" w:rsidR="000215AF" w:rsidRPr="008B5CC7" w:rsidRDefault="00204D6B" w:rsidP="000215AF">
      <w:pPr>
        <w:spacing w:after="120" w:line="360" w:lineRule="auto"/>
        <w:ind w:firstLine="709"/>
        <w:jc w:val="both"/>
        <w:rPr>
          <w:rFonts w:ascii="Times New Roman" w:hAnsi="Times New Roman" w:cs="Times New Roman"/>
          <w:sz w:val="24"/>
          <w:szCs w:val="24"/>
        </w:rPr>
      </w:pPr>
      <w:r>
        <w:rPr>
          <w:rFonts w:ascii="Times New Roman" w:hAnsi="Times New Roman" w:cs="Times New Roman"/>
          <w:sz w:val="24"/>
          <w:szCs w:val="24"/>
        </w:rPr>
        <w:t>De posse dos dados</w:t>
      </w:r>
      <w:r w:rsidR="000215AF">
        <w:rPr>
          <w:rFonts w:ascii="Times New Roman" w:hAnsi="Times New Roman" w:cs="Times New Roman"/>
          <w:sz w:val="24"/>
          <w:szCs w:val="24"/>
        </w:rPr>
        <w:t xml:space="preserve">, pode-se confirmar </w:t>
      </w:r>
      <w:r>
        <w:rPr>
          <w:rFonts w:ascii="Times New Roman" w:hAnsi="Times New Roman" w:cs="Times New Roman"/>
          <w:sz w:val="24"/>
          <w:szCs w:val="24"/>
        </w:rPr>
        <w:t xml:space="preserve">por meio do teste de Kruskal-Wallis </w:t>
      </w:r>
      <w:r w:rsidR="000215AF">
        <w:rPr>
          <w:rFonts w:ascii="Times New Roman" w:hAnsi="Times New Roman" w:cs="Times New Roman"/>
          <w:sz w:val="24"/>
          <w:szCs w:val="24"/>
        </w:rPr>
        <w:t xml:space="preserve">que o orçamento per capita por estado (p-value = 0.000), região (p-value = 0.000) e Hierarquia </w:t>
      </w:r>
      <w:r w:rsidR="000215AF">
        <w:rPr>
          <w:rFonts w:ascii="Times New Roman" w:hAnsi="Times New Roman" w:cs="Times New Roman"/>
          <w:sz w:val="24"/>
          <w:szCs w:val="24"/>
        </w:rPr>
        <w:lastRenderedPageBreak/>
        <w:t xml:space="preserve">(p-value = 0.000) possuem </w:t>
      </w:r>
      <w:r w:rsidR="000215AF" w:rsidRPr="000215AF">
        <w:rPr>
          <w:rFonts w:ascii="Times New Roman" w:hAnsi="Times New Roman" w:cs="Times New Roman"/>
          <w:sz w:val="24"/>
          <w:szCs w:val="24"/>
        </w:rPr>
        <w:t>diferenças estatisticamente significativas entre as medianas desses grupos</w:t>
      </w:r>
      <w:r w:rsidR="000215AF">
        <w:rPr>
          <w:rFonts w:ascii="Times New Roman" w:hAnsi="Times New Roman" w:cs="Times New Roman"/>
          <w:sz w:val="24"/>
          <w:szCs w:val="24"/>
        </w:rPr>
        <w:t xml:space="preserve">.  </w:t>
      </w:r>
    </w:p>
    <w:p w14:paraId="0DEBA0E7" w14:textId="6A824E30" w:rsidR="000215AF" w:rsidRDefault="000215AF" w:rsidP="008D08A1">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 xml:space="preserve">Neste trabalho para aplicação do modelo DEA foram utilizados como outputs </w:t>
      </w:r>
      <w:r w:rsidR="00183542">
        <w:rPr>
          <w:rFonts w:eastAsiaTheme="minorHAnsi"/>
          <w:kern w:val="2"/>
          <w:lang w:eastAsia="en-US"/>
          <w14:ligatures w14:val="standardContextual"/>
        </w:rPr>
        <w:t>os resultados alcançados</w:t>
      </w:r>
      <w:r>
        <w:rPr>
          <w:rFonts w:eastAsiaTheme="minorHAnsi"/>
          <w:kern w:val="2"/>
          <w:lang w:eastAsia="en-US"/>
          <w14:ligatures w14:val="standardContextual"/>
        </w:rPr>
        <w:t xml:space="preserve"> por municípios brasileiros em cada um dos Objetivos de Desenvolvimento Sustentável </w:t>
      </w:r>
      <w:r w:rsidR="005A3D59">
        <w:rPr>
          <w:rFonts w:eastAsiaTheme="minorHAnsi"/>
          <w:kern w:val="2"/>
          <w:lang w:eastAsia="en-US"/>
          <w14:ligatures w14:val="standardContextual"/>
        </w:rPr>
        <w:t xml:space="preserve">(ODS) </w:t>
      </w:r>
      <w:r>
        <w:rPr>
          <w:rFonts w:eastAsiaTheme="minorHAnsi"/>
          <w:kern w:val="2"/>
          <w:lang w:eastAsia="en-US"/>
          <w14:ligatures w14:val="standardContextual"/>
        </w:rPr>
        <w:t>propostos pela ONU</w:t>
      </w:r>
      <w:r w:rsidR="00183542">
        <w:rPr>
          <w:rFonts w:eastAsiaTheme="minorHAnsi"/>
          <w:kern w:val="2"/>
          <w:lang w:eastAsia="en-US"/>
          <w14:ligatures w14:val="standardContextual"/>
        </w:rPr>
        <w:t>.</w:t>
      </w:r>
      <w:r w:rsidR="00C7620D">
        <w:rPr>
          <w:rFonts w:eastAsiaTheme="minorHAnsi"/>
          <w:kern w:val="2"/>
          <w:lang w:eastAsia="en-US"/>
          <w14:ligatures w14:val="standardContextual"/>
        </w:rPr>
        <w:t xml:space="preserve"> Esses indicadores são calculados e disponibilizados anualmente e compõem o </w:t>
      </w:r>
      <w:r w:rsidR="00C7620D" w:rsidRPr="00183542">
        <w:rPr>
          <w:rFonts w:eastAsiaTheme="minorHAnsi"/>
          <w:kern w:val="2"/>
          <w:lang w:eastAsia="en-US"/>
          <w14:ligatures w14:val="standardContextual"/>
        </w:rPr>
        <w:t>Índice de Desenvolvimento Sustentável das Cidades (IDSC-BR</w:t>
      </w:r>
      <w:r w:rsidR="00C7620D">
        <w:rPr>
          <w:rFonts w:eastAsiaTheme="minorHAnsi"/>
          <w:kern w:val="2"/>
          <w:lang w:eastAsia="en-US"/>
          <w14:ligatures w14:val="standardContextual"/>
        </w:rPr>
        <w:t>, 2024</w:t>
      </w:r>
      <w:r w:rsidR="00C7620D" w:rsidRPr="00183542">
        <w:rPr>
          <w:rFonts w:eastAsiaTheme="minorHAnsi"/>
          <w:kern w:val="2"/>
          <w:lang w:eastAsia="en-US"/>
          <w14:ligatures w14:val="standardContextual"/>
        </w:rPr>
        <w:t>)</w:t>
      </w:r>
      <w:r w:rsidR="00C7620D">
        <w:rPr>
          <w:rFonts w:eastAsiaTheme="minorHAnsi"/>
          <w:kern w:val="2"/>
          <w:lang w:eastAsia="en-US"/>
          <w14:ligatures w14:val="standardContextual"/>
        </w:rPr>
        <w:t>.</w:t>
      </w:r>
    </w:p>
    <w:p w14:paraId="5916F496" w14:textId="6B5FA72B" w:rsidR="00183542" w:rsidRPr="00183542" w:rsidRDefault="00183542" w:rsidP="00183542">
      <w:pPr>
        <w:spacing w:after="120" w:line="360" w:lineRule="auto"/>
        <w:ind w:firstLine="709"/>
        <w:jc w:val="both"/>
        <w:rPr>
          <w:rFonts w:ascii="Times New Roman" w:hAnsi="Times New Roman" w:cs="Times New Roman"/>
          <w:sz w:val="24"/>
          <w:szCs w:val="24"/>
        </w:rPr>
      </w:pPr>
      <w:r w:rsidRPr="00183542">
        <w:rPr>
          <w:rFonts w:ascii="Times New Roman" w:hAnsi="Times New Roman" w:cs="Times New Roman"/>
          <w:sz w:val="24"/>
          <w:szCs w:val="24"/>
        </w:rPr>
        <w:t>O Índice de Desenvolvimento Sustentável das Cidades (IDSC-BR</w:t>
      </w:r>
      <w:r w:rsidR="00C7620D">
        <w:rPr>
          <w:rFonts w:ascii="Times New Roman" w:hAnsi="Times New Roman" w:cs="Times New Roman"/>
          <w:sz w:val="24"/>
          <w:szCs w:val="24"/>
        </w:rPr>
        <w:t>, 2024</w:t>
      </w:r>
      <w:r w:rsidRPr="00183542">
        <w:rPr>
          <w:rFonts w:ascii="Times New Roman" w:hAnsi="Times New Roman" w:cs="Times New Roman"/>
          <w:sz w:val="24"/>
          <w:szCs w:val="24"/>
        </w:rPr>
        <w:t>) é uma iniciativa promovida pelo Instituto Cidades Sustentáveis em colaboração com a Sustainable Development Solution Network (SDSN), no âmbito do Programa Cidades Sustentáveis. Este projeto recebe apoio do Ministério da Ciência, Tecnologia e Inovações (MCTI)</w:t>
      </w:r>
      <w:r w:rsidR="00C7620D">
        <w:rPr>
          <w:rFonts w:ascii="Times New Roman" w:hAnsi="Times New Roman" w:cs="Times New Roman"/>
          <w:sz w:val="24"/>
          <w:szCs w:val="24"/>
        </w:rPr>
        <w:t xml:space="preserve"> do Brasil</w:t>
      </w:r>
      <w:r w:rsidRPr="00183542">
        <w:rPr>
          <w:rFonts w:ascii="Times New Roman" w:hAnsi="Times New Roman" w:cs="Times New Roman"/>
          <w:sz w:val="24"/>
          <w:szCs w:val="24"/>
        </w:rPr>
        <w:t>, do Programa das Nações Unidas para o Meio Ambiente e do Fundo Global para o Meio Ambiente (GEF). A coleta de dados e indicadores para o IDSC-BR foi conduzida pelo Centro Brasileiro de Análise e Planejamento (Cebrap</w:t>
      </w:r>
      <w:r w:rsidR="00C7620D">
        <w:rPr>
          <w:rFonts w:ascii="Times New Roman" w:hAnsi="Times New Roman" w:cs="Times New Roman"/>
          <w:sz w:val="24"/>
          <w:szCs w:val="24"/>
        </w:rPr>
        <w:t>, 2024</w:t>
      </w:r>
      <w:r w:rsidRPr="00183542">
        <w:rPr>
          <w:rFonts w:ascii="Times New Roman" w:hAnsi="Times New Roman" w:cs="Times New Roman"/>
          <w:sz w:val="24"/>
          <w:szCs w:val="24"/>
        </w:rPr>
        <w:t>).</w:t>
      </w:r>
    </w:p>
    <w:p w14:paraId="3AB9E930" w14:textId="0F1262D5" w:rsidR="00183542" w:rsidRPr="00183542" w:rsidRDefault="00183542" w:rsidP="00183542">
      <w:pPr>
        <w:spacing w:after="120" w:line="360" w:lineRule="auto"/>
        <w:ind w:firstLine="709"/>
        <w:jc w:val="both"/>
        <w:rPr>
          <w:rFonts w:ascii="Times New Roman" w:hAnsi="Times New Roman" w:cs="Times New Roman"/>
          <w:sz w:val="24"/>
          <w:szCs w:val="24"/>
        </w:rPr>
      </w:pPr>
      <w:r w:rsidRPr="00183542">
        <w:rPr>
          <w:rFonts w:ascii="Times New Roman" w:hAnsi="Times New Roman" w:cs="Times New Roman"/>
          <w:sz w:val="24"/>
          <w:szCs w:val="24"/>
        </w:rPr>
        <w:t>A metodologia do IDSC-BR foi desenvolvida pela rede SDSN, uma iniciativa internacional criada pela ONU para mobilizar conhecimentos técnicos e científicos provenientes da academia, da sociedade civil e do setor privado, com o objetivo de apoiar soluções em diversas escalas, desde o nível local até o global</w:t>
      </w:r>
      <w:r w:rsidR="00C7620D">
        <w:rPr>
          <w:rFonts w:ascii="Times New Roman" w:hAnsi="Times New Roman" w:cs="Times New Roman"/>
          <w:sz w:val="24"/>
          <w:szCs w:val="24"/>
        </w:rPr>
        <w:t xml:space="preserve"> </w:t>
      </w:r>
      <w:r w:rsidR="00C7620D" w:rsidRPr="00C7620D">
        <w:rPr>
          <w:rFonts w:ascii="Times New Roman" w:hAnsi="Times New Roman" w:cs="Times New Roman"/>
          <w:sz w:val="24"/>
          <w:szCs w:val="24"/>
        </w:rPr>
        <w:t>(IDSC-BR, 2024)</w:t>
      </w:r>
      <w:r w:rsidRPr="00183542">
        <w:rPr>
          <w:rFonts w:ascii="Times New Roman" w:hAnsi="Times New Roman" w:cs="Times New Roman"/>
          <w:sz w:val="24"/>
          <w:szCs w:val="24"/>
        </w:rPr>
        <w:t>.</w:t>
      </w:r>
    </w:p>
    <w:p w14:paraId="60516395" w14:textId="3D2C8F83" w:rsidR="00E10153" w:rsidRDefault="00E10153" w:rsidP="00DE28A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As Tabelas 3 e 4 apresentam os valores médios dos Objetivos de Desenvolvimento Sustentável dos municípios </w:t>
      </w:r>
      <w:r w:rsidR="00204D6B">
        <w:rPr>
          <w:rFonts w:eastAsiaTheme="minorHAnsi"/>
          <w:kern w:val="2"/>
          <w:lang w:eastAsia="en-US"/>
          <w14:ligatures w14:val="standardContextual"/>
        </w:rPr>
        <w:t xml:space="preserve">que compõem cada </w:t>
      </w:r>
      <w:r>
        <w:rPr>
          <w:rFonts w:eastAsiaTheme="minorHAnsi"/>
          <w:kern w:val="2"/>
          <w:lang w:eastAsia="en-US"/>
          <w14:ligatures w14:val="standardContextual"/>
        </w:rPr>
        <w:t>região</w:t>
      </w:r>
      <w:r w:rsidR="00661C5E">
        <w:rPr>
          <w:rFonts w:eastAsiaTheme="minorHAnsi"/>
          <w:kern w:val="2"/>
          <w:lang w:eastAsia="en-US"/>
          <w14:ligatures w14:val="standardContextual"/>
        </w:rPr>
        <w:t xml:space="preserve"> brasileira</w:t>
      </w:r>
      <w:r>
        <w:rPr>
          <w:rFonts w:eastAsiaTheme="minorHAnsi"/>
          <w:kern w:val="2"/>
          <w:lang w:eastAsia="en-US"/>
          <w14:ligatures w14:val="standardContextual"/>
        </w:rPr>
        <w:t>.</w:t>
      </w:r>
      <w:r w:rsidR="008C601D">
        <w:rPr>
          <w:rFonts w:eastAsiaTheme="minorHAnsi"/>
          <w:kern w:val="2"/>
          <w:lang w:eastAsia="en-US"/>
          <w14:ligatures w14:val="standardContextual"/>
        </w:rPr>
        <w:t xml:space="preserve"> </w:t>
      </w:r>
      <w:r w:rsidR="005A3D59">
        <w:rPr>
          <w:rFonts w:eastAsiaTheme="minorHAnsi"/>
          <w:kern w:val="2"/>
          <w:lang w:eastAsia="en-US"/>
          <w14:ligatures w14:val="standardContextual"/>
        </w:rPr>
        <w:t xml:space="preserve">Neste estudo não foi analisado o ODS 14 (Vida na água), visto que apenas os municípios litorâneos (por volta de 5% do total) possuíam dados para este ODS. </w:t>
      </w:r>
    </w:p>
    <w:p w14:paraId="0838AA8D" w14:textId="0A5A2F70" w:rsidR="008577EA" w:rsidRPr="00E10153" w:rsidRDefault="00E10153" w:rsidP="00E10153">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E10153">
        <w:rPr>
          <w:rFonts w:eastAsiaTheme="minorHAnsi"/>
          <w:kern w:val="2"/>
          <w:sz w:val="20"/>
          <w:szCs w:val="20"/>
          <w:lang w:eastAsia="en-US"/>
          <w14:ligatures w14:val="standardContextual"/>
        </w:rPr>
        <w:t xml:space="preserve">Tabela 3 </w:t>
      </w:r>
      <w:r>
        <w:rPr>
          <w:rFonts w:eastAsiaTheme="minorHAnsi"/>
          <w:kern w:val="2"/>
          <w:sz w:val="20"/>
          <w:szCs w:val="20"/>
          <w:lang w:eastAsia="en-US"/>
          <w14:ligatures w14:val="standardContextual"/>
        </w:rPr>
        <w:t xml:space="preserve">– Valores médios dos ODS 1 a 9 por região brasileira </w:t>
      </w:r>
    </w:p>
    <w:tbl>
      <w:tblPr>
        <w:tblW w:w="5000" w:type="pct"/>
        <w:tblCellMar>
          <w:left w:w="70" w:type="dxa"/>
          <w:right w:w="70" w:type="dxa"/>
        </w:tblCellMar>
        <w:tblLook w:val="04A0" w:firstRow="1" w:lastRow="0" w:firstColumn="1" w:lastColumn="0" w:noHBand="0" w:noVBand="1"/>
      </w:tblPr>
      <w:tblGrid>
        <w:gridCol w:w="1435"/>
        <w:gridCol w:w="786"/>
        <w:gridCol w:w="786"/>
        <w:gridCol w:w="786"/>
        <w:gridCol w:w="786"/>
        <w:gridCol w:w="786"/>
        <w:gridCol w:w="786"/>
        <w:gridCol w:w="786"/>
        <w:gridCol w:w="786"/>
        <w:gridCol w:w="781"/>
      </w:tblGrid>
      <w:tr w:rsidR="00261740" w:rsidRPr="001436E5" w14:paraId="75951E0A" w14:textId="77777777" w:rsidTr="00997E15">
        <w:trPr>
          <w:trHeight w:val="300"/>
        </w:trPr>
        <w:tc>
          <w:tcPr>
            <w:tcW w:w="844" w:type="pct"/>
            <w:tcBorders>
              <w:top w:val="nil"/>
              <w:left w:val="nil"/>
              <w:bottom w:val="single" w:sz="4" w:space="0" w:color="95B3D7"/>
              <w:right w:val="nil"/>
            </w:tcBorders>
            <w:shd w:val="clear" w:color="DCE6F1" w:fill="DCE6F1"/>
            <w:noWrap/>
            <w:vAlign w:val="center"/>
            <w:hideMark/>
          </w:tcPr>
          <w:p w14:paraId="659F860A" w14:textId="282FD98D" w:rsidR="00261740" w:rsidRPr="00261740" w:rsidRDefault="001436E5" w:rsidP="001436E5">
            <w:pPr>
              <w:spacing w:after="0" w:line="240" w:lineRule="auto"/>
              <w:rPr>
                <w:rFonts w:ascii="Times New Roman" w:eastAsia="Times New Roman" w:hAnsi="Times New Roman" w:cs="Times New Roman"/>
                <w:b/>
                <w:bCs/>
                <w:color w:val="000000"/>
                <w:kern w:val="0"/>
                <w:sz w:val="20"/>
                <w:szCs w:val="20"/>
                <w:lang w:eastAsia="pt-BR"/>
                <w14:ligatures w14:val="none"/>
              </w:rPr>
            </w:pPr>
            <w:r w:rsidRPr="001436E5">
              <w:rPr>
                <w:rFonts w:ascii="Times New Roman" w:eastAsia="Times New Roman" w:hAnsi="Times New Roman" w:cs="Times New Roman"/>
                <w:b/>
                <w:bCs/>
                <w:color w:val="000000"/>
                <w:kern w:val="0"/>
                <w:sz w:val="20"/>
                <w:szCs w:val="20"/>
                <w:lang w:eastAsia="pt-BR"/>
                <w14:ligatures w14:val="none"/>
              </w:rPr>
              <w:t>Região</w:t>
            </w:r>
          </w:p>
        </w:tc>
        <w:tc>
          <w:tcPr>
            <w:tcW w:w="462" w:type="pct"/>
            <w:tcBorders>
              <w:top w:val="nil"/>
              <w:left w:val="nil"/>
              <w:bottom w:val="single" w:sz="4" w:space="0" w:color="95B3D7"/>
              <w:right w:val="nil"/>
            </w:tcBorders>
            <w:shd w:val="clear" w:color="DCE6F1" w:fill="DCE6F1"/>
            <w:noWrap/>
            <w:vAlign w:val="center"/>
            <w:hideMark/>
          </w:tcPr>
          <w:p w14:paraId="33E62705" w14:textId="0DA00257"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1</w:t>
            </w:r>
          </w:p>
        </w:tc>
        <w:tc>
          <w:tcPr>
            <w:tcW w:w="462" w:type="pct"/>
            <w:tcBorders>
              <w:top w:val="nil"/>
              <w:left w:val="nil"/>
              <w:bottom w:val="single" w:sz="4" w:space="0" w:color="95B3D7"/>
              <w:right w:val="nil"/>
            </w:tcBorders>
            <w:shd w:val="clear" w:color="DCE6F1" w:fill="DCE6F1"/>
            <w:noWrap/>
            <w:vAlign w:val="center"/>
            <w:hideMark/>
          </w:tcPr>
          <w:p w14:paraId="1F73A82F" w14:textId="4E8672F6"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2</w:t>
            </w:r>
          </w:p>
        </w:tc>
        <w:tc>
          <w:tcPr>
            <w:tcW w:w="462" w:type="pct"/>
            <w:tcBorders>
              <w:top w:val="nil"/>
              <w:left w:val="nil"/>
              <w:bottom w:val="single" w:sz="4" w:space="0" w:color="95B3D7"/>
              <w:right w:val="nil"/>
            </w:tcBorders>
            <w:shd w:val="clear" w:color="DCE6F1" w:fill="DCE6F1"/>
            <w:noWrap/>
            <w:vAlign w:val="center"/>
            <w:hideMark/>
          </w:tcPr>
          <w:p w14:paraId="3307E3D9" w14:textId="16F5196B"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3</w:t>
            </w:r>
          </w:p>
        </w:tc>
        <w:tc>
          <w:tcPr>
            <w:tcW w:w="462" w:type="pct"/>
            <w:tcBorders>
              <w:top w:val="nil"/>
              <w:left w:val="nil"/>
              <w:bottom w:val="single" w:sz="4" w:space="0" w:color="95B3D7"/>
              <w:right w:val="nil"/>
            </w:tcBorders>
            <w:shd w:val="clear" w:color="DCE6F1" w:fill="DCE6F1"/>
            <w:noWrap/>
            <w:vAlign w:val="center"/>
            <w:hideMark/>
          </w:tcPr>
          <w:p w14:paraId="50BCCE54" w14:textId="53DCCD60"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4</w:t>
            </w:r>
          </w:p>
        </w:tc>
        <w:tc>
          <w:tcPr>
            <w:tcW w:w="462" w:type="pct"/>
            <w:tcBorders>
              <w:top w:val="nil"/>
              <w:left w:val="nil"/>
              <w:bottom w:val="single" w:sz="4" w:space="0" w:color="95B3D7"/>
              <w:right w:val="nil"/>
            </w:tcBorders>
            <w:shd w:val="clear" w:color="DCE6F1" w:fill="DCE6F1"/>
            <w:noWrap/>
            <w:vAlign w:val="center"/>
            <w:hideMark/>
          </w:tcPr>
          <w:p w14:paraId="764445D4" w14:textId="58BFBBDB"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5</w:t>
            </w:r>
          </w:p>
        </w:tc>
        <w:tc>
          <w:tcPr>
            <w:tcW w:w="462" w:type="pct"/>
            <w:tcBorders>
              <w:top w:val="nil"/>
              <w:left w:val="nil"/>
              <w:bottom w:val="single" w:sz="4" w:space="0" w:color="95B3D7"/>
              <w:right w:val="nil"/>
            </w:tcBorders>
            <w:shd w:val="clear" w:color="DCE6F1" w:fill="DCE6F1"/>
            <w:noWrap/>
            <w:vAlign w:val="center"/>
            <w:hideMark/>
          </w:tcPr>
          <w:p w14:paraId="3437C3A3" w14:textId="4E96B48C"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6</w:t>
            </w:r>
          </w:p>
        </w:tc>
        <w:tc>
          <w:tcPr>
            <w:tcW w:w="462" w:type="pct"/>
            <w:tcBorders>
              <w:top w:val="nil"/>
              <w:left w:val="nil"/>
              <w:bottom w:val="single" w:sz="4" w:space="0" w:color="95B3D7"/>
              <w:right w:val="nil"/>
            </w:tcBorders>
            <w:shd w:val="clear" w:color="DCE6F1" w:fill="DCE6F1"/>
            <w:noWrap/>
            <w:vAlign w:val="center"/>
            <w:hideMark/>
          </w:tcPr>
          <w:p w14:paraId="5A591429" w14:textId="06993F98"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7</w:t>
            </w:r>
          </w:p>
        </w:tc>
        <w:tc>
          <w:tcPr>
            <w:tcW w:w="462" w:type="pct"/>
            <w:tcBorders>
              <w:top w:val="nil"/>
              <w:left w:val="nil"/>
              <w:bottom w:val="single" w:sz="4" w:space="0" w:color="95B3D7"/>
              <w:right w:val="nil"/>
            </w:tcBorders>
            <w:shd w:val="clear" w:color="DCE6F1" w:fill="DCE6F1"/>
            <w:noWrap/>
            <w:vAlign w:val="center"/>
            <w:hideMark/>
          </w:tcPr>
          <w:p w14:paraId="266761D5" w14:textId="402970CD"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8</w:t>
            </w:r>
          </w:p>
        </w:tc>
        <w:tc>
          <w:tcPr>
            <w:tcW w:w="459" w:type="pct"/>
            <w:tcBorders>
              <w:top w:val="nil"/>
              <w:left w:val="nil"/>
              <w:bottom w:val="single" w:sz="4" w:space="0" w:color="95B3D7"/>
              <w:right w:val="nil"/>
            </w:tcBorders>
            <w:shd w:val="clear" w:color="DCE6F1" w:fill="DCE6F1"/>
            <w:noWrap/>
            <w:vAlign w:val="center"/>
            <w:hideMark/>
          </w:tcPr>
          <w:p w14:paraId="6720E24C" w14:textId="10D9465C" w:rsidR="00261740" w:rsidRPr="00261740" w:rsidRDefault="00261740"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9</w:t>
            </w:r>
          </w:p>
        </w:tc>
      </w:tr>
      <w:tr w:rsidR="004A2818" w:rsidRPr="001436E5" w14:paraId="4B4B6AC6" w14:textId="77777777" w:rsidTr="004A2818">
        <w:trPr>
          <w:trHeight w:val="300"/>
        </w:trPr>
        <w:tc>
          <w:tcPr>
            <w:tcW w:w="844" w:type="pct"/>
            <w:tcBorders>
              <w:top w:val="nil"/>
              <w:left w:val="nil"/>
              <w:bottom w:val="single" w:sz="4" w:space="0" w:color="95B3D7"/>
              <w:right w:val="nil"/>
            </w:tcBorders>
            <w:shd w:val="clear" w:color="auto" w:fill="auto"/>
            <w:noWrap/>
            <w:vAlign w:val="center"/>
            <w:hideMark/>
          </w:tcPr>
          <w:p w14:paraId="74AE6A8D" w14:textId="77777777" w:rsidR="004A2818" w:rsidRPr="00261740"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Centro-Oeste</w:t>
            </w:r>
          </w:p>
        </w:tc>
        <w:tc>
          <w:tcPr>
            <w:tcW w:w="462" w:type="pct"/>
            <w:tcBorders>
              <w:top w:val="nil"/>
              <w:left w:val="nil"/>
              <w:bottom w:val="single" w:sz="4" w:space="0" w:color="95B3D7"/>
              <w:right w:val="nil"/>
            </w:tcBorders>
            <w:shd w:val="clear" w:color="auto" w:fill="auto"/>
            <w:noWrap/>
            <w:vAlign w:val="center"/>
            <w:hideMark/>
          </w:tcPr>
          <w:p w14:paraId="623AAC6A" w14:textId="0F8AFEA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53,26</w:t>
            </w:r>
          </w:p>
        </w:tc>
        <w:tc>
          <w:tcPr>
            <w:tcW w:w="462" w:type="pct"/>
            <w:tcBorders>
              <w:top w:val="nil"/>
              <w:left w:val="nil"/>
              <w:bottom w:val="single" w:sz="4" w:space="0" w:color="95B3D7"/>
              <w:right w:val="nil"/>
            </w:tcBorders>
            <w:shd w:val="clear" w:color="auto" w:fill="auto"/>
            <w:noWrap/>
            <w:vAlign w:val="center"/>
            <w:hideMark/>
          </w:tcPr>
          <w:p w14:paraId="7FF54ED2" w14:textId="61EB4110"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39,04</w:t>
            </w:r>
          </w:p>
        </w:tc>
        <w:tc>
          <w:tcPr>
            <w:tcW w:w="462" w:type="pct"/>
            <w:tcBorders>
              <w:top w:val="nil"/>
              <w:left w:val="nil"/>
              <w:bottom w:val="single" w:sz="4" w:space="0" w:color="95B3D7"/>
              <w:right w:val="nil"/>
            </w:tcBorders>
            <w:shd w:val="clear" w:color="auto" w:fill="auto"/>
            <w:noWrap/>
            <w:vAlign w:val="center"/>
            <w:hideMark/>
          </w:tcPr>
          <w:p w14:paraId="00DDD936" w14:textId="47A20BF4"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67,20</w:t>
            </w:r>
          </w:p>
        </w:tc>
        <w:tc>
          <w:tcPr>
            <w:tcW w:w="462" w:type="pct"/>
            <w:tcBorders>
              <w:top w:val="nil"/>
              <w:left w:val="nil"/>
              <w:bottom w:val="single" w:sz="4" w:space="0" w:color="95B3D7"/>
              <w:right w:val="nil"/>
            </w:tcBorders>
            <w:shd w:val="clear" w:color="auto" w:fill="auto"/>
            <w:noWrap/>
            <w:vAlign w:val="center"/>
            <w:hideMark/>
          </w:tcPr>
          <w:p w14:paraId="59E2971A" w14:textId="68089B44"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48,50</w:t>
            </w:r>
          </w:p>
        </w:tc>
        <w:tc>
          <w:tcPr>
            <w:tcW w:w="462" w:type="pct"/>
            <w:tcBorders>
              <w:top w:val="nil"/>
              <w:left w:val="nil"/>
              <w:bottom w:val="single" w:sz="4" w:space="0" w:color="95B3D7"/>
              <w:right w:val="nil"/>
            </w:tcBorders>
            <w:shd w:val="clear" w:color="auto" w:fill="auto"/>
            <w:noWrap/>
            <w:vAlign w:val="center"/>
            <w:hideMark/>
          </w:tcPr>
          <w:p w14:paraId="64CB99E9" w14:textId="0FADD2D2"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20,38</w:t>
            </w:r>
          </w:p>
        </w:tc>
        <w:tc>
          <w:tcPr>
            <w:tcW w:w="462" w:type="pct"/>
            <w:tcBorders>
              <w:top w:val="nil"/>
              <w:left w:val="nil"/>
              <w:bottom w:val="single" w:sz="4" w:space="0" w:color="95B3D7"/>
              <w:right w:val="nil"/>
            </w:tcBorders>
            <w:shd w:val="clear" w:color="auto" w:fill="auto"/>
            <w:noWrap/>
            <w:vAlign w:val="center"/>
            <w:hideMark/>
          </w:tcPr>
          <w:p w14:paraId="71DC604D" w14:textId="5CD35294"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55,64</w:t>
            </w:r>
          </w:p>
        </w:tc>
        <w:tc>
          <w:tcPr>
            <w:tcW w:w="462" w:type="pct"/>
            <w:tcBorders>
              <w:top w:val="nil"/>
              <w:left w:val="nil"/>
              <w:bottom w:val="single" w:sz="4" w:space="0" w:color="95B3D7"/>
              <w:right w:val="nil"/>
            </w:tcBorders>
            <w:shd w:val="clear" w:color="auto" w:fill="auto"/>
            <w:noWrap/>
            <w:vAlign w:val="center"/>
            <w:hideMark/>
          </w:tcPr>
          <w:p w14:paraId="2E674FF4" w14:textId="3D517980"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74,84</w:t>
            </w:r>
          </w:p>
        </w:tc>
        <w:tc>
          <w:tcPr>
            <w:tcW w:w="462" w:type="pct"/>
            <w:tcBorders>
              <w:top w:val="nil"/>
              <w:left w:val="nil"/>
              <w:bottom w:val="single" w:sz="4" w:space="0" w:color="95B3D7"/>
              <w:right w:val="nil"/>
            </w:tcBorders>
            <w:shd w:val="clear" w:color="auto" w:fill="auto"/>
            <w:noWrap/>
            <w:vAlign w:val="center"/>
            <w:hideMark/>
          </w:tcPr>
          <w:p w14:paraId="4C72FF5C" w14:textId="45E12AD1"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52,16</w:t>
            </w:r>
          </w:p>
        </w:tc>
        <w:tc>
          <w:tcPr>
            <w:tcW w:w="459" w:type="pct"/>
            <w:tcBorders>
              <w:top w:val="nil"/>
              <w:left w:val="nil"/>
              <w:bottom w:val="single" w:sz="4" w:space="0" w:color="95B3D7"/>
              <w:right w:val="nil"/>
            </w:tcBorders>
            <w:shd w:val="clear" w:color="auto" w:fill="auto"/>
            <w:noWrap/>
            <w:vAlign w:val="center"/>
            <w:hideMark/>
          </w:tcPr>
          <w:p w14:paraId="72BB3D57" w14:textId="7863C9DF"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55,46</w:t>
            </w:r>
          </w:p>
        </w:tc>
      </w:tr>
      <w:tr w:rsidR="004A2818" w:rsidRPr="001436E5" w14:paraId="78CBB72D" w14:textId="77777777" w:rsidTr="004A2818">
        <w:trPr>
          <w:trHeight w:val="300"/>
        </w:trPr>
        <w:tc>
          <w:tcPr>
            <w:tcW w:w="844" w:type="pct"/>
            <w:tcBorders>
              <w:top w:val="nil"/>
              <w:left w:val="nil"/>
              <w:bottom w:val="single" w:sz="4" w:space="0" w:color="95B3D7"/>
              <w:right w:val="nil"/>
            </w:tcBorders>
            <w:shd w:val="clear" w:color="auto" w:fill="auto"/>
            <w:noWrap/>
            <w:vAlign w:val="center"/>
            <w:hideMark/>
          </w:tcPr>
          <w:p w14:paraId="274C0BBE" w14:textId="77777777" w:rsidR="004A2818" w:rsidRPr="00261740"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Nordeste</w:t>
            </w:r>
          </w:p>
        </w:tc>
        <w:tc>
          <w:tcPr>
            <w:tcW w:w="462" w:type="pct"/>
            <w:tcBorders>
              <w:top w:val="nil"/>
              <w:left w:val="nil"/>
              <w:bottom w:val="single" w:sz="4" w:space="0" w:color="95B3D7"/>
              <w:right w:val="nil"/>
            </w:tcBorders>
            <w:shd w:val="clear" w:color="auto" w:fill="auto"/>
            <w:noWrap/>
            <w:vAlign w:val="center"/>
            <w:hideMark/>
          </w:tcPr>
          <w:p w14:paraId="2B6B3B63" w14:textId="07808082"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49,19</w:t>
            </w:r>
          </w:p>
        </w:tc>
        <w:tc>
          <w:tcPr>
            <w:tcW w:w="462" w:type="pct"/>
            <w:tcBorders>
              <w:top w:val="nil"/>
              <w:left w:val="nil"/>
              <w:bottom w:val="single" w:sz="4" w:space="0" w:color="95B3D7"/>
              <w:right w:val="nil"/>
            </w:tcBorders>
            <w:shd w:val="clear" w:color="auto" w:fill="auto"/>
            <w:noWrap/>
            <w:vAlign w:val="center"/>
            <w:hideMark/>
          </w:tcPr>
          <w:p w14:paraId="4BD203C1" w14:textId="7DFFED58"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44,50</w:t>
            </w:r>
          </w:p>
        </w:tc>
        <w:tc>
          <w:tcPr>
            <w:tcW w:w="462" w:type="pct"/>
            <w:tcBorders>
              <w:top w:val="nil"/>
              <w:left w:val="nil"/>
              <w:bottom w:val="single" w:sz="4" w:space="0" w:color="95B3D7"/>
              <w:right w:val="nil"/>
            </w:tcBorders>
            <w:shd w:val="clear" w:color="auto" w:fill="auto"/>
            <w:noWrap/>
            <w:vAlign w:val="center"/>
            <w:hideMark/>
          </w:tcPr>
          <w:p w14:paraId="52E6E532" w14:textId="0ABD8202"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64,36</w:t>
            </w:r>
          </w:p>
        </w:tc>
        <w:tc>
          <w:tcPr>
            <w:tcW w:w="462" w:type="pct"/>
            <w:tcBorders>
              <w:top w:val="nil"/>
              <w:left w:val="nil"/>
              <w:bottom w:val="single" w:sz="4" w:space="0" w:color="95B3D7"/>
              <w:right w:val="nil"/>
            </w:tcBorders>
            <w:shd w:val="clear" w:color="auto" w:fill="auto"/>
            <w:noWrap/>
            <w:vAlign w:val="center"/>
            <w:hideMark/>
          </w:tcPr>
          <w:p w14:paraId="7EF38015" w14:textId="30F1E151"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32,61</w:t>
            </w:r>
          </w:p>
        </w:tc>
        <w:tc>
          <w:tcPr>
            <w:tcW w:w="462" w:type="pct"/>
            <w:tcBorders>
              <w:top w:val="nil"/>
              <w:left w:val="nil"/>
              <w:bottom w:val="single" w:sz="4" w:space="0" w:color="95B3D7"/>
              <w:right w:val="nil"/>
            </w:tcBorders>
            <w:shd w:val="clear" w:color="auto" w:fill="auto"/>
            <w:noWrap/>
            <w:vAlign w:val="center"/>
            <w:hideMark/>
          </w:tcPr>
          <w:p w14:paraId="5E85AC6C" w14:textId="063E9138"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32,15</w:t>
            </w:r>
          </w:p>
        </w:tc>
        <w:tc>
          <w:tcPr>
            <w:tcW w:w="462" w:type="pct"/>
            <w:tcBorders>
              <w:top w:val="nil"/>
              <w:left w:val="nil"/>
              <w:bottom w:val="single" w:sz="4" w:space="0" w:color="95B3D7"/>
              <w:right w:val="nil"/>
            </w:tcBorders>
            <w:shd w:val="clear" w:color="auto" w:fill="auto"/>
            <w:noWrap/>
            <w:vAlign w:val="center"/>
            <w:hideMark/>
          </w:tcPr>
          <w:p w14:paraId="4934A2BF" w14:textId="5A1921B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45,55</w:t>
            </w:r>
          </w:p>
        </w:tc>
        <w:tc>
          <w:tcPr>
            <w:tcW w:w="462" w:type="pct"/>
            <w:tcBorders>
              <w:top w:val="nil"/>
              <w:left w:val="nil"/>
              <w:bottom w:val="single" w:sz="4" w:space="0" w:color="95B3D7"/>
              <w:right w:val="nil"/>
            </w:tcBorders>
            <w:shd w:val="clear" w:color="auto" w:fill="auto"/>
            <w:noWrap/>
            <w:vAlign w:val="center"/>
            <w:hideMark/>
          </w:tcPr>
          <w:p w14:paraId="0354485D" w14:textId="580F0DD2"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48,13</w:t>
            </w:r>
          </w:p>
        </w:tc>
        <w:tc>
          <w:tcPr>
            <w:tcW w:w="462" w:type="pct"/>
            <w:tcBorders>
              <w:top w:val="nil"/>
              <w:left w:val="nil"/>
              <w:bottom w:val="single" w:sz="4" w:space="0" w:color="95B3D7"/>
              <w:right w:val="nil"/>
            </w:tcBorders>
            <w:shd w:val="clear" w:color="auto" w:fill="auto"/>
            <w:noWrap/>
            <w:vAlign w:val="center"/>
            <w:hideMark/>
          </w:tcPr>
          <w:p w14:paraId="5368DC7E" w14:textId="0373CF23"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35,88</w:t>
            </w:r>
          </w:p>
        </w:tc>
        <w:tc>
          <w:tcPr>
            <w:tcW w:w="459" w:type="pct"/>
            <w:tcBorders>
              <w:top w:val="nil"/>
              <w:left w:val="nil"/>
              <w:bottom w:val="single" w:sz="4" w:space="0" w:color="95B3D7"/>
              <w:right w:val="nil"/>
            </w:tcBorders>
            <w:shd w:val="clear" w:color="auto" w:fill="auto"/>
            <w:noWrap/>
            <w:vAlign w:val="center"/>
            <w:hideMark/>
          </w:tcPr>
          <w:p w14:paraId="78DFBD44" w14:textId="3FEF89D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54,42</w:t>
            </w:r>
          </w:p>
        </w:tc>
      </w:tr>
      <w:tr w:rsidR="004A2818" w:rsidRPr="001436E5" w14:paraId="554BD495" w14:textId="77777777" w:rsidTr="004A2818">
        <w:trPr>
          <w:trHeight w:val="300"/>
        </w:trPr>
        <w:tc>
          <w:tcPr>
            <w:tcW w:w="844" w:type="pct"/>
            <w:tcBorders>
              <w:top w:val="nil"/>
              <w:left w:val="nil"/>
              <w:bottom w:val="single" w:sz="4" w:space="0" w:color="95B3D7"/>
              <w:right w:val="nil"/>
            </w:tcBorders>
            <w:shd w:val="clear" w:color="auto" w:fill="auto"/>
            <w:noWrap/>
            <w:vAlign w:val="center"/>
            <w:hideMark/>
          </w:tcPr>
          <w:p w14:paraId="3A3F259F" w14:textId="77777777" w:rsidR="004A2818" w:rsidRPr="00261740"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Norte</w:t>
            </w:r>
          </w:p>
        </w:tc>
        <w:tc>
          <w:tcPr>
            <w:tcW w:w="462" w:type="pct"/>
            <w:tcBorders>
              <w:top w:val="nil"/>
              <w:left w:val="nil"/>
              <w:bottom w:val="single" w:sz="4" w:space="0" w:color="95B3D7"/>
              <w:right w:val="nil"/>
            </w:tcBorders>
            <w:shd w:val="clear" w:color="auto" w:fill="auto"/>
            <w:noWrap/>
            <w:vAlign w:val="center"/>
            <w:hideMark/>
          </w:tcPr>
          <w:p w14:paraId="23930A5F" w14:textId="0E7BF56E"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54,78</w:t>
            </w:r>
          </w:p>
        </w:tc>
        <w:tc>
          <w:tcPr>
            <w:tcW w:w="462" w:type="pct"/>
            <w:tcBorders>
              <w:top w:val="nil"/>
              <w:left w:val="nil"/>
              <w:bottom w:val="single" w:sz="4" w:space="0" w:color="95B3D7"/>
              <w:right w:val="nil"/>
            </w:tcBorders>
            <w:shd w:val="clear" w:color="auto" w:fill="auto"/>
            <w:noWrap/>
            <w:vAlign w:val="center"/>
            <w:hideMark/>
          </w:tcPr>
          <w:p w14:paraId="5B01AE89" w14:textId="7B194580"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43,24</w:t>
            </w:r>
          </w:p>
        </w:tc>
        <w:tc>
          <w:tcPr>
            <w:tcW w:w="462" w:type="pct"/>
            <w:tcBorders>
              <w:top w:val="nil"/>
              <w:left w:val="nil"/>
              <w:bottom w:val="single" w:sz="4" w:space="0" w:color="95B3D7"/>
              <w:right w:val="nil"/>
            </w:tcBorders>
            <w:shd w:val="clear" w:color="auto" w:fill="auto"/>
            <w:noWrap/>
            <w:vAlign w:val="center"/>
            <w:hideMark/>
          </w:tcPr>
          <w:p w14:paraId="6A91974E" w14:textId="02D9F7BB"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62,06</w:t>
            </w:r>
          </w:p>
        </w:tc>
        <w:tc>
          <w:tcPr>
            <w:tcW w:w="462" w:type="pct"/>
            <w:tcBorders>
              <w:top w:val="nil"/>
              <w:left w:val="nil"/>
              <w:bottom w:val="single" w:sz="4" w:space="0" w:color="95B3D7"/>
              <w:right w:val="nil"/>
            </w:tcBorders>
            <w:shd w:val="clear" w:color="auto" w:fill="auto"/>
            <w:noWrap/>
            <w:vAlign w:val="center"/>
            <w:hideMark/>
          </w:tcPr>
          <w:p w14:paraId="6E668DDC" w14:textId="74E75CCF"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31,94</w:t>
            </w:r>
          </w:p>
        </w:tc>
        <w:tc>
          <w:tcPr>
            <w:tcW w:w="462" w:type="pct"/>
            <w:tcBorders>
              <w:top w:val="nil"/>
              <w:left w:val="nil"/>
              <w:bottom w:val="single" w:sz="4" w:space="0" w:color="95B3D7"/>
              <w:right w:val="nil"/>
            </w:tcBorders>
            <w:shd w:val="clear" w:color="auto" w:fill="auto"/>
            <w:noWrap/>
            <w:vAlign w:val="center"/>
            <w:hideMark/>
          </w:tcPr>
          <w:p w14:paraId="6F5D1ACB" w14:textId="3DCD60CA"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23,33</w:t>
            </w:r>
          </w:p>
        </w:tc>
        <w:tc>
          <w:tcPr>
            <w:tcW w:w="462" w:type="pct"/>
            <w:tcBorders>
              <w:top w:val="nil"/>
              <w:left w:val="nil"/>
              <w:bottom w:val="single" w:sz="4" w:space="0" w:color="95B3D7"/>
              <w:right w:val="nil"/>
            </w:tcBorders>
            <w:shd w:val="clear" w:color="auto" w:fill="auto"/>
            <w:noWrap/>
            <w:vAlign w:val="center"/>
            <w:hideMark/>
          </w:tcPr>
          <w:p w14:paraId="61D9D0E9" w14:textId="2469172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39,85</w:t>
            </w:r>
          </w:p>
        </w:tc>
        <w:tc>
          <w:tcPr>
            <w:tcW w:w="462" w:type="pct"/>
            <w:tcBorders>
              <w:top w:val="nil"/>
              <w:left w:val="nil"/>
              <w:bottom w:val="single" w:sz="4" w:space="0" w:color="95B3D7"/>
              <w:right w:val="nil"/>
            </w:tcBorders>
            <w:shd w:val="clear" w:color="auto" w:fill="auto"/>
            <w:noWrap/>
            <w:vAlign w:val="center"/>
            <w:hideMark/>
          </w:tcPr>
          <w:p w14:paraId="7C305B86" w14:textId="2DD61A68"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34,29</w:t>
            </w:r>
          </w:p>
        </w:tc>
        <w:tc>
          <w:tcPr>
            <w:tcW w:w="462" w:type="pct"/>
            <w:tcBorders>
              <w:top w:val="nil"/>
              <w:left w:val="nil"/>
              <w:bottom w:val="single" w:sz="4" w:space="0" w:color="95B3D7"/>
              <w:right w:val="nil"/>
            </w:tcBorders>
            <w:shd w:val="clear" w:color="auto" w:fill="auto"/>
            <w:noWrap/>
            <w:vAlign w:val="center"/>
            <w:hideMark/>
          </w:tcPr>
          <w:p w14:paraId="66341E8F" w14:textId="1E8201FE"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40,68</w:t>
            </w:r>
          </w:p>
        </w:tc>
        <w:tc>
          <w:tcPr>
            <w:tcW w:w="459" w:type="pct"/>
            <w:tcBorders>
              <w:top w:val="nil"/>
              <w:left w:val="nil"/>
              <w:bottom w:val="single" w:sz="4" w:space="0" w:color="95B3D7"/>
              <w:right w:val="nil"/>
            </w:tcBorders>
            <w:shd w:val="clear" w:color="auto" w:fill="auto"/>
            <w:noWrap/>
            <w:vAlign w:val="center"/>
            <w:hideMark/>
          </w:tcPr>
          <w:p w14:paraId="78854FF4" w14:textId="34816A3B"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53,53</w:t>
            </w:r>
          </w:p>
        </w:tc>
      </w:tr>
      <w:tr w:rsidR="004A2818" w:rsidRPr="001436E5" w14:paraId="416BB644" w14:textId="77777777" w:rsidTr="004A2818">
        <w:trPr>
          <w:trHeight w:val="300"/>
        </w:trPr>
        <w:tc>
          <w:tcPr>
            <w:tcW w:w="844" w:type="pct"/>
            <w:tcBorders>
              <w:top w:val="nil"/>
              <w:left w:val="nil"/>
              <w:bottom w:val="single" w:sz="4" w:space="0" w:color="95B3D7"/>
              <w:right w:val="nil"/>
            </w:tcBorders>
            <w:shd w:val="clear" w:color="auto" w:fill="auto"/>
            <w:noWrap/>
            <w:vAlign w:val="center"/>
            <w:hideMark/>
          </w:tcPr>
          <w:p w14:paraId="592732F1" w14:textId="77777777" w:rsidR="004A2818" w:rsidRPr="00261740"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Sudeste</w:t>
            </w:r>
          </w:p>
        </w:tc>
        <w:tc>
          <w:tcPr>
            <w:tcW w:w="462" w:type="pct"/>
            <w:tcBorders>
              <w:top w:val="nil"/>
              <w:left w:val="nil"/>
              <w:bottom w:val="single" w:sz="4" w:space="0" w:color="95B3D7"/>
              <w:right w:val="nil"/>
            </w:tcBorders>
            <w:shd w:val="clear" w:color="auto" w:fill="auto"/>
            <w:noWrap/>
            <w:vAlign w:val="center"/>
            <w:hideMark/>
          </w:tcPr>
          <w:p w14:paraId="4FDA2715" w14:textId="054AD409"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54,67</w:t>
            </w:r>
          </w:p>
        </w:tc>
        <w:tc>
          <w:tcPr>
            <w:tcW w:w="462" w:type="pct"/>
            <w:tcBorders>
              <w:top w:val="nil"/>
              <w:left w:val="nil"/>
              <w:bottom w:val="single" w:sz="4" w:space="0" w:color="95B3D7"/>
              <w:right w:val="nil"/>
            </w:tcBorders>
            <w:shd w:val="clear" w:color="auto" w:fill="auto"/>
            <w:noWrap/>
            <w:vAlign w:val="center"/>
            <w:hideMark/>
          </w:tcPr>
          <w:p w14:paraId="7F1A412B" w14:textId="18DCEF37"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41,36</w:t>
            </w:r>
          </w:p>
        </w:tc>
        <w:tc>
          <w:tcPr>
            <w:tcW w:w="462" w:type="pct"/>
            <w:tcBorders>
              <w:top w:val="nil"/>
              <w:left w:val="nil"/>
              <w:bottom w:val="single" w:sz="4" w:space="0" w:color="95B3D7"/>
              <w:right w:val="nil"/>
            </w:tcBorders>
            <w:shd w:val="clear" w:color="auto" w:fill="auto"/>
            <w:noWrap/>
            <w:vAlign w:val="center"/>
            <w:hideMark/>
          </w:tcPr>
          <w:p w14:paraId="2D430815" w14:textId="015C0351"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68,26</w:t>
            </w:r>
          </w:p>
        </w:tc>
        <w:tc>
          <w:tcPr>
            <w:tcW w:w="462" w:type="pct"/>
            <w:tcBorders>
              <w:top w:val="nil"/>
              <w:left w:val="nil"/>
              <w:bottom w:val="single" w:sz="4" w:space="0" w:color="95B3D7"/>
              <w:right w:val="nil"/>
            </w:tcBorders>
            <w:shd w:val="clear" w:color="auto" w:fill="auto"/>
            <w:noWrap/>
            <w:vAlign w:val="center"/>
            <w:hideMark/>
          </w:tcPr>
          <w:p w14:paraId="7F99D209" w14:textId="5F408AA9"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52,33</w:t>
            </w:r>
          </w:p>
        </w:tc>
        <w:tc>
          <w:tcPr>
            <w:tcW w:w="462" w:type="pct"/>
            <w:tcBorders>
              <w:top w:val="nil"/>
              <w:left w:val="nil"/>
              <w:bottom w:val="single" w:sz="4" w:space="0" w:color="95B3D7"/>
              <w:right w:val="nil"/>
            </w:tcBorders>
            <w:shd w:val="clear" w:color="auto" w:fill="auto"/>
            <w:noWrap/>
            <w:vAlign w:val="center"/>
            <w:hideMark/>
          </w:tcPr>
          <w:p w14:paraId="4B1B9D41" w14:textId="0839221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25,73</w:t>
            </w:r>
          </w:p>
        </w:tc>
        <w:tc>
          <w:tcPr>
            <w:tcW w:w="462" w:type="pct"/>
            <w:tcBorders>
              <w:top w:val="nil"/>
              <w:left w:val="nil"/>
              <w:bottom w:val="single" w:sz="4" w:space="0" w:color="95B3D7"/>
              <w:right w:val="nil"/>
            </w:tcBorders>
            <w:shd w:val="clear" w:color="auto" w:fill="auto"/>
            <w:noWrap/>
            <w:vAlign w:val="center"/>
            <w:hideMark/>
          </w:tcPr>
          <w:p w14:paraId="7D6C955C" w14:textId="4ED29861"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69,62</w:t>
            </w:r>
          </w:p>
        </w:tc>
        <w:tc>
          <w:tcPr>
            <w:tcW w:w="462" w:type="pct"/>
            <w:tcBorders>
              <w:top w:val="nil"/>
              <w:left w:val="nil"/>
              <w:bottom w:val="single" w:sz="4" w:space="0" w:color="95B3D7"/>
              <w:right w:val="nil"/>
            </w:tcBorders>
            <w:shd w:val="clear" w:color="auto" w:fill="auto"/>
            <w:noWrap/>
            <w:vAlign w:val="center"/>
            <w:hideMark/>
          </w:tcPr>
          <w:p w14:paraId="49AAE6F4" w14:textId="4C542845"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77,23</w:t>
            </w:r>
          </w:p>
        </w:tc>
        <w:tc>
          <w:tcPr>
            <w:tcW w:w="462" w:type="pct"/>
            <w:tcBorders>
              <w:top w:val="nil"/>
              <w:left w:val="nil"/>
              <w:bottom w:val="single" w:sz="4" w:space="0" w:color="95B3D7"/>
              <w:right w:val="nil"/>
            </w:tcBorders>
            <w:shd w:val="clear" w:color="auto" w:fill="auto"/>
            <w:noWrap/>
            <w:vAlign w:val="center"/>
            <w:hideMark/>
          </w:tcPr>
          <w:p w14:paraId="3C6AF449" w14:textId="4D3D467C"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49,88</w:t>
            </w:r>
          </w:p>
        </w:tc>
        <w:tc>
          <w:tcPr>
            <w:tcW w:w="459" w:type="pct"/>
            <w:tcBorders>
              <w:top w:val="nil"/>
              <w:left w:val="nil"/>
              <w:bottom w:val="single" w:sz="4" w:space="0" w:color="95B3D7"/>
              <w:right w:val="nil"/>
            </w:tcBorders>
            <w:shd w:val="clear" w:color="auto" w:fill="auto"/>
            <w:noWrap/>
            <w:vAlign w:val="center"/>
            <w:hideMark/>
          </w:tcPr>
          <w:p w14:paraId="6E2A5F98" w14:textId="3A0B7568"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58,69</w:t>
            </w:r>
          </w:p>
        </w:tc>
      </w:tr>
      <w:tr w:rsidR="004A2818" w:rsidRPr="001436E5" w14:paraId="2DD9B66D" w14:textId="77777777" w:rsidTr="004A2818">
        <w:trPr>
          <w:trHeight w:val="300"/>
        </w:trPr>
        <w:tc>
          <w:tcPr>
            <w:tcW w:w="844" w:type="pct"/>
            <w:tcBorders>
              <w:top w:val="nil"/>
              <w:left w:val="nil"/>
              <w:bottom w:val="single" w:sz="4" w:space="0" w:color="95B3D7"/>
              <w:right w:val="nil"/>
            </w:tcBorders>
            <w:shd w:val="clear" w:color="auto" w:fill="auto"/>
            <w:noWrap/>
            <w:vAlign w:val="center"/>
            <w:hideMark/>
          </w:tcPr>
          <w:p w14:paraId="5C3C2AF0" w14:textId="77777777" w:rsidR="004A2818" w:rsidRPr="00261740"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Sul</w:t>
            </w:r>
          </w:p>
        </w:tc>
        <w:tc>
          <w:tcPr>
            <w:tcW w:w="462" w:type="pct"/>
            <w:tcBorders>
              <w:top w:val="nil"/>
              <w:left w:val="nil"/>
              <w:bottom w:val="single" w:sz="4" w:space="0" w:color="95B3D7"/>
              <w:right w:val="nil"/>
            </w:tcBorders>
            <w:shd w:val="clear" w:color="auto" w:fill="auto"/>
            <w:noWrap/>
            <w:vAlign w:val="center"/>
            <w:hideMark/>
          </w:tcPr>
          <w:p w14:paraId="0B482A08" w14:textId="004A35D3"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51,22</w:t>
            </w:r>
          </w:p>
        </w:tc>
        <w:tc>
          <w:tcPr>
            <w:tcW w:w="462" w:type="pct"/>
            <w:tcBorders>
              <w:top w:val="nil"/>
              <w:left w:val="nil"/>
              <w:bottom w:val="single" w:sz="4" w:space="0" w:color="95B3D7"/>
              <w:right w:val="nil"/>
            </w:tcBorders>
            <w:shd w:val="clear" w:color="auto" w:fill="auto"/>
            <w:noWrap/>
            <w:vAlign w:val="center"/>
            <w:hideMark/>
          </w:tcPr>
          <w:p w14:paraId="6A813D82" w14:textId="1E85361A"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41,90</w:t>
            </w:r>
          </w:p>
        </w:tc>
        <w:tc>
          <w:tcPr>
            <w:tcW w:w="462" w:type="pct"/>
            <w:tcBorders>
              <w:top w:val="nil"/>
              <w:left w:val="nil"/>
              <w:bottom w:val="single" w:sz="4" w:space="0" w:color="95B3D7"/>
              <w:right w:val="nil"/>
            </w:tcBorders>
            <w:shd w:val="clear" w:color="auto" w:fill="auto"/>
            <w:noWrap/>
            <w:vAlign w:val="center"/>
            <w:hideMark/>
          </w:tcPr>
          <w:p w14:paraId="7B21A4CD" w14:textId="01DD9AA8"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68,28</w:t>
            </w:r>
          </w:p>
        </w:tc>
        <w:tc>
          <w:tcPr>
            <w:tcW w:w="462" w:type="pct"/>
            <w:tcBorders>
              <w:top w:val="nil"/>
              <w:left w:val="nil"/>
              <w:bottom w:val="single" w:sz="4" w:space="0" w:color="95B3D7"/>
              <w:right w:val="nil"/>
            </w:tcBorders>
            <w:shd w:val="clear" w:color="auto" w:fill="auto"/>
            <w:noWrap/>
            <w:vAlign w:val="center"/>
            <w:hideMark/>
          </w:tcPr>
          <w:p w14:paraId="54BC40FC" w14:textId="1133FB7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55,48</w:t>
            </w:r>
          </w:p>
        </w:tc>
        <w:tc>
          <w:tcPr>
            <w:tcW w:w="462" w:type="pct"/>
            <w:tcBorders>
              <w:top w:val="nil"/>
              <w:left w:val="nil"/>
              <w:bottom w:val="single" w:sz="4" w:space="0" w:color="95B3D7"/>
              <w:right w:val="nil"/>
            </w:tcBorders>
            <w:shd w:val="clear" w:color="auto" w:fill="auto"/>
            <w:noWrap/>
            <w:vAlign w:val="center"/>
            <w:hideMark/>
          </w:tcPr>
          <w:p w14:paraId="5515EEC5" w14:textId="45FBCB6C"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34,11</w:t>
            </w:r>
          </w:p>
        </w:tc>
        <w:tc>
          <w:tcPr>
            <w:tcW w:w="462" w:type="pct"/>
            <w:tcBorders>
              <w:top w:val="nil"/>
              <w:left w:val="nil"/>
              <w:bottom w:val="single" w:sz="4" w:space="0" w:color="95B3D7"/>
              <w:right w:val="nil"/>
            </w:tcBorders>
            <w:shd w:val="clear" w:color="auto" w:fill="auto"/>
            <w:noWrap/>
            <w:vAlign w:val="center"/>
            <w:hideMark/>
          </w:tcPr>
          <w:p w14:paraId="4575D2A2" w14:textId="119FE5C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54,17</w:t>
            </w:r>
          </w:p>
        </w:tc>
        <w:tc>
          <w:tcPr>
            <w:tcW w:w="462" w:type="pct"/>
            <w:tcBorders>
              <w:top w:val="nil"/>
              <w:left w:val="nil"/>
              <w:bottom w:val="single" w:sz="4" w:space="0" w:color="95B3D7"/>
              <w:right w:val="nil"/>
            </w:tcBorders>
            <w:shd w:val="clear" w:color="auto" w:fill="auto"/>
            <w:noWrap/>
            <w:vAlign w:val="center"/>
            <w:hideMark/>
          </w:tcPr>
          <w:p w14:paraId="541E6D3D" w14:textId="033F000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54,75</w:t>
            </w:r>
          </w:p>
        </w:tc>
        <w:tc>
          <w:tcPr>
            <w:tcW w:w="462" w:type="pct"/>
            <w:tcBorders>
              <w:top w:val="nil"/>
              <w:left w:val="nil"/>
              <w:bottom w:val="single" w:sz="4" w:space="0" w:color="95B3D7"/>
              <w:right w:val="nil"/>
            </w:tcBorders>
            <w:shd w:val="clear" w:color="auto" w:fill="auto"/>
            <w:noWrap/>
            <w:vAlign w:val="center"/>
            <w:hideMark/>
          </w:tcPr>
          <w:p w14:paraId="2E519594" w14:textId="28E4025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61,54</w:t>
            </w:r>
          </w:p>
        </w:tc>
        <w:tc>
          <w:tcPr>
            <w:tcW w:w="459" w:type="pct"/>
            <w:tcBorders>
              <w:top w:val="nil"/>
              <w:left w:val="nil"/>
              <w:bottom w:val="single" w:sz="4" w:space="0" w:color="95B3D7"/>
              <w:right w:val="nil"/>
            </w:tcBorders>
            <w:shd w:val="clear" w:color="auto" w:fill="auto"/>
            <w:noWrap/>
            <w:vAlign w:val="center"/>
            <w:hideMark/>
          </w:tcPr>
          <w:p w14:paraId="0AE40F22" w14:textId="31C3CBA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58,08</w:t>
            </w:r>
          </w:p>
        </w:tc>
      </w:tr>
      <w:tr w:rsidR="004A2818" w:rsidRPr="001436E5" w14:paraId="76505423" w14:textId="77777777" w:rsidTr="004A2818">
        <w:trPr>
          <w:trHeight w:val="300"/>
        </w:trPr>
        <w:tc>
          <w:tcPr>
            <w:tcW w:w="844" w:type="pct"/>
            <w:tcBorders>
              <w:top w:val="single" w:sz="4" w:space="0" w:color="95B3D7"/>
              <w:left w:val="nil"/>
              <w:bottom w:val="nil"/>
              <w:right w:val="nil"/>
            </w:tcBorders>
            <w:shd w:val="clear" w:color="DCE6F1" w:fill="DCE6F1"/>
            <w:noWrap/>
            <w:vAlign w:val="center"/>
            <w:hideMark/>
          </w:tcPr>
          <w:p w14:paraId="14383F21" w14:textId="4DFBDD20" w:rsidR="004A2818" w:rsidRPr="00261740" w:rsidRDefault="004A2818" w:rsidP="004A2818">
            <w:pPr>
              <w:spacing w:after="0" w:line="240" w:lineRule="auto"/>
              <w:rPr>
                <w:rFonts w:ascii="Times New Roman" w:eastAsia="Times New Roman" w:hAnsi="Times New Roman" w:cs="Times New Roman"/>
                <w:b/>
                <w:bCs/>
                <w:color w:val="000000"/>
                <w:kern w:val="0"/>
                <w:sz w:val="20"/>
                <w:szCs w:val="20"/>
                <w:lang w:eastAsia="pt-BR"/>
                <w14:ligatures w14:val="none"/>
              </w:rPr>
            </w:pPr>
            <w:r w:rsidRPr="001436E5">
              <w:rPr>
                <w:rFonts w:ascii="Times New Roman" w:eastAsia="Times New Roman" w:hAnsi="Times New Roman" w:cs="Times New Roman"/>
                <w:b/>
                <w:bCs/>
                <w:color w:val="000000"/>
                <w:kern w:val="0"/>
                <w:sz w:val="20"/>
                <w:szCs w:val="20"/>
                <w:lang w:eastAsia="pt-BR"/>
                <w14:ligatures w14:val="none"/>
              </w:rPr>
              <w:t>Média</w:t>
            </w:r>
            <w:r w:rsidRPr="00261740">
              <w:rPr>
                <w:rFonts w:ascii="Times New Roman" w:eastAsia="Times New Roman" w:hAnsi="Times New Roman" w:cs="Times New Roman"/>
                <w:b/>
                <w:bCs/>
                <w:color w:val="000000"/>
                <w:kern w:val="0"/>
                <w:sz w:val="20"/>
                <w:szCs w:val="20"/>
                <w:lang w:eastAsia="pt-BR"/>
                <w14:ligatures w14:val="none"/>
              </w:rPr>
              <w:t xml:space="preserve"> Geral</w:t>
            </w:r>
          </w:p>
        </w:tc>
        <w:tc>
          <w:tcPr>
            <w:tcW w:w="462" w:type="pct"/>
            <w:tcBorders>
              <w:top w:val="single" w:sz="4" w:space="0" w:color="95B3D7"/>
              <w:left w:val="nil"/>
              <w:bottom w:val="nil"/>
              <w:right w:val="nil"/>
            </w:tcBorders>
            <w:shd w:val="clear" w:color="DCE6F1" w:fill="DCE6F1"/>
            <w:noWrap/>
            <w:vAlign w:val="center"/>
            <w:hideMark/>
          </w:tcPr>
          <w:p w14:paraId="4CDA8C0F" w14:textId="263B8F45"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52,06</w:t>
            </w:r>
          </w:p>
        </w:tc>
        <w:tc>
          <w:tcPr>
            <w:tcW w:w="462" w:type="pct"/>
            <w:tcBorders>
              <w:top w:val="single" w:sz="4" w:space="0" w:color="95B3D7"/>
              <w:left w:val="nil"/>
              <w:bottom w:val="nil"/>
              <w:right w:val="nil"/>
            </w:tcBorders>
            <w:shd w:val="clear" w:color="DCE6F1" w:fill="DCE6F1"/>
            <w:noWrap/>
            <w:vAlign w:val="center"/>
            <w:hideMark/>
          </w:tcPr>
          <w:p w14:paraId="773C08B1" w14:textId="0FEA65C9"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42,45</w:t>
            </w:r>
          </w:p>
        </w:tc>
        <w:tc>
          <w:tcPr>
            <w:tcW w:w="462" w:type="pct"/>
            <w:tcBorders>
              <w:top w:val="single" w:sz="4" w:space="0" w:color="95B3D7"/>
              <w:left w:val="nil"/>
              <w:bottom w:val="nil"/>
              <w:right w:val="nil"/>
            </w:tcBorders>
            <w:shd w:val="clear" w:color="DCE6F1" w:fill="DCE6F1"/>
            <w:noWrap/>
            <w:vAlign w:val="center"/>
            <w:hideMark/>
          </w:tcPr>
          <w:p w14:paraId="5526680F" w14:textId="3EFB0833"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66,43</w:t>
            </w:r>
          </w:p>
        </w:tc>
        <w:tc>
          <w:tcPr>
            <w:tcW w:w="462" w:type="pct"/>
            <w:tcBorders>
              <w:top w:val="single" w:sz="4" w:space="0" w:color="95B3D7"/>
              <w:left w:val="nil"/>
              <w:bottom w:val="nil"/>
              <w:right w:val="nil"/>
            </w:tcBorders>
            <w:shd w:val="clear" w:color="DCE6F1" w:fill="DCE6F1"/>
            <w:noWrap/>
            <w:vAlign w:val="center"/>
            <w:hideMark/>
          </w:tcPr>
          <w:p w14:paraId="3D72E7BC" w14:textId="3DBD64C0"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44,71</w:t>
            </w:r>
          </w:p>
        </w:tc>
        <w:tc>
          <w:tcPr>
            <w:tcW w:w="462" w:type="pct"/>
            <w:tcBorders>
              <w:top w:val="single" w:sz="4" w:space="0" w:color="95B3D7"/>
              <w:left w:val="nil"/>
              <w:bottom w:val="nil"/>
              <w:right w:val="nil"/>
            </w:tcBorders>
            <w:shd w:val="clear" w:color="DCE6F1" w:fill="DCE6F1"/>
            <w:noWrap/>
            <w:vAlign w:val="center"/>
            <w:hideMark/>
          </w:tcPr>
          <w:p w14:paraId="7C30DA6E" w14:textId="0E4A0634"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28,96</w:t>
            </w:r>
          </w:p>
        </w:tc>
        <w:tc>
          <w:tcPr>
            <w:tcW w:w="462" w:type="pct"/>
            <w:tcBorders>
              <w:top w:val="single" w:sz="4" w:space="0" w:color="95B3D7"/>
              <w:left w:val="nil"/>
              <w:bottom w:val="nil"/>
              <w:right w:val="nil"/>
            </w:tcBorders>
            <w:shd w:val="clear" w:color="DCE6F1" w:fill="DCE6F1"/>
            <w:noWrap/>
            <w:vAlign w:val="center"/>
            <w:hideMark/>
          </w:tcPr>
          <w:p w14:paraId="7938A492" w14:textId="57C441AD"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55,05</w:t>
            </w:r>
          </w:p>
        </w:tc>
        <w:tc>
          <w:tcPr>
            <w:tcW w:w="462" w:type="pct"/>
            <w:tcBorders>
              <w:top w:val="single" w:sz="4" w:space="0" w:color="95B3D7"/>
              <w:left w:val="nil"/>
              <w:bottom w:val="nil"/>
              <w:right w:val="nil"/>
            </w:tcBorders>
            <w:shd w:val="clear" w:color="DCE6F1" w:fill="DCE6F1"/>
            <w:noWrap/>
            <w:vAlign w:val="center"/>
            <w:hideMark/>
          </w:tcPr>
          <w:p w14:paraId="0D0E6390" w14:textId="0952BEF8"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59,44</w:t>
            </w:r>
          </w:p>
        </w:tc>
        <w:tc>
          <w:tcPr>
            <w:tcW w:w="462" w:type="pct"/>
            <w:tcBorders>
              <w:top w:val="single" w:sz="4" w:space="0" w:color="95B3D7"/>
              <w:left w:val="nil"/>
              <w:bottom w:val="nil"/>
              <w:right w:val="nil"/>
            </w:tcBorders>
            <w:shd w:val="clear" w:color="DCE6F1" w:fill="DCE6F1"/>
            <w:noWrap/>
            <w:vAlign w:val="center"/>
            <w:hideMark/>
          </w:tcPr>
          <w:p w14:paraId="7C0E3BCA" w14:textId="0F958F55"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47,31</w:t>
            </w:r>
          </w:p>
        </w:tc>
        <w:tc>
          <w:tcPr>
            <w:tcW w:w="459" w:type="pct"/>
            <w:tcBorders>
              <w:top w:val="single" w:sz="4" w:space="0" w:color="95B3D7"/>
              <w:left w:val="nil"/>
              <w:bottom w:val="nil"/>
              <w:right w:val="nil"/>
            </w:tcBorders>
            <w:shd w:val="clear" w:color="DCE6F1" w:fill="DCE6F1"/>
            <w:noWrap/>
            <w:vAlign w:val="center"/>
            <w:hideMark/>
          </w:tcPr>
          <w:p w14:paraId="4918A23A" w14:textId="1265A6D2"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56,51</w:t>
            </w:r>
          </w:p>
        </w:tc>
      </w:tr>
    </w:tbl>
    <w:p w14:paraId="20D3550D" w14:textId="77777777" w:rsidR="00117FB2" w:rsidRDefault="00117FB2" w:rsidP="00E10153">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p>
    <w:p w14:paraId="6DEA2D03" w14:textId="1F1FC4F3" w:rsidR="00E10153" w:rsidRPr="00E10153" w:rsidRDefault="00E10153" w:rsidP="00E10153">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E10153">
        <w:rPr>
          <w:rFonts w:eastAsiaTheme="minorHAnsi"/>
          <w:kern w:val="2"/>
          <w:sz w:val="20"/>
          <w:szCs w:val="20"/>
          <w:lang w:eastAsia="en-US"/>
          <w14:ligatures w14:val="standardContextual"/>
        </w:rPr>
        <w:t xml:space="preserve">Tabela </w:t>
      </w:r>
      <w:r>
        <w:rPr>
          <w:rFonts w:eastAsiaTheme="minorHAnsi"/>
          <w:kern w:val="2"/>
          <w:sz w:val="20"/>
          <w:szCs w:val="20"/>
          <w:lang w:eastAsia="en-US"/>
          <w14:ligatures w14:val="standardContextual"/>
        </w:rPr>
        <w:t>4</w:t>
      </w:r>
      <w:r w:rsidRPr="00E10153">
        <w:rPr>
          <w:rFonts w:eastAsiaTheme="minorHAnsi"/>
          <w:kern w:val="2"/>
          <w:sz w:val="20"/>
          <w:szCs w:val="20"/>
          <w:lang w:eastAsia="en-US"/>
          <w14:ligatures w14:val="standardContextual"/>
        </w:rPr>
        <w:t xml:space="preserve"> - </w:t>
      </w:r>
      <w:r>
        <w:rPr>
          <w:rFonts w:eastAsiaTheme="minorHAnsi"/>
          <w:kern w:val="2"/>
          <w:sz w:val="20"/>
          <w:szCs w:val="20"/>
          <w:lang w:eastAsia="en-US"/>
          <w14:ligatures w14:val="standardContextual"/>
        </w:rPr>
        <w:t>Valores médios dos ODS 10 a 17 por região brasileira</w:t>
      </w:r>
    </w:p>
    <w:tbl>
      <w:tblPr>
        <w:tblW w:w="5000" w:type="pct"/>
        <w:tblCellMar>
          <w:left w:w="70" w:type="dxa"/>
          <w:right w:w="70" w:type="dxa"/>
        </w:tblCellMar>
        <w:tblLook w:val="04A0" w:firstRow="1" w:lastRow="0" w:firstColumn="1" w:lastColumn="0" w:noHBand="0" w:noVBand="1"/>
      </w:tblPr>
      <w:tblGrid>
        <w:gridCol w:w="1618"/>
        <w:gridCol w:w="936"/>
        <w:gridCol w:w="993"/>
        <w:gridCol w:w="993"/>
        <w:gridCol w:w="993"/>
        <w:gridCol w:w="993"/>
        <w:gridCol w:w="993"/>
        <w:gridCol w:w="985"/>
      </w:tblGrid>
      <w:tr w:rsidR="001436E5" w:rsidRPr="00E10153" w14:paraId="5B222810" w14:textId="77777777" w:rsidTr="00997E15">
        <w:trPr>
          <w:trHeight w:val="300"/>
        </w:trPr>
        <w:tc>
          <w:tcPr>
            <w:tcW w:w="951" w:type="pct"/>
            <w:tcBorders>
              <w:top w:val="nil"/>
              <w:left w:val="nil"/>
              <w:bottom w:val="single" w:sz="4" w:space="0" w:color="95B3D7"/>
              <w:right w:val="nil"/>
            </w:tcBorders>
            <w:shd w:val="clear" w:color="DCE6F1" w:fill="DCE6F1"/>
            <w:vAlign w:val="center"/>
          </w:tcPr>
          <w:p w14:paraId="1D50865B" w14:textId="6048B970" w:rsidR="001436E5" w:rsidRPr="00E10153" w:rsidRDefault="001436E5"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E10153">
              <w:rPr>
                <w:rFonts w:ascii="Times New Roman" w:eastAsia="Times New Roman" w:hAnsi="Times New Roman" w:cs="Times New Roman"/>
                <w:b/>
                <w:bCs/>
                <w:color w:val="000000"/>
                <w:kern w:val="0"/>
                <w:sz w:val="20"/>
                <w:szCs w:val="20"/>
                <w:lang w:eastAsia="pt-BR"/>
                <w14:ligatures w14:val="none"/>
              </w:rPr>
              <w:t>Região</w:t>
            </w:r>
          </w:p>
        </w:tc>
        <w:tc>
          <w:tcPr>
            <w:tcW w:w="550" w:type="pct"/>
            <w:tcBorders>
              <w:top w:val="nil"/>
              <w:left w:val="nil"/>
              <w:bottom w:val="single" w:sz="4" w:space="0" w:color="95B3D7"/>
              <w:right w:val="nil"/>
            </w:tcBorders>
            <w:shd w:val="clear" w:color="DCE6F1" w:fill="DCE6F1"/>
            <w:noWrap/>
            <w:vAlign w:val="center"/>
            <w:hideMark/>
          </w:tcPr>
          <w:p w14:paraId="2A94E3C9" w14:textId="042868FE" w:rsidR="001436E5" w:rsidRPr="00261740" w:rsidRDefault="001436E5"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10</w:t>
            </w:r>
          </w:p>
        </w:tc>
        <w:tc>
          <w:tcPr>
            <w:tcW w:w="584" w:type="pct"/>
            <w:tcBorders>
              <w:top w:val="nil"/>
              <w:left w:val="nil"/>
              <w:bottom w:val="single" w:sz="4" w:space="0" w:color="95B3D7"/>
              <w:right w:val="nil"/>
            </w:tcBorders>
            <w:shd w:val="clear" w:color="DCE6F1" w:fill="DCE6F1"/>
            <w:noWrap/>
            <w:vAlign w:val="center"/>
            <w:hideMark/>
          </w:tcPr>
          <w:p w14:paraId="2CF369B7" w14:textId="68CC036C" w:rsidR="001436E5" w:rsidRPr="00261740" w:rsidRDefault="001436E5"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11</w:t>
            </w:r>
          </w:p>
        </w:tc>
        <w:tc>
          <w:tcPr>
            <w:tcW w:w="584" w:type="pct"/>
            <w:tcBorders>
              <w:top w:val="nil"/>
              <w:left w:val="nil"/>
              <w:bottom w:val="single" w:sz="4" w:space="0" w:color="95B3D7"/>
              <w:right w:val="nil"/>
            </w:tcBorders>
            <w:shd w:val="clear" w:color="DCE6F1" w:fill="DCE6F1"/>
            <w:noWrap/>
            <w:vAlign w:val="center"/>
            <w:hideMark/>
          </w:tcPr>
          <w:p w14:paraId="112B6734" w14:textId="75AC3BDE" w:rsidR="001436E5" w:rsidRPr="00261740" w:rsidRDefault="001436E5"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12</w:t>
            </w:r>
          </w:p>
        </w:tc>
        <w:tc>
          <w:tcPr>
            <w:tcW w:w="584" w:type="pct"/>
            <w:tcBorders>
              <w:top w:val="nil"/>
              <w:left w:val="nil"/>
              <w:bottom w:val="single" w:sz="4" w:space="0" w:color="95B3D7"/>
              <w:right w:val="nil"/>
            </w:tcBorders>
            <w:shd w:val="clear" w:color="DCE6F1" w:fill="DCE6F1"/>
            <w:noWrap/>
            <w:vAlign w:val="center"/>
            <w:hideMark/>
          </w:tcPr>
          <w:p w14:paraId="4922E193" w14:textId="6B81BA98" w:rsidR="001436E5" w:rsidRPr="00261740" w:rsidRDefault="001436E5"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13</w:t>
            </w:r>
          </w:p>
        </w:tc>
        <w:tc>
          <w:tcPr>
            <w:tcW w:w="584" w:type="pct"/>
            <w:tcBorders>
              <w:top w:val="nil"/>
              <w:left w:val="nil"/>
              <w:bottom w:val="single" w:sz="4" w:space="0" w:color="95B3D7"/>
              <w:right w:val="nil"/>
            </w:tcBorders>
            <w:shd w:val="clear" w:color="DCE6F1" w:fill="DCE6F1"/>
            <w:noWrap/>
            <w:vAlign w:val="center"/>
            <w:hideMark/>
          </w:tcPr>
          <w:p w14:paraId="5A349A45" w14:textId="6AE0384D" w:rsidR="001436E5" w:rsidRPr="00261740" w:rsidRDefault="001436E5"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15</w:t>
            </w:r>
          </w:p>
        </w:tc>
        <w:tc>
          <w:tcPr>
            <w:tcW w:w="584" w:type="pct"/>
            <w:tcBorders>
              <w:top w:val="nil"/>
              <w:left w:val="nil"/>
              <w:bottom w:val="single" w:sz="4" w:space="0" w:color="95B3D7"/>
              <w:right w:val="nil"/>
            </w:tcBorders>
            <w:shd w:val="clear" w:color="DCE6F1" w:fill="DCE6F1"/>
            <w:noWrap/>
            <w:vAlign w:val="center"/>
            <w:hideMark/>
          </w:tcPr>
          <w:p w14:paraId="2F0F290D" w14:textId="36DCCF25" w:rsidR="001436E5" w:rsidRPr="00261740" w:rsidRDefault="001436E5"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16</w:t>
            </w:r>
          </w:p>
        </w:tc>
        <w:tc>
          <w:tcPr>
            <w:tcW w:w="579" w:type="pct"/>
            <w:tcBorders>
              <w:top w:val="nil"/>
              <w:left w:val="nil"/>
              <w:bottom w:val="single" w:sz="4" w:space="0" w:color="95B3D7"/>
              <w:right w:val="nil"/>
            </w:tcBorders>
            <w:shd w:val="clear" w:color="DCE6F1" w:fill="DCE6F1"/>
            <w:noWrap/>
            <w:vAlign w:val="center"/>
            <w:hideMark/>
          </w:tcPr>
          <w:p w14:paraId="73A6A558" w14:textId="50038AF1" w:rsidR="001436E5" w:rsidRPr="00261740" w:rsidRDefault="001436E5" w:rsidP="001436E5">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261740">
              <w:rPr>
                <w:rFonts w:ascii="Times New Roman" w:eastAsia="Times New Roman" w:hAnsi="Times New Roman" w:cs="Times New Roman"/>
                <w:b/>
                <w:bCs/>
                <w:color w:val="000000"/>
                <w:kern w:val="0"/>
                <w:sz w:val="20"/>
                <w:szCs w:val="20"/>
                <w:lang w:eastAsia="pt-BR"/>
                <w14:ligatures w14:val="none"/>
              </w:rPr>
              <w:t>ODS 17</w:t>
            </w:r>
          </w:p>
        </w:tc>
      </w:tr>
      <w:tr w:rsidR="004A2818" w:rsidRPr="00E10153" w14:paraId="76AF7BB7" w14:textId="77777777" w:rsidTr="004A2818">
        <w:trPr>
          <w:trHeight w:val="300"/>
        </w:trPr>
        <w:tc>
          <w:tcPr>
            <w:tcW w:w="951" w:type="pct"/>
            <w:tcBorders>
              <w:top w:val="nil"/>
              <w:left w:val="nil"/>
              <w:bottom w:val="single" w:sz="4" w:space="0" w:color="95B3D7"/>
              <w:right w:val="nil"/>
            </w:tcBorders>
            <w:vAlign w:val="center"/>
          </w:tcPr>
          <w:p w14:paraId="51B13E7F" w14:textId="60FEE28A" w:rsidR="004A2818" w:rsidRPr="00E10153"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Centro-Oeste</w:t>
            </w:r>
          </w:p>
        </w:tc>
        <w:tc>
          <w:tcPr>
            <w:tcW w:w="550" w:type="pct"/>
            <w:tcBorders>
              <w:top w:val="nil"/>
              <w:left w:val="nil"/>
              <w:bottom w:val="single" w:sz="4" w:space="0" w:color="95B3D7"/>
              <w:right w:val="nil"/>
            </w:tcBorders>
            <w:shd w:val="clear" w:color="auto" w:fill="auto"/>
            <w:noWrap/>
            <w:vAlign w:val="center"/>
            <w:hideMark/>
          </w:tcPr>
          <w:p w14:paraId="4867DAD5" w14:textId="2FC42F9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58,17</w:t>
            </w:r>
          </w:p>
        </w:tc>
        <w:tc>
          <w:tcPr>
            <w:tcW w:w="584" w:type="pct"/>
            <w:tcBorders>
              <w:top w:val="nil"/>
              <w:left w:val="nil"/>
              <w:bottom w:val="single" w:sz="4" w:space="0" w:color="95B3D7"/>
              <w:right w:val="nil"/>
            </w:tcBorders>
            <w:shd w:val="clear" w:color="auto" w:fill="auto"/>
            <w:noWrap/>
            <w:vAlign w:val="center"/>
            <w:hideMark/>
          </w:tcPr>
          <w:p w14:paraId="5343023B" w14:textId="45501655"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71,53</w:t>
            </w:r>
          </w:p>
        </w:tc>
        <w:tc>
          <w:tcPr>
            <w:tcW w:w="584" w:type="pct"/>
            <w:tcBorders>
              <w:top w:val="nil"/>
              <w:left w:val="nil"/>
              <w:bottom w:val="single" w:sz="4" w:space="0" w:color="95B3D7"/>
              <w:right w:val="nil"/>
            </w:tcBorders>
            <w:shd w:val="clear" w:color="auto" w:fill="auto"/>
            <w:noWrap/>
            <w:vAlign w:val="center"/>
            <w:hideMark/>
          </w:tcPr>
          <w:p w14:paraId="4CB97E01" w14:textId="36F3BBB7"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35,70</w:t>
            </w:r>
          </w:p>
        </w:tc>
        <w:tc>
          <w:tcPr>
            <w:tcW w:w="584" w:type="pct"/>
            <w:tcBorders>
              <w:top w:val="nil"/>
              <w:left w:val="nil"/>
              <w:bottom w:val="single" w:sz="4" w:space="0" w:color="95B3D7"/>
              <w:right w:val="nil"/>
            </w:tcBorders>
            <w:shd w:val="clear" w:color="auto" w:fill="auto"/>
            <w:noWrap/>
            <w:vAlign w:val="center"/>
            <w:hideMark/>
          </w:tcPr>
          <w:p w14:paraId="0323CDC6" w14:textId="0AD3E745"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46,29</w:t>
            </w:r>
          </w:p>
        </w:tc>
        <w:tc>
          <w:tcPr>
            <w:tcW w:w="584" w:type="pct"/>
            <w:tcBorders>
              <w:top w:val="nil"/>
              <w:left w:val="nil"/>
              <w:bottom w:val="single" w:sz="4" w:space="0" w:color="95B3D7"/>
              <w:right w:val="nil"/>
            </w:tcBorders>
            <w:shd w:val="clear" w:color="auto" w:fill="auto"/>
            <w:noWrap/>
            <w:vAlign w:val="center"/>
            <w:hideMark/>
          </w:tcPr>
          <w:p w14:paraId="0F99DD81" w14:textId="2C09A31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30,00</w:t>
            </w:r>
          </w:p>
        </w:tc>
        <w:tc>
          <w:tcPr>
            <w:tcW w:w="584" w:type="pct"/>
            <w:tcBorders>
              <w:top w:val="nil"/>
              <w:left w:val="nil"/>
              <w:bottom w:val="single" w:sz="4" w:space="0" w:color="95B3D7"/>
              <w:right w:val="nil"/>
            </w:tcBorders>
            <w:shd w:val="clear" w:color="auto" w:fill="auto"/>
            <w:noWrap/>
            <w:vAlign w:val="center"/>
            <w:hideMark/>
          </w:tcPr>
          <w:p w14:paraId="1CD356AA" w14:textId="238CE7C2"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54,76</w:t>
            </w:r>
          </w:p>
        </w:tc>
        <w:tc>
          <w:tcPr>
            <w:tcW w:w="579" w:type="pct"/>
            <w:tcBorders>
              <w:top w:val="nil"/>
              <w:left w:val="nil"/>
              <w:bottom w:val="single" w:sz="4" w:space="0" w:color="95B3D7"/>
              <w:right w:val="nil"/>
            </w:tcBorders>
            <w:shd w:val="clear" w:color="auto" w:fill="auto"/>
            <w:noWrap/>
            <w:vAlign w:val="center"/>
            <w:hideMark/>
          </w:tcPr>
          <w:p w14:paraId="72B07618" w14:textId="7B0995C9"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17,28</w:t>
            </w:r>
          </w:p>
        </w:tc>
      </w:tr>
      <w:tr w:rsidR="004A2818" w:rsidRPr="00E10153" w14:paraId="756A1D97" w14:textId="77777777" w:rsidTr="004A2818">
        <w:trPr>
          <w:trHeight w:val="300"/>
        </w:trPr>
        <w:tc>
          <w:tcPr>
            <w:tcW w:w="951" w:type="pct"/>
            <w:tcBorders>
              <w:top w:val="nil"/>
              <w:left w:val="nil"/>
              <w:bottom w:val="single" w:sz="4" w:space="0" w:color="95B3D7"/>
              <w:right w:val="nil"/>
            </w:tcBorders>
            <w:vAlign w:val="center"/>
          </w:tcPr>
          <w:p w14:paraId="721413E1" w14:textId="2D45B4B5" w:rsidR="004A2818" w:rsidRPr="00E10153"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lastRenderedPageBreak/>
              <w:t>Nordeste</w:t>
            </w:r>
          </w:p>
        </w:tc>
        <w:tc>
          <w:tcPr>
            <w:tcW w:w="550" w:type="pct"/>
            <w:tcBorders>
              <w:top w:val="nil"/>
              <w:left w:val="nil"/>
              <w:bottom w:val="single" w:sz="4" w:space="0" w:color="95B3D7"/>
              <w:right w:val="nil"/>
            </w:tcBorders>
            <w:shd w:val="clear" w:color="auto" w:fill="auto"/>
            <w:noWrap/>
            <w:vAlign w:val="center"/>
            <w:hideMark/>
          </w:tcPr>
          <w:p w14:paraId="452A0534" w14:textId="3742AF14"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57,99</w:t>
            </w:r>
          </w:p>
        </w:tc>
        <w:tc>
          <w:tcPr>
            <w:tcW w:w="584" w:type="pct"/>
            <w:tcBorders>
              <w:top w:val="nil"/>
              <w:left w:val="nil"/>
              <w:bottom w:val="single" w:sz="4" w:space="0" w:color="95B3D7"/>
              <w:right w:val="nil"/>
            </w:tcBorders>
            <w:shd w:val="clear" w:color="auto" w:fill="auto"/>
            <w:noWrap/>
            <w:vAlign w:val="center"/>
            <w:hideMark/>
          </w:tcPr>
          <w:p w14:paraId="7816811E" w14:textId="77835167"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72,57</w:t>
            </w:r>
          </w:p>
        </w:tc>
        <w:tc>
          <w:tcPr>
            <w:tcW w:w="584" w:type="pct"/>
            <w:tcBorders>
              <w:top w:val="nil"/>
              <w:left w:val="nil"/>
              <w:bottom w:val="single" w:sz="4" w:space="0" w:color="95B3D7"/>
              <w:right w:val="nil"/>
            </w:tcBorders>
            <w:shd w:val="clear" w:color="auto" w:fill="auto"/>
            <w:noWrap/>
            <w:vAlign w:val="center"/>
            <w:hideMark/>
          </w:tcPr>
          <w:p w14:paraId="126444F3" w14:textId="640E7A9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31,87</w:t>
            </w:r>
          </w:p>
        </w:tc>
        <w:tc>
          <w:tcPr>
            <w:tcW w:w="584" w:type="pct"/>
            <w:tcBorders>
              <w:top w:val="nil"/>
              <w:left w:val="nil"/>
              <w:bottom w:val="single" w:sz="4" w:space="0" w:color="95B3D7"/>
              <w:right w:val="nil"/>
            </w:tcBorders>
            <w:shd w:val="clear" w:color="auto" w:fill="auto"/>
            <w:noWrap/>
            <w:vAlign w:val="center"/>
            <w:hideMark/>
          </w:tcPr>
          <w:p w14:paraId="2BB5EB3B" w14:textId="269E8450"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62,70</w:t>
            </w:r>
          </w:p>
        </w:tc>
        <w:tc>
          <w:tcPr>
            <w:tcW w:w="584" w:type="pct"/>
            <w:tcBorders>
              <w:top w:val="nil"/>
              <w:left w:val="nil"/>
              <w:bottom w:val="single" w:sz="4" w:space="0" w:color="95B3D7"/>
              <w:right w:val="nil"/>
            </w:tcBorders>
            <w:shd w:val="clear" w:color="auto" w:fill="auto"/>
            <w:noWrap/>
            <w:vAlign w:val="center"/>
            <w:hideMark/>
          </w:tcPr>
          <w:p w14:paraId="7D0DFED0" w14:textId="740069D8"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18,33</w:t>
            </w:r>
          </w:p>
        </w:tc>
        <w:tc>
          <w:tcPr>
            <w:tcW w:w="584" w:type="pct"/>
            <w:tcBorders>
              <w:top w:val="nil"/>
              <w:left w:val="nil"/>
              <w:bottom w:val="single" w:sz="4" w:space="0" w:color="95B3D7"/>
              <w:right w:val="nil"/>
            </w:tcBorders>
            <w:shd w:val="clear" w:color="auto" w:fill="auto"/>
            <w:noWrap/>
            <w:vAlign w:val="center"/>
            <w:hideMark/>
          </w:tcPr>
          <w:p w14:paraId="1CF55D3D" w14:textId="6DCC620E"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50,97</w:t>
            </w:r>
          </w:p>
        </w:tc>
        <w:tc>
          <w:tcPr>
            <w:tcW w:w="579" w:type="pct"/>
            <w:tcBorders>
              <w:top w:val="nil"/>
              <w:left w:val="nil"/>
              <w:bottom w:val="single" w:sz="4" w:space="0" w:color="95B3D7"/>
              <w:right w:val="nil"/>
            </w:tcBorders>
            <w:shd w:val="clear" w:color="auto" w:fill="auto"/>
            <w:noWrap/>
            <w:vAlign w:val="center"/>
            <w:hideMark/>
          </w:tcPr>
          <w:p w14:paraId="0C06A164" w14:textId="64B2947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8,20</w:t>
            </w:r>
          </w:p>
        </w:tc>
      </w:tr>
      <w:tr w:rsidR="004A2818" w:rsidRPr="00E10153" w14:paraId="042A66FB" w14:textId="77777777" w:rsidTr="004A2818">
        <w:trPr>
          <w:trHeight w:val="300"/>
        </w:trPr>
        <w:tc>
          <w:tcPr>
            <w:tcW w:w="951" w:type="pct"/>
            <w:tcBorders>
              <w:top w:val="nil"/>
              <w:left w:val="nil"/>
              <w:bottom w:val="single" w:sz="4" w:space="0" w:color="95B3D7"/>
              <w:right w:val="nil"/>
            </w:tcBorders>
            <w:vAlign w:val="center"/>
          </w:tcPr>
          <w:p w14:paraId="7726A305" w14:textId="66323ECC" w:rsidR="004A2818" w:rsidRPr="00E10153"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Norte</w:t>
            </w:r>
          </w:p>
        </w:tc>
        <w:tc>
          <w:tcPr>
            <w:tcW w:w="550" w:type="pct"/>
            <w:tcBorders>
              <w:top w:val="nil"/>
              <w:left w:val="nil"/>
              <w:bottom w:val="single" w:sz="4" w:space="0" w:color="95B3D7"/>
              <w:right w:val="nil"/>
            </w:tcBorders>
            <w:shd w:val="clear" w:color="auto" w:fill="auto"/>
            <w:noWrap/>
            <w:vAlign w:val="center"/>
            <w:hideMark/>
          </w:tcPr>
          <w:p w14:paraId="02FE26C4" w14:textId="7B07C852"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56,10</w:t>
            </w:r>
          </w:p>
        </w:tc>
        <w:tc>
          <w:tcPr>
            <w:tcW w:w="584" w:type="pct"/>
            <w:tcBorders>
              <w:top w:val="nil"/>
              <w:left w:val="nil"/>
              <w:bottom w:val="single" w:sz="4" w:space="0" w:color="95B3D7"/>
              <w:right w:val="nil"/>
            </w:tcBorders>
            <w:shd w:val="clear" w:color="auto" w:fill="auto"/>
            <w:noWrap/>
            <w:vAlign w:val="center"/>
            <w:hideMark/>
          </w:tcPr>
          <w:p w14:paraId="6B21D8E2" w14:textId="44444BB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68,08</w:t>
            </w:r>
          </w:p>
        </w:tc>
        <w:tc>
          <w:tcPr>
            <w:tcW w:w="584" w:type="pct"/>
            <w:tcBorders>
              <w:top w:val="nil"/>
              <w:left w:val="nil"/>
              <w:bottom w:val="single" w:sz="4" w:space="0" w:color="95B3D7"/>
              <w:right w:val="nil"/>
            </w:tcBorders>
            <w:shd w:val="clear" w:color="auto" w:fill="auto"/>
            <w:noWrap/>
            <w:vAlign w:val="center"/>
            <w:hideMark/>
          </w:tcPr>
          <w:p w14:paraId="0C8A5257" w14:textId="691D1A80"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32,32</w:t>
            </w:r>
          </w:p>
        </w:tc>
        <w:tc>
          <w:tcPr>
            <w:tcW w:w="584" w:type="pct"/>
            <w:tcBorders>
              <w:top w:val="nil"/>
              <w:left w:val="nil"/>
              <w:bottom w:val="single" w:sz="4" w:space="0" w:color="95B3D7"/>
              <w:right w:val="nil"/>
            </w:tcBorders>
            <w:shd w:val="clear" w:color="auto" w:fill="auto"/>
            <w:noWrap/>
            <w:vAlign w:val="center"/>
            <w:hideMark/>
          </w:tcPr>
          <w:p w14:paraId="31857DF1" w14:textId="224B5E05"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40,60</w:t>
            </w:r>
          </w:p>
        </w:tc>
        <w:tc>
          <w:tcPr>
            <w:tcW w:w="584" w:type="pct"/>
            <w:tcBorders>
              <w:top w:val="nil"/>
              <w:left w:val="nil"/>
              <w:bottom w:val="single" w:sz="4" w:space="0" w:color="95B3D7"/>
              <w:right w:val="nil"/>
            </w:tcBorders>
            <w:shd w:val="clear" w:color="auto" w:fill="auto"/>
            <w:noWrap/>
            <w:vAlign w:val="center"/>
            <w:hideMark/>
          </w:tcPr>
          <w:p w14:paraId="693D5214" w14:textId="236B8F3A"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31,37</w:t>
            </w:r>
          </w:p>
        </w:tc>
        <w:tc>
          <w:tcPr>
            <w:tcW w:w="584" w:type="pct"/>
            <w:tcBorders>
              <w:top w:val="nil"/>
              <w:left w:val="nil"/>
              <w:bottom w:val="single" w:sz="4" w:space="0" w:color="95B3D7"/>
              <w:right w:val="nil"/>
            </w:tcBorders>
            <w:shd w:val="clear" w:color="auto" w:fill="auto"/>
            <w:noWrap/>
            <w:vAlign w:val="center"/>
            <w:hideMark/>
          </w:tcPr>
          <w:p w14:paraId="7082A6B3" w14:textId="0C5FF283"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47,90</w:t>
            </w:r>
          </w:p>
        </w:tc>
        <w:tc>
          <w:tcPr>
            <w:tcW w:w="579" w:type="pct"/>
            <w:tcBorders>
              <w:top w:val="nil"/>
              <w:left w:val="nil"/>
              <w:bottom w:val="single" w:sz="4" w:space="0" w:color="95B3D7"/>
              <w:right w:val="nil"/>
            </w:tcBorders>
            <w:shd w:val="clear" w:color="auto" w:fill="auto"/>
            <w:noWrap/>
            <w:vAlign w:val="center"/>
            <w:hideMark/>
          </w:tcPr>
          <w:p w14:paraId="5F420E45" w14:textId="5D1AC478"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11,12</w:t>
            </w:r>
          </w:p>
        </w:tc>
      </w:tr>
      <w:tr w:rsidR="004A2818" w:rsidRPr="00E10153" w14:paraId="326D4DCD" w14:textId="77777777" w:rsidTr="004A2818">
        <w:trPr>
          <w:trHeight w:val="300"/>
        </w:trPr>
        <w:tc>
          <w:tcPr>
            <w:tcW w:w="951" w:type="pct"/>
            <w:tcBorders>
              <w:top w:val="nil"/>
              <w:left w:val="nil"/>
              <w:bottom w:val="single" w:sz="4" w:space="0" w:color="95B3D7"/>
              <w:right w:val="nil"/>
            </w:tcBorders>
            <w:vAlign w:val="center"/>
          </w:tcPr>
          <w:p w14:paraId="2BC8DAAA" w14:textId="309FF70B" w:rsidR="004A2818" w:rsidRPr="00E10153"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Sudeste</w:t>
            </w:r>
          </w:p>
        </w:tc>
        <w:tc>
          <w:tcPr>
            <w:tcW w:w="550" w:type="pct"/>
            <w:tcBorders>
              <w:top w:val="nil"/>
              <w:left w:val="nil"/>
              <w:bottom w:val="single" w:sz="4" w:space="0" w:color="95B3D7"/>
              <w:right w:val="nil"/>
            </w:tcBorders>
            <w:shd w:val="clear" w:color="auto" w:fill="auto"/>
            <w:noWrap/>
            <w:vAlign w:val="center"/>
            <w:hideMark/>
          </w:tcPr>
          <w:p w14:paraId="69BD4C99" w14:textId="21A0F942"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58,68</w:t>
            </w:r>
          </w:p>
        </w:tc>
        <w:tc>
          <w:tcPr>
            <w:tcW w:w="584" w:type="pct"/>
            <w:tcBorders>
              <w:top w:val="nil"/>
              <w:left w:val="nil"/>
              <w:bottom w:val="single" w:sz="4" w:space="0" w:color="95B3D7"/>
              <w:right w:val="nil"/>
            </w:tcBorders>
            <w:shd w:val="clear" w:color="auto" w:fill="auto"/>
            <w:noWrap/>
            <w:vAlign w:val="center"/>
            <w:hideMark/>
          </w:tcPr>
          <w:p w14:paraId="1E308A3C" w14:textId="5420825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72,18</w:t>
            </w:r>
          </w:p>
        </w:tc>
        <w:tc>
          <w:tcPr>
            <w:tcW w:w="584" w:type="pct"/>
            <w:tcBorders>
              <w:top w:val="nil"/>
              <w:left w:val="nil"/>
              <w:bottom w:val="single" w:sz="4" w:space="0" w:color="95B3D7"/>
              <w:right w:val="nil"/>
            </w:tcBorders>
            <w:shd w:val="clear" w:color="auto" w:fill="auto"/>
            <w:noWrap/>
            <w:vAlign w:val="center"/>
            <w:hideMark/>
          </w:tcPr>
          <w:p w14:paraId="4733F4EA" w14:textId="7827AEF3"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42,99</w:t>
            </w:r>
          </w:p>
        </w:tc>
        <w:tc>
          <w:tcPr>
            <w:tcW w:w="584" w:type="pct"/>
            <w:tcBorders>
              <w:top w:val="nil"/>
              <w:left w:val="nil"/>
              <w:bottom w:val="single" w:sz="4" w:space="0" w:color="95B3D7"/>
              <w:right w:val="nil"/>
            </w:tcBorders>
            <w:shd w:val="clear" w:color="auto" w:fill="auto"/>
            <w:noWrap/>
            <w:vAlign w:val="center"/>
            <w:hideMark/>
          </w:tcPr>
          <w:p w14:paraId="2F479C09" w14:textId="46EADABD"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66,64</w:t>
            </w:r>
          </w:p>
        </w:tc>
        <w:tc>
          <w:tcPr>
            <w:tcW w:w="584" w:type="pct"/>
            <w:tcBorders>
              <w:top w:val="nil"/>
              <w:left w:val="nil"/>
              <w:bottom w:val="single" w:sz="4" w:space="0" w:color="95B3D7"/>
              <w:right w:val="nil"/>
            </w:tcBorders>
            <w:shd w:val="clear" w:color="auto" w:fill="auto"/>
            <w:noWrap/>
            <w:vAlign w:val="center"/>
            <w:hideMark/>
          </w:tcPr>
          <w:p w14:paraId="6939D5BE" w14:textId="4F80A8D0"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24,44</w:t>
            </w:r>
          </w:p>
        </w:tc>
        <w:tc>
          <w:tcPr>
            <w:tcW w:w="584" w:type="pct"/>
            <w:tcBorders>
              <w:top w:val="nil"/>
              <w:left w:val="nil"/>
              <w:bottom w:val="single" w:sz="4" w:space="0" w:color="95B3D7"/>
              <w:right w:val="nil"/>
            </w:tcBorders>
            <w:shd w:val="clear" w:color="auto" w:fill="auto"/>
            <w:noWrap/>
            <w:vAlign w:val="center"/>
            <w:hideMark/>
          </w:tcPr>
          <w:p w14:paraId="6AC9B702" w14:textId="465C3221"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63,76</w:t>
            </w:r>
          </w:p>
        </w:tc>
        <w:tc>
          <w:tcPr>
            <w:tcW w:w="579" w:type="pct"/>
            <w:tcBorders>
              <w:top w:val="nil"/>
              <w:left w:val="nil"/>
              <w:bottom w:val="single" w:sz="4" w:space="0" w:color="95B3D7"/>
              <w:right w:val="nil"/>
            </w:tcBorders>
            <w:shd w:val="clear" w:color="auto" w:fill="auto"/>
            <w:noWrap/>
            <w:vAlign w:val="center"/>
            <w:hideMark/>
          </w:tcPr>
          <w:p w14:paraId="577EB186" w14:textId="30E4C545"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15,41</w:t>
            </w:r>
          </w:p>
        </w:tc>
      </w:tr>
      <w:tr w:rsidR="004A2818" w:rsidRPr="00E10153" w14:paraId="53C0519C" w14:textId="77777777" w:rsidTr="004A2818">
        <w:trPr>
          <w:trHeight w:val="300"/>
        </w:trPr>
        <w:tc>
          <w:tcPr>
            <w:tcW w:w="951" w:type="pct"/>
            <w:tcBorders>
              <w:top w:val="nil"/>
              <w:left w:val="nil"/>
              <w:bottom w:val="single" w:sz="4" w:space="0" w:color="95B3D7"/>
              <w:right w:val="nil"/>
            </w:tcBorders>
            <w:vAlign w:val="center"/>
          </w:tcPr>
          <w:p w14:paraId="74B156A9" w14:textId="03D54029" w:rsidR="004A2818" w:rsidRPr="00E10153" w:rsidRDefault="004A2818" w:rsidP="004A2818">
            <w:pPr>
              <w:spacing w:after="0" w:line="240" w:lineRule="auto"/>
              <w:rPr>
                <w:rFonts w:ascii="Times New Roman" w:eastAsia="Times New Roman" w:hAnsi="Times New Roman" w:cs="Times New Roman"/>
                <w:color w:val="000000"/>
                <w:kern w:val="0"/>
                <w:sz w:val="20"/>
                <w:szCs w:val="20"/>
                <w:lang w:eastAsia="pt-BR"/>
                <w14:ligatures w14:val="none"/>
              </w:rPr>
            </w:pPr>
            <w:r w:rsidRPr="00261740">
              <w:rPr>
                <w:rFonts w:ascii="Times New Roman" w:eastAsia="Times New Roman" w:hAnsi="Times New Roman" w:cs="Times New Roman"/>
                <w:color w:val="000000"/>
                <w:kern w:val="0"/>
                <w:sz w:val="20"/>
                <w:szCs w:val="20"/>
                <w:lang w:eastAsia="pt-BR"/>
                <w14:ligatures w14:val="none"/>
              </w:rPr>
              <w:t>Sul</w:t>
            </w:r>
          </w:p>
        </w:tc>
        <w:tc>
          <w:tcPr>
            <w:tcW w:w="550" w:type="pct"/>
            <w:tcBorders>
              <w:top w:val="nil"/>
              <w:left w:val="nil"/>
              <w:bottom w:val="single" w:sz="4" w:space="0" w:color="95B3D7"/>
              <w:right w:val="nil"/>
            </w:tcBorders>
            <w:shd w:val="clear" w:color="auto" w:fill="auto"/>
            <w:noWrap/>
            <w:vAlign w:val="center"/>
            <w:hideMark/>
          </w:tcPr>
          <w:p w14:paraId="264E8F6F" w14:textId="2395C374"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58,92</w:t>
            </w:r>
          </w:p>
        </w:tc>
        <w:tc>
          <w:tcPr>
            <w:tcW w:w="584" w:type="pct"/>
            <w:tcBorders>
              <w:top w:val="nil"/>
              <w:left w:val="nil"/>
              <w:bottom w:val="single" w:sz="4" w:space="0" w:color="95B3D7"/>
              <w:right w:val="nil"/>
            </w:tcBorders>
            <w:shd w:val="clear" w:color="auto" w:fill="auto"/>
            <w:noWrap/>
            <w:vAlign w:val="center"/>
            <w:hideMark/>
          </w:tcPr>
          <w:p w14:paraId="2EE1669F" w14:textId="6C4CC917"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73,93</w:t>
            </w:r>
          </w:p>
        </w:tc>
        <w:tc>
          <w:tcPr>
            <w:tcW w:w="584" w:type="pct"/>
            <w:tcBorders>
              <w:top w:val="nil"/>
              <w:left w:val="nil"/>
              <w:bottom w:val="single" w:sz="4" w:space="0" w:color="95B3D7"/>
              <w:right w:val="nil"/>
            </w:tcBorders>
            <w:shd w:val="clear" w:color="auto" w:fill="auto"/>
            <w:noWrap/>
            <w:vAlign w:val="center"/>
            <w:hideMark/>
          </w:tcPr>
          <w:p w14:paraId="182ABEAD" w14:textId="1109D6E0"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51,73</w:t>
            </w:r>
          </w:p>
        </w:tc>
        <w:tc>
          <w:tcPr>
            <w:tcW w:w="584" w:type="pct"/>
            <w:tcBorders>
              <w:top w:val="nil"/>
              <w:left w:val="nil"/>
              <w:bottom w:val="single" w:sz="4" w:space="0" w:color="95B3D7"/>
              <w:right w:val="nil"/>
            </w:tcBorders>
            <w:shd w:val="clear" w:color="auto" w:fill="auto"/>
            <w:noWrap/>
            <w:vAlign w:val="center"/>
            <w:hideMark/>
          </w:tcPr>
          <w:p w14:paraId="3AE1AF51" w14:textId="26105F46"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62,34</w:t>
            </w:r>
          </w:p>
        </w:tc>
        <w:tc>
          <w:tcPr>
            <w:tcW w:w="584" w:type="pct"/>
            <w:tcBorders>
              <w:top w:val="nil"/>
              <w:left w:val="nil"/>
              <w:bottom w:val="single" w:sz="4" w:space="0" w:color="95B3D7"/>
              <w:right w:val="nil"/>
            </w:tcBorders>
            <w:shd w:val="clear" w:color="auto" w:fill="auto"/>
            <w:noWrap/>
            <w:vAlign w:val="center"/>
            <w:hideMark/>
          </w:tcPr>
          <w:p w14:paraId="7F0F804D" w14:textId="434E3CAE"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23,89</w:t>
            </w:r>
          </w:p>
        </w:tc>
        <w:tc>
          <w:tcPr>
            <w:tcW w:w="584" w:type="pct"/>
            <w:tcBorders>
              <w:top w:val="nil"/>
              <w:left w:val="nil"/>
              <w:bottom w:val="single" w:sz="4" w:space="0" w:color="95B3D7"/>
              <w:right w:val="nil"/>
            </w:tcBorders>
            <w:shd w:val="clear" w:color="auto" w:fill="auto"/>
            <w:noWrap/>
            <w:vAlign w:val="center"/>
            <w:hideMark/>
          </w:tcPr>
          <w:p w14:paraId="10BA0DED" w14:textId="1BCCB3E9"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65,13</w:t>
            </w:r>
          </w:p>
        </w:tc>
        <w:tc>
          <w:tcPr>
            <w:tcW w:w="579" w:type="pct"/>
            <w:tcBorders>
              <w:top w:val="nil"/>
              <w:left w:val="nil"/>
              <w:bottom w:val="single" w:sz="4" w:space="0" w:color="95B3D7"/>
              <w:right w:val="nil"/>
            </w:tcBorders>
            <w:shd w:val="clear" w:color="auto" w:fill="auto"/>
            <w:noWrap/>
            <w:vAlign w:val="center"/>
            <w:hideMark/>
          </w:tcPr>
          <w:p w14:paraId="4CB4EBA1" w14:textId="0DBFC74A" w:rsidR="004A2818" w:rsidRPr="004A2818" w:rsidRDefault="004A2818" w:rsidP="004A2818">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4A2818">
              <w:rPr>
                <w:rFonts w:ascii="Times New Roman" w:hAnsi="Times New Roman" w:cs="Times New Roman"/>
                <w:color w:val="000000"/>
                <w:sz w:val="20"/>
                <w:szCs w:val="20"/>
              </w:rPr>
              <w:t>20,37</w:t>
            </w:r>
          </w:p>
        </w:tc>
      </w:tr>
      <w:tr w:rsidR="004A2818" w:rsidRPr="00E10153" w14:paraId="407BC71E" w14:textId="77777777" w:rsidTr="004A2818">
        <w:trPr>
          <w:trHeight w:val="300"/>
        </w:trPr>
        <w:tc>
          <w:tcPr>
            <w:tcW w:w="951" w:type="pct"/>
            <w:tcBorders>
              <w:top w:val="single" w:sz="4" w:space="0" w:color="95B3D7"/>
              <w:left w:val="nil"/>
              <w:bottom w:val="nil"/>
              <w:right w:val="nil"/>
            </w:tcBorders>
            <w:shd w:val="clear" w:color="DCE6F1" w:fill="DCE6F1"/>
            <w:vAlign w:val="center"/>
          </w:tcPr>
          <w:p w14:paraId="5D7E535E" w14:textId="38B540C6" w:rsidR="004A2818" w:rsidRPr="00E10153" w:rsidRDefault="004A2818" w:rsidP="004A2818">
            <w:pPr>
              <w:spacing w:after="0" w:line="240" w:lineRule="auto"/>
              <w:rPr>
                <w:rFonts w:ascii="Times New Roman" w:eastAsia="Times New Roman" w:hAnsi="Times New Roman" w:cs="Times New Roman"/>
                <w:b/>
                <w:bCs/>
                <w:color w:val="000000"/>
                <w:kern w:val="0"/>
                <w:sz w:val="20"/>
                <w:szCs w:val="20"/>
                <w:lang w:eastAsia="pt-BR"/>
                <w14:ligatures w14:val="none"/>
              </w:rPr>
            </w:pPr>
            <w:r w:rsidRPr="00E10153">
              <w:rPr>
                <w:rFonts w:ascii="Times New Roman" w:eastAsia="Times New Roman" w:hAnsi="Times New Roman" w:cs="Times New Roman"/>
                <w:b/>
                <w:bCs/>
                <w:color w:val="000000"/>
                <w:kern w:val="0"/>
                <w:sz w:val="20"/>
                <w:szCs w:val="20"/>
                <w:lang w:eastAsia="pt-BR"/>
                <w14:ligatures w14:val="none"/>
              </w:rPr>
              <w:t>Média</w:t>
            </w:r>
            <w:r w:rsidRPr="00261740">
              <w:rPr>
                <w:rFonts w:ascii="Times New Roman" w:eastAsia="Times New Roman" w:hAnsi="Times New Roman" w:cs="Times New Roman"/>
                <w:b/>
                <w:bCs/>
                <w:color w:val="000000"/>
                <w:kern w:val="0"/>
                <w:sz w:val="20"/>
                <w:szCs w:val="20"/>
                <w:lang w:eastAsia="pt-BR"/>
                <w14:ligatures w14:val="none"/>
              </w:rPr>
              <w:t xml:space="preserve"> Geral</w:t>
            </w:r>
          </w:p>
        </w:tc>
        <w:tc>
          <w:tcPr>
            <w:tcW w:w="550" w:type="pct"/>
            <w:tcBorders>
              <w:top w:val="single" w:sz="4" w:space="0" w:color="95B3D7"/>
              <w:left w:val="nil"/>
              <w:bottom w:val="nil"/>
              <w:right w:val="nil"/>
            </w:tcBorders>
            <w:shd w:val="clear" w:color="DCE6F1" w:fill="DCE6F1"/>
            <w:noWrap/>
            <w:vAlign w:val="center"/>
            <w:hideMark/>
          </w:tcPr>
          <w:p w14:paraId="1407AA83" w14:textId="57D13E38"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58,26</w:t>
            </w:r>
          </w:p>
        </w:tc>
        <w:tc>
          <w:tcPr>
            <w:tcW w:w="584" w:type="pct"/>
            <w:tcBorders>
              <w:top w:val="single" w:sz="4" w:space="0" w:color="95B3D7"/>
              <w:left w:val="nil"/>
              <w:bottom w:val="nil"/>
              <w:right w:val="nil"/>
            </w:tcBorders>
            <w:shd w:val="clear" w:color="DCE6F1" w:fill="DCE6F1"/>
            <w:noWrap/>
            <w:vAlign w:val="center"/>
            <w:hideMark/>
          </w:tcPr>
          <w:p w14:paraId="05251918" w14:textId="4A0EE53C"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72,30</w:t>
            </w:r>
          </w:p>
        </w:tc>
        <w:tc>
          <w:tcPr>
            <w:tcW w:w="584" w:type="pct"/>
            <w:tcBorders>
              <w:top w:val="single" w:sz="4" w:space="0" w:color="95B3D7"/>
              <w:left w:val="nil"/>
              <w:bottom w:val="nil"/>
              <w:right w:val="nil"/>
            </w:tcBorders>
            <w:shd w:val="clear" w:color="DCE6F1" w:fill="DCE6F1"/>
            <w:noWrap/>
            <w:vAlign w:val="center"/>
            <w:hideMark/>
          </w:tcPr>
          <w:p w14:paraId="7B40555A" w14:textId="3236AA91"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39,82</w:t>
            </w:r>
          </w:p>
        </w:tc>
        <w:tc>
          <w:tcPr>
            <w:tcW w:w="584" w:type="pct"/>
            <w:tcBorders>
              <w:top w:val="single" w:sz="4" w:space="0" w:color="95B3D7"/>
              <w:left w:val="nil"/>
              <w:bottom w:val="nil"/>
              <w:right w:val="nil"/>
            </w:tcBorders>
            <w:shd w:val="clear" w:color="DCE6F1" w:fill="DCE6F1"/>
            <w:noWrap/>
            <w:vAlign w:val="center"/>
            <w:hideMark/>
          </w:tcPr>
          <w:p w14:paraId="6E176144" w14:textId="33FF5B31"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60,72</w:t>
            </w:r>
          </w:p>
        </w:tc>
        <w:tc>
          <w:tcPr>
            <w:tcW w:w="584" w:type="pct"/>
            <w:tcBorders>
              <w:top w:val="single" w:sz="4" w:space="0" w:color="95B3D7"/>
              <w:left w:val="nil"/>
              <w:bottom w:val="nil"/>
              <w:right w:val="nil"/>
            </w:tcBorders>
            <w:shd w:val="clear" w:color="DCE6F1" w:fill="DCE6F1"/>
            <w:noWrap/>
            <w:vAlign w:val="center"/>
            <w:hideMark/>
          </w:tcPr>
          <w:p w14:paraId="11FB6C69" w14:textId="2CBCC44A"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23,36</w:t>
            </w:r>
          </w:p>
        </w:tc>
        <w:tc>
          <w:tcPr>
            <w:tcW w:w="584" w:type="pct"/>
            <w:tcBorders>
              <w:top w:val="single" w:sz="4" w:space="0" w:color="95B3D7"/>
              <w:left w:val="nil"/>
              <w:bottom w:val="nil"/>
              <w:right w:val="nil"/>
            </w:tcBorders>
            <w:shd w:val="clear" w:color="DCE6F1" w:fill="DCE6F1"/>
            <w:noWrap/>
            <w:vAlign w:val="center"/>
            <w:hideMark/>
          </w:tcPr>
          <w:p w14:paraId="757AB19D" w14:textId="38116E24"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57,93</w:t>
            </w:r>
          </w:p>
        </w:tc>
        <w:tc>
          <w:tcPr>
            <w:tcW w:w="579" w:type="pct"/>
            <w:tcBorders>
              <w:top w:val="single" w:sz="4" w:space="0" w:color="95B3D7"/>
              <w:left w:val="nil"/>
              <w:bottom w:val="nil"/>
              <w:right w:val="nil"/>
            </w:tcBorders>
            <w:shd w:val="clear" w:color="DCE6F1" w:fill="DCE6F1"/>
            <w:noWrap/>
            <w:vAlign w:val="center"/>
            <w:hideMark/>
          </w:tcPr>
          <w:p w14:paraId="7EFCBA16" w14:textId="19FB834A" w:rsidR="004A2818" w:rsidRPr="004A2818" w:rsidRDefault="004A2818" w:rsidP="004A2818">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4A2818">
              <w:rPr>
                <w:rFonts w:ascii="Times New Roman" w:hAnsi="Times New Roman" w:cs="Times New Roman"/>
                <w:b/>
                <w:bCs/>
                <w:color w:val="000000"/>
                <w:sz w:val="20"/>
                <w:szCs w:val="20"/>
              </w:rPr>
              <w:t>13,96</w:t>
            </w:r>
          </w:p>
        </w:tc>
      </w:tr>
    </w:tbl>
    <w:p w14:paraId="7B88E41D" w14:textId="77777777" w:rsidR="008577EA" w:rsidRDefault="008577EA" w:rsidP="008577EA">
      <w:pPr>
        <w:pStyle w:val="standard"/>
        <w:spacing w:before="0" w:beforeAutospacing="0" w:after="120" w:afterAutospacing="0" w:line="360" w:lineRule="auto"/>
        <w:ind w:right="-1"/>
        <w:jc w:val="both"/>
        <w:rPr>
          <w:rFonts w:eastAsiaTheme="minorHAnsi"/>
          <w:kern w:val="2"/>
          <w:lang w:eastAsia="en-US"/>
          <w14:ligatures w14:val="standardContextual"/>
        </w:rPr>
      </w:pPr>
    </w:p>
    <w:p w14:paraId="649F9E1E" w14:textId="588AFA70" w:rsidR="00E31C01" w:rsidRPr="00A35CF4" w:rsidRDefault="00E31C01" w:rsidP="00A35CF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A35CF4">
        <w:rPr>
          <w:rFonts w:eastAsiaTheme="minorHAnsi"/>
          <w:kern w:val="2"/>
          <w:lang w:eastAsia="en-US"/>
          <w14:ligatures w14:val="standardContextual"/>
        </w:rPr>
        <w:t xml:space="preserve">Os ODS representam uma agenda global para o desenvolvimento sustentável até 2030, abrangendo áreas como erradicação da pobreza, saúde, educação, igualdade de gênero, entre outros. Os dados apresentados </w:t>
      </w:r>
      <w:r w:rsidR="00A35CF4">
        <w:rPr>
          <w:rFonts w:eastAsiaTheme="minorHAnsi"/>
          <w:kern w:val="2"/>
          <w:lang w:eastAsia="en-US"/>
          <w14:ligatures w14:val="standardContextual"/>
        </w:rPr>
        <w:t xml:space="preserve">nas Tabelas 3 e 4 </w:t>
      </w:r>
      <w:r w:rsidRPr="00A35CF4">
        <w:rPr>
          <w:rFonts w:eastAsiaTheme="minorHAnsi"/>
          <w:kern w:val="2"/>
          <w:lang w:eastAsia="en-US"/>
          <w14:ligatures w14:val="standardContextual"/>
        </w:rPr>
        <w:t xml:space="preserve">revelam uma análise das médias das metas dos Objetivos de Desenvolvimento Sustentável (ODS) por </w:t>
      </w:r>
      <w:r w:rsidR="00204D6B">
        <w:rPr>
          <w:rFonts w:eastAsiaTheme="minorHAnsi"/>
          <w:kern w:val="2"/>
          <w:lang w:eastAsia="en-US"/>
          <w14:ligatures w14:val="standardContextual"/>
        </w:rPr>
        <w:t xml:space="preserve">município que compõem cada </w:t>
      </w:r>
      <w:r w:rsidRPr="00A35CF4">
        <w:rPr>
          <w:rFonts w:eastAsiaTheme="minorHAnsi"/>
          <w:kern w:val="2"/>
          <w:lang w:eastAsia="en-US"/>
          <w14:ligatures w14:val="standardContextual"/>
        </w:rPr>
        <w:t xml:space="preserve">região do Brasil. A seguir, são apresentadas </w:t>
      </w:r>
      <w:r w:rsidR="00204D6B">
        <w:rPr>
          <w:rFonts w:eastAsiaTheme="minorHAnsi"/>
          <w:kern w:val="2"/>
          <w:lang w:eastAsia="en-US"/>
          <w14:ligatures w14:val="standardContextual"/>
        </w:rPr>
        <w:t xml:space="preserve">algumas </w:t>
      </w:r>
      <w:r w:rsidRPr="00A35CF4">
        <w:rPr>
          <w:rFonts w:eastAsiaTheme="minorHAnsi"/>
          <w:kern w:val="2"/>
          <w:lang w:eastAsia="en-US"/>
          <w14:ligatures w14:val="standardContextual"/>
        </w:rPr>
        <w:t xml:space="preserve">observações específicas para cada ODS </w:t>
      </w:r>
      <w:r w:rsidR="00C03317">
        <w:rPr>
          <w:rFonts w:eastAsiaTheme="minorHAnsi"/>
          <w:kern w:val="2"/>
          <w:lang w:eastAsia="en-US"/>
          <w14:ligatures w14:val="standardContextual"/>
        </w:rPr>
        <w:t>na Tabela 5</w:t>
      </w:r>
      <w:r w:rsidR="00A35CF4">
        <w:rPr>
          <w:rFonts w:eastAsiaTheme="minorHAnsi"/>
          <w:kern w:val="2"/>
          <w:lang w:eastAsia="en-US"/>
          <w14:ligatures w14:val="standardContextual"/>
        </w:rPr>
        <w:t>.</w:t>
      </w:r>
    </w:p>
    <w:p w14:paraId="5A81CD0C" w14:textId="4C8AB5AF" w:rsidR="00E31C01" w:rsidRDefault="00C03317" w:rsidP="00E31C01">
      <w:pPr>
        <w:jc w:val="center"/>
        <w:rPr>
          <w:rFonts w:ascii="Times New Roman" w:hAnsi="Times New Roman" w:cs="Times New Roman"/>
          <w:sz w:val="20"/>
          <w:szCs w:val="20"/>
        </w:rPr>
      </w:pPr>
      <w:r>
        <w:rPr>
          <w:rFonts w:ascii="Times New Roman" w:hAnsi="Times New Roman" w:cs="Times New Roman"/>
          <w:sz w:val="20"/>
          <w:szCs w:val="20"/>
        </w:rPr>
        <w:t>Tabela 5</w:t>
      </w:r>
      <w:r w:rsidR="00E31C01" w:rsidRPr="00A35CF4">
        <w:rPr>
          <w:rFonts w:ascii="Times New Roman" w:hAnsi="Times New Roman" w:cs="Times New Roman"/>
          <w:sz w:val="20"/>
          <w:szCs w:val="20"/>
        </w:rPr>
        <w:t xml:space="preserve"> </w:t>
      </w:r>
      <w:r w:rsidR="00A35CF4" w:rsidRPr="00A35CF4">
        <w:rPr>
          <w:rFonts w:ascii="Times New Roman" w:hAnsi="Times New Roman" w:cs="Times New Roman"/>
          <w:sz w:val="20"/>
          <w:szCs w:val="20"/>
        </w:rPr>
        <w:t>–</w:t>
      </w:r>
      <w:r w:rsidR="00E31C01" w:rsidRPr="00A35CF4">
        <w:rPr>
          <w:rFonts w:ascii="Times New Roman" w:hAnsi="Times New Roman" w:cs="Times New Roman"/>
          <w:sz w:val="20"/>
          <w:szCs w:val="20"/>
        </w:rPr>
        <w:t xml:space="preserve"> </w:t>
      </w:r>
      <w:r w:rsidR="00A35CF4" w:rsidRPr="00A35CF4">
        <w:rPr>
          <w:rFonts w:ascii="Times New Roman" w:hAnsi="Times New Roman" w:cs="Times New Roman"/>
          <w:sz w:val="20"/>
          <w:szCs w:val="20"/>
        </w:rPr>
        <w:t>Resultados e desafios dos ODS no Brasil</w:t>
      </w:r>
    </w:p>
    <w:tbl>
      <w:tblPr>
        <w:tblStyle w:val="Tabelacomgrade"/>
        <w:tblW w:w="0" w:type="auto"/>
        <w:tblLook w:val="04A0" w:firstRow="1" w:lastRow="0" w:firstColumn="1" w:lastColumn="0" w:noHBand="0" w:noVBand="1"/>
      </w:tblPr>
      <w:tblGrid>
        <w:gridCol w:w="1696"/>
        <w:gridCol w:w="2410"/>
        <w:gridCol w:w="4388"/>
      </w:tblGrid>
      <w:tr w:rsidR="00643591" w:rsidRPr="001A3BA0" w14:paraId="179E99B7" w14:textId="77777777" w:rsidTr="00643591">
        <w:tc>
          <w:tcPr>
            <w:tcW w:w="1696" w:type="dxa"/>
          </w:tcPr>
          <w:p w14:paraId="07457057"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w:t>
            </w:r>
          </w:p>
        </w:tc>
        <w:tc>
          <w:tcPr>
            <w:tcW w:w="2410" w:type="dxa"/>
          </w:tcPr>
          <w:p w14:paraId="0DF37BEC"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Observação</w:t>
            </w:r>
          </w:p>
        </w:tc>
        <w:tc>
          <w:tcPr>
            <w:tcW w:w="4388" w:type="dxa"/>
          </w:tcPr>
          <w:p w14:paraId="50E5B6B2"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Desafios</w:t>
            </w:r>
          </w:p>
        </w:tc>
      </w:tr>
      <w:tr w:rsidR="00643591" w:rsidRPr="001A3BA0" w14:paraId="133159E8" w14:textId="77777777" w:rsidTr="00643591">
        <w:tc>
          <w:tcPr>
            <w:tcW w:w="1696" w:type="dxa"/>
          </w:tcPr>
          <w:p w14:paraId="3A7BCD29"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1 - Erradicação da Pobreza</w:t>
            </w:r>
          </w:p>
          <w:p w14:paraId="3A7A62E7" w14:textId="77777777" w:rsidR="00643591" w:rsidRPr="001A3BA0" w:rsidRDefault="00643591" w:rsidP="001C1D40">
            <w:pPr>
              <w:rPr>
                <w:rFonts w:ascii="Times New Roman" w:hAnsi="Times New Roman" w:cs="Times New Roman"/>
                <w:sz w:val="20"/>
                <w:szCs w:val="20"/>
              </w:rPr>
            </w:pPr>
          </w:p>
        </w:tc>
        <w:tc>
          <w:tcPr>
            <w:tcW w:w="2410" w:type="dxa"/>
          </w:tcPr>
          <w:p w14:paraId="04311CED" w14:textId="6534D7E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Região Norte destaca-se com uma média de 54,7</w:t>
            </w:r>
            <w:r>
              <w:rPr>
                <w:rFonts w:ascii="Times New Roman" w:hAnsi="Times New Roman" w:cs="Times New Roman"/>
                <w:sz w:val="20"/>
                <w:szCs w:val="20"/>
              </w:rPr>
              <w:t>8</w:t>
            </w:r>
            <w:r w:rsidRPr="001A3BA0">
              <w:rPr>
                <w:rFonts w:ascii="Times New Roman" w:hAnsi="Times New Roman" w:cs="Times New Roman"/>
                <w:sz w:val="20"/>
                <w:szCs w:val="20"/>
              </w:rPr>
              <w:t xml:space="preserve">, enquanto o </w:t>
            </w:r>
            <w:r>
              <w:rPr>
                <w:rFonts w:ascii="Times New Roman" w:hAnsi="Times New Roman" w:cs="Times New Roman"/>
                <w:sz w:val="20"/>
                <w:szCs w:val="20"/>
              </w:rPr>
              <w:t>Sudeste</w:t>
            </w:r>
            <w:r w:rsidRPr="001A3BA0">
              <w:rPr>
                <w:rFonts w:ascii="Times New Roman" w:hAnsi="Times New Roman" w:cs="Times New Roman"/>
                <w:sz w:val="20"/>
                <w:szCs w:val="20"/>
              </w:rPr>
              <w:t xml:space="preserve"> segue logo atrás com </w:t>
            </w:r>
            <w:r>
              <w:rPr>
                <w:rFonts w:ascii="Times New Roman" w:hAnsi="Times New Roman" w:cs="Times New Roman"/>
                <w:sz w:val="20"/>
                <w:szCs w:val="20"/>
              </w:rPr>
              <w:t>54,67</w:t>
            </w:r>
            <w:r w:rsidRPr="001A3BA0">
              <w:rPr>
                <w:rFonts w:ascii="Times New Roman" w:hAnsi="Times New Roman" w:cs="Times New Roman"/>
                <w:sz w:val="20"/>
                <w:szCs w:val="20"/>
              </w:rPr>
              <w:t>.</w:t>
            </w:r>
          </w:p>
        </w:tc>
        <w:tc>
          <w:tcPr>
            <w:tcW w:w="4388" w:type="dxa"/>
          </w:tcPr>
          <w:p w14:paraId="6B2F5DE0" w14:textId="6E34F580" w:rsidR="00643591" w:rsidRPr="00DB473E" w:rsidRDefault="00643591" w:rsidP="001C1D40">
            <w:pPr>
              <w:rPr>
                <w:rFonts w:ascii="Times New Roman" w:hAnsi="Times New Roman" w:cs="Times New Roman"/>
                <w:b/>
                <w:bCs/>
                <w:sz w:val="20"/>
                <w:szCs w:val="20"/>
              </w:rPr>
            </w:pPr>
            <w:r w:rsidRPr="001A3BA0">
              <w:rPr>
                <w:rFonts w:ascii="Times New Roman" w:hAnsi="Times New Roman" w:cs="Times New Roman"/>
                <w:sz w:val="20"/>
                <w:szCs w:val="20"/>
              </w:rPr>
              <w:t>Todas as regiões apresentam médias abaixo de 60, indicando a necessidade de medidas mais eficazes para combater a pobreza em todo o país.</w:t>
            </w:r>
            <w:r>
              <w:rPr>
                <w:rFonts w:ascii="Times New Roman" w:hAnsi="Times New Roman" w:cs="Times New Roman"/>
                <w:sz w:val="20"/>
                <w:szCs w:val="20"/>
              </w:rPr>
              <w:t xml:space="preserve"> Das cinco regiões, a Nordeste é a que apresenta a menor nota, 49,19. </w:t>
            </w:r>
          </w:p>
        </w:tc>
      </w:tr>
      <w:tr w:rsidR="00643591" w:rsidRPr="001A3BA0" w14:paraId="6E81DBAF" w14:textId="77777777" w:rsidTr="00643591">
        <w:tc>
          <w:tcPr>
            <w:tcW w:w="1696" w:type="dxa"/>
          </w:tcPr>
          <w:p w14:paraId="6752D2C0"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2 - Fome Zero e Agricultura Sustentável</w:t>
            </w:r>
          </w:p>
        </w:tc>
        <w:tc>
          <w:tcPr>
            <w:tcW w:w="2410" w:type="dxa"/>
          </w:tcPr>
          <w:p w14:paraId="6F6BF5CD" w14:textId="6AC24D4E"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 xml:space="preserve">Nordeste apresenta a melhor média, </w:t>
            </w:r>
            <w:r>
              <w:rPr>
                <w:rFonts w:ascii="Times New Roman" w:hAnsi="Times New Roman" w:cs="Times New Roman"/>
                <w:sz w:val="20"/>
                <w:szCs w:val="20"/>
              </w:rPr>
              <w:t>44,50</w:t>
            </w:r>
            <w:r w:rsidRPr="001A3BA0">
              <w:rPr>
                <w:rFonts w:ascii="Times New Roman" w:hAnsi="Times New Roman" w:cs="Times New Roman"/>
                <w:sz w:val="20"/>
                <w:szCs w:val="20"/>
              </w:rPr>
              <w:t xml:space="preserve">, seguido pelo </w:t>
            </w:r>
            <w:r>
              <w:rPr>
                <w:rFonts w:ascii="Times New Roman" w:hAnsi="Times New Roman" w:cs="Times New Roman"/>
                <w:sz w:val="20"/>
                <w:szCs w:val="20"/>
              </w:rPr>
              <w:t>Norte</w:t>
            </w:r>
            <w:r w:rsidRPr="001A3BA0">
              <w:rPr>
                <w:rFonts w:ascii="Times New Roman" w:hAnsi="Times New Roman" w:cs="Times New Roman"/>
                <w:sz w:val="20"/>
                <w:szCs w:val="20"/>
              </w:rPr>
              <w:t xml:space="preserve"> com </w:t>
            </w:r>
            <w:r>
              <w:rPr>
                <w:rFonts w:ascii="Times New Roman" w:hAnsi="Times New Roman" w:cs="Times New Roman"/>
                <w:sz w:val="20"/>
                <w:szCs w:val="20"/>
              </w:rPr>
              <w:t>43,24</w:t>
            </w:r>
            <w:r w:rsidRPr="001A3BA0">
              <w:rPr>
                <w:rFonts w:ascii="Times New Roman" w:hAnsi="Times New Roman" w:cs="Times New Roman"/>
                <w:sz w:val="20"/>
                <w:szCs w:val="20"/>
              </w:rPr>
              <w:t>.</w:t>
            </w:r>
          </w:p>
        </w:tc>
        <w:tc>
          <w:tcPr>
            <w:tcW w:w="4388" w:type="dxa"/>
          </w:tcPr>
          <w:p w14:paraId="1BC1A273" w14:textId="77777777"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 xml:space="preserve">Ainda que o Brasil seja uma grande potência no agronegócio, essa ODS </w:t>
            </w:r>
            <w:proofErr w:type="gramStart"/>
            <w:r>
              <w:rPr>
                <w:rFonts w:ascii="Times New Roman" w:hAnsi="Times New Roman" w:cs="Times New Roman"/>
                <w:sz w:val="20"/>
                <w:szCs w:val="20"/>
              </w:rPr>
              <w:t>é  a</w:t>
            </w:r>
            <w:proofErr w:type="gramEnd"/>
            <w:r>
              <w:rPr>
                <w:rFonts w:ascii="Times New Roman" w:hAnsi="Times New Roman" w:cs="Times New Roman"/>
                <w:sz w:val="20"/>
                <w:szCs w:val="20"/>
              </w:rPr>
              <w:t xml:space="preserve"> quarta com média mais baixa. Nenhuma região alcança média superior a 50. </w:t>
            </w:r>
            <w:r w:rsidRPr="001A3BA0">
              <w:rPr>
                <w:rFonts w:ascii="Times New Roman" w:hAnsi="Times New Roman" w:cs="Times New Roman"/>
                <w:sz w:val="20"/>
                <w:szCs w:val="20"/>
              </w:rPr>
              <w:t xml:space="preserve"> </w:t>
            </w:r>
            <w:r>
              <w:rPr>
                <w:rFonts w:ascii="Times New Roman" w:hAnsi="Times New Roman" w:cs="Times New Roman"/>
                <w:sz w:val="20"/>
                <w:szCs w:val="20"/>
              </w:rPr>
              <w:t>T</w:t>
            </w:r>
            <w:r w:rsidRPr="001A3BA0">
              <w:rPr>
                <w:rFonts w:ascii="Times New Roman" w:hAnsi="Times New Roman" w:cs="Times New Roman"/>
                <w:sz w:val="20"/>
                <w:szCs w:val="20"/>
              </w:rPr>
              <w:t xml:space="preserve">odas as regiões têm espaço para melhorias, </w:t>
            </w:r>
            <w:r>
              <w:rPr>
                <w:rFonts w:ascii="Times New Roman" w:hAnsi="Times New Roman" w:cs="Times New Roman"/>
                <w:sz w:val="20"/>
                <w:szCs w:val="20"/>
              </w:rPr>
              <w:t xml:space="preserve">de modo </w:t>
            </w:r>
            <w:r w:rsidRPr="004330B7">
              <w:rPr>
                <w:rFonts w:ascii="Times New Roman" w:hAnsi="Times New Roman" w:cs="Times New Roman"/>
                <w:sz w:val="20"/>
                <w:szCs w:val="20"/>
              </w:rPr>
              <w:t>a garantir a segurança alimentar e promover práticas agrícolas sustentáveis em todo o país.</w:t>
            </w:r>
          </w:p>
        </w:tc>
      </w:tr>
      <w:tr w:rsidR="00643591" w:rsidRPr="001A3BA0" w14:paraId="4F71B889" w14:textId="77777777" w:rsidTr="00643591">
        <w:tc>
          <w:tcPr>
            <w:tcW w:w="1696" w:type="dxa"/>
          </w:tcPr>
          <w:p w14:paraId="06D5B47A"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3 - Saúde e Bem-Estar</w:t>
            </w:r>
          </w:p>
        </w:tc>
        <w:tc>
          <w:tcPr>
            <w:tcW w:w="2410" w:type="dxa"/>
          </w:tcPr>
          <w:p w14:paraId="4F794F03"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w:t>
            </w:r>
            <w:r>
              <w:rPr>
                <w:rFonts w:ascii="Times New Roman" w:hAnsi="Times New Roman" w:cs="Times New Roman"/>
                <w:sz w:val="20"/>
                <w:szCs w:val="20"/>
              </w:rPr>
              <w:t>l</w:t>
            </w:r>
            <w:r w:rsidRPr="001A3BA0">
              <w:rPr>
                <w:rFonts w:ascii="Times New Roman" w:hAnsi="Times New Roman" w:cs="Times New Roman"/>
                <w:sz w:val="20"/>
                <w:szCs w:val="20"/>
              </w:rPr>
              <w:t xml:space="preserve"> lidera com 68,</w:t>
            </w:r>
            <w:r>
              <w:rPr>
                <w:rFonts w:ascii="Times New Roman" w:hAnsi="Times New Roman" w:cs="Times New Roman"/>
                <w:sz w:val="20"/>
                <w:szCs w:val="20"/>
              </w:rPr>
              <w:t>28</w:t>
            </w:r>
            <w:r w:rsidRPr="001A3BA0">
              <w:rPr>
                <w:rFonts w:ascii="Times New Roman" w:hAnsi="Times New Roman" w:cs="Times New Roman"/>
                <w:sz w:val="20"/>
                <w:szCs w:val="20"/>
              </w:rPr>
              <w:t>, seguido</w:t>
            </w:r>
            <w:r>
              <w:rPr>
                <w:rFonts w:ascii="Times New Roman" w:hAnsi="Times New Roman" w:cs="Times New Roman"/>
                <w:sz w:val="20"/>
                <w:szCs w:val="20"/>
              </w:rPr>
              <w:t xml:space="preserve"> de perto</w:t>
            </w:r>
            <w:r w:rsidRPr="001A3BA0">
              <w:rPr>
                <w:rFonts w:ascii="Times New Roman" w:hAnsi="Times New Roman" w:cs="Times New Roman"/>
                <w:sz w:val="20"/>
                <w:szCs w:val="20"/>
              </w:rPr>
              <w:t xml:space="preserve"> pelo </w:t>
            </w:r>
            <w:r>
              <w:rPr>
                <w:rFonts w:ascii="Times New Roman" w:hAnsi="Times New Roman" w:cs="Times New Roman"/>
                <w:sz w:val="20"/>
                <w:szCs w:val="20"/>
              </w:rPr>
              <w:t>Sudeste</w:t>
            </w:r>
            <w:r w:rsidRPr="001A3BA0">
              <w:rPr>
                <w:rFonts w:ascii="Times New Roman" w:hAnsi="Times New Roman" w:cs="Times New Roman"/>
                <w:sz w:val="20"/>
                <w:szCs w:val="20"/>
              </w:rPr>
              <w:t xml:space="preserve"> com 6</w:t>
            </w:r>
            <w:r>
              <w:rPr>
                <w:rFonts w:ascii="Times New Roman" w:hAnsi="Times New Roman" w:cs="Times New Roman"/>
                <w:sz w:val="20"/>
                <w:szCs w:val="20"/>
              </w:rPr>
              <w:t>8,26</w:t>
            </w:r>
            <w:r w:rsidRPr="001A3BA0">
              <w:rPr>
                <w:rFonts w:ascii="Times New Roman" w:hAnsi="Times New Roman" w:cs="Times New Roman"/>
                <w:sz w:val="20"/>
                <w:szCs w:val="20"/>
              </w:rPr>
              <w:t>.</w:t>
            </w:r>
          </w:p>
        </w:tc>
        <w:tc>
          <w:tcPr>
            <w:tcW w:w="4388" w:type="dxa"/>
          </w:tcPr>
          <w:p w14:paraId="7BD903BF" w14:textId="77777777"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 xml:space="preserve">Segundo ODS com valor mais alto. </w:t>
            </w:r>
            <w:r w:rsidRPr="001A3BA0">
              <w:rPr>
                <w:rFonts w:ascii="Times New Roman" w:hAnsi="Times New Roman" w:cs="Times New Roman"/>
                <w:sz w:val="20"/>
                <w:szCs w:val="20"/>
              </w:rPr>
              <w:t>Apesar das médias relativamente altas</w:t>
            </w:r>
            <w:r>
              <w:rPr>
                <w:rFonts w:ascii="Times New Roman" w:hAnsi="Times New Roman" w:cs="Times New Roman"/>
                <w:sz w:val="20"/>
                <w:szCs w:val="20"/>
              </w:rPr>
              <w:t xml:space="preserve"> (acima de 60)</w:t>
            </w:r>
            <w:r w:rsidRPr="001A3BA0">
              <w:rPr>
                <w:rFonts w:ascii="Times New Roman" w:hAnsi="Times New Roman" w:cs="Times New Roman"/>
                <w:sz w:val="20"/>
                <w:szCs w:val="20"/>
              </w:rPr>
              <w:t>, todas as regiões precisam garantir acesso equitativo a serviços de saúde de qualidade</w:t>
            </w:r>
            <w:r>
              <w:rPr>
                <w:rFonts w:ascii="Times New Roman" w:hAnsi="Times New Roman" w:cs="Times New Roman"/>
                <w:sz w:val="20"/>
                <w:szCs w:val="20"/>
              </w:rPr>
              <w:t>, haja visto os grandes problemas enfrentados pelo país no campo da saúde</w:t>
            </w:r>
            <w:r w:rsidRPr="001A3BA0">
              <w:rPr>
                <w:rFonts w:ascii="Times New Roman" w:hAnsi="Times New Roman" w:cs="Times New Roman"/>
                <w:sz w:val="20"/>
                <w:szCs w:val="20"/>
              </w:rPr>
              <w:t>.</w:t>
            </w:r>
          </w:p>
        </w:tc>
      </w:tr>
      <w:tr w:rsidR="00643591" w:rsidRPr="001A3BA0" w14:paraId="32A350C6" w14:textId="77777777" w:rsidTr="00643591">
        <w:tc>
          <w:tcPr>
            <w:tcW w:w="1696" w:type="dxa"/>
          </w:tcPr>
          <w:p w14:paraId="58C14D3D"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4 - Educação de Qualidade</w:t>
            </w:r>
          </w:p>
        </w:tc>
        <w:tc>
          <w:tcPr>
            <w:tcW w:w="2410" w:type="dxa"/>
          </w:tcPr>
          <w:p w14:paraId="0ABD0577" w14:textId="52DAE4BF"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Sul e Sudeste têm as melhores médias, 55,48 e 52,3</w:t>
            </w:r>
            <w:r>
              <w:rPr>
                <w:rFonts w:ascii="Times New Roman" w:hAnsi="Times New Roman" w:cs="Times New Roman"/>
                <w:sz w:val="20"/>
                <w:szCs w:val="20"/>
              </w:rPr>
              <w:t>3</w:t>
            </w:r>
            <w:r w:rsidRPr="001A3BA0">
              <w:rPr>
                <w:rFonts w:ascii="Times New Roman" w:hAnsi="Times New Roman" w:cs="Times New Roman"/>
                <w:sz w:val="20"/>
                <w:szCs w:val="20"/>
              </w:rPr>
              <w:t>, respectivamente</w:t>
            </w:r>
            <w:r>
              <w:rPr>
                <w:rFonts w:ascii="Times New Roman" w:hAnsi="Times New Roman" w:cs="Times New Roman"/>
                <w:sz w:val="20"/>
                <w:szCs w:val="20"/>
              </w:rPr>
              <w:t>.</w:t>
            </w:r>
          </w:p>
        </w:tc>
        <w:tc>
          <w:tcPr>
            <w:tcW w:w="4388" w:type="dxa"/>
          </w:tcPr>
          <w:p w14:paraId="108753B7" w14:textId="0E87B3E0"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 xml:space="preserve">Norte </w:t>
            </w:r>
            <w:r>
              <w:rPr>
                <w:rFonts w:ascii="Times New Roman" w:hAnsi="Times New Roman" w:cs="Times New Roman"/>
                <w:sz w:val="20"/>
                <w:szCs w:val="20"/>
              </w:rPr>
              <w:t xml:space="preserve">e </w:t>
            </w:r>
            <w:r w:rsidRPr="001A3BA0">
              <w:rPr>
                <w:rFonts w:ascii="Times New Roman" w:hAnsi="Times New Roman" w:cs="Times New Roman"/>
                <w:sz w:val="20"/>
                <w:szCs w:val="20"/>
              </w:rPr>
              <w:t>Nordeste enfrentam dificuldades com médias de 31,9</w:t>
            </w:r>
            <w:r>
              <w:rPr>
                <w:rFonts w:ascii="Times New Roman" w:hAnsi="Times New Roman" w:cs="Times New Roman"/>
                <w:sz w:val="20"/>
                <w:szCs w:val="20"/>
              </w:rPr>
              <w:t xml:space="preserve">4 e </w:t>
            </w:r>
            <w:r w:rsidRPr="001A3BA0">
              <w:rPr>
                <w:rFonts w:ascii="Times New Roman" w:hAnsi="Times New Roman" w:cs="Times New Roman"/>
                <w:sz w:val="20"/>
                <w:szCs w:val="20"/>
              </w:rPr>
              <w:t>32,6</w:t>
            </w:r>
            <w:r>
              <w:rPr>
                <w:rFonts w:ascii="Times New Roman" w:hAnsi="Times New Roman" w:cs="Times New Roman"/>
                <w:sz w:val="20"/>
                <w:szCs w:val="20"/>
              </w:rPr>
              <w:t>1</w:t>
            </w:r>
            <w:r w:rsidRPr="001A3BA0">
              <w:rPr>
                <w:rFonts w:ascii="Times New Roman" w:hAnsi="Times New Roman" w:cs="Times New Roman"/>
                <w:sz w:val="20"/>
                <w:szCs w:val="20"/>
              </w:rPr>
              <w:t xml:space="preserve">, destacando a necessidade de investimentos urgentes na melhoria da qualidade da educação nessas </w:t>
            </w:r>
            <w:r>
              <w:rPr>
                <w:rFonts w:ascii="Times New Roman" w:hAnsi="Times New Roman" w:cs="Times New Roman"/>
                <w:sz w:val="20"/>
                <w:szCs w:val="20"/>
              </w:rPr>
              <w:t xml:space="preserve">e outras </w:t>
            </w:r>
            <w:r w:rsidRPr="001A3BA0">
              <w:rPr>
                <w:rFonts w:ascii="Times New Roman" w:hAnsi="Times New Roman" w:cs="Times New Roman"/>
                <w:sz w:val="20"/>
                <w:szCs w:val="20"/>
              </w:rPr>
              <w:t>regiões.</w:t>
            </w:r>
          </w:p>
        </w:tc>
      </w:tr>
      <w:tr w:rsidR="00643591" w:rsidRPr="001A3BA0" w14:paraId="5E9C050E" w14:textId="77777777" w:rsidTr="00643591">
        <w:tc>
          <w:tcPr>
            <w:tcW w:w="1696" w:type="dxa"/>
          </w:tcPr>
          <w:p w14:paraId="3E5E85BC"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5 - Igualdade de Gênero</w:t>
            </w:r>
          </w:p>
        </w:tc>
        <w:tc>
          <w:tcPr>
            <w:tcW w:w="2410" w:type="dxa"/>
          </w:tcPr>
          <w:p w14:paraId="4B3D53EA" w14:textId="7E7EB396"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Sul apresenta a melhor média, 34,11, enquanto o Centro-Oeste tem a pior média, 20,3</w:t>
            </w:r>
            <w:r>
              <w:rPr>
                <w:rFonts w:ascii="Times New Roman" w:hAnsi="Times New Roman" w:cs="Times New Roman"/>
                <w:sz w:val="20"/>
                <w:szCs w:val="20"/>
              </w:rPr>
              <w:t>8</w:t>
            </w:r>
            <w:r w:rsidRPr="001A3BA0">
              <w:rPr>
                <w:rFonts w:ascii="Times New Roman" w:hAnsi="Times New Roman" w:cs="Times New Roman"/>
                <w:sz w:val="20"/>
                <w:szCs w:val="20"/>
              </w:rPr>
              <w:t>.</w:t>
            </w:r>
          </w:p>
        </w:tc>
        <w:tc>
          <w:tcPr>
            <w:tcW w:w="4388" w:type="dxa"/>
          </w:tcPr>
          <w:p w14:paraId="0AC910F4" w14:textId="29208E6F"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 xml:space="preserve">Terceira ODS com média mais baixa entre os municípios. </w:t>
            </w:r>
            <w:r w:rsidRPr="001A3BA0">
              <w:rPr>
                <w:rFonts w:ascii="Times New Roman" w:hAnsi="Times New Roman" w:cs="Times New Roman"/>
                <w:sz w:val="20"/>
                <w:szCs w:val="20"/>
              </w:rPr>
              <w:t xml:space="preserve">Todas as regiões estão abaixo </w:t>
            </w:r>
            <w:r>
              <w:rPr>
                <w:rFonts w:ascii="Times New Roman" w:hAnsi="Times New Roman" w:cs="Times New Roman"/>
                <w:sz w:val="20"/>
                <w:szCs w:val="20"/>
              </w:rPr>
              <w:t>de</w:t>
            </w:r>
            <w:r w:rsidRPr="001A3BA0">
              <w:rPr>
                <w:rFonts w:ascii="Times New Roman" w:hAnsi="Times New Roman" w:cs="Times New Roman"/>
                <w:sz w:val="20"/>
                <w:szCs w:val="20"/>
              </w:rPr>
              <w:t xml:space="preserve"> </w:t>
            </w:r>
            <w:r>
              <w:rPr>
                <w:rFonts w:ascii="Times New Roman" w:hAnsi="Times New Roman" w:cs="Times New Roman"/>
                <w:sz w:val="20"/>
                <w:szCs w:val="20"/>
              </w:rPr>
              <w:t>35</w:t>
            </w:r>
            <w:r w:rsidRPr="001A3BA0">
              <w:rPr>
                <w:rFonts w:ascii="Times New Roman" w:hAnsi="Times New Roman" w:cs="Times New Roman"/>
                <w:sz w:val="20"/>
                <w:szCs w:val="20"/>
              </w:rPr>
              <w:t>, destacando a necessidade de esforços renovados para promo</w:t>
            </w:r>
            <w:r>
              <w:rPr>
                <w:rFonts w:ascii="Times New Roman" w:hAnsi="Times New Roman" w:cs="Times New Roman"/>
                <w:sz w:val="20"/>
                <w:szCs w:val="20"/>
              </w:rPr>
              <w:t>ção</w:t>
            </w:r>
            <w:r w:rsidRPr="001A3BA0">
              <w:rPr>
                <w:rFonts w:ascii="Times New Roman" w:hAnsi="Times New Roman" w:cs="Times New Roman"/>
                <w:sz w:val="20"/>
                <w:szCs w:val="20"/>
              </w:rPr>
              <w:t xml:space="preserve"> </w:t>
            </w:r>
            <w:r>
              <w:rPr>
                <w:rFonts w:ascii="Times New Roman" w:hAnsi="Times New Roman" w:cs="Times New Roman"/>
                <w:sz w:val="20"/>
                <w:szCs w:val="20"/>
              </w:rPr>
              <w:t>d</w:t>
            </w:r>
            <w:r w:rsidRPr="001A3BA0">
              <w:rPr>
                <w:rFonts w:ascii="Times New Roman" w:hAnsi="Times New Roman" w:cs="Times New Roman"/>
                <w:sz w:val="20"/>
                <w:szCs w:val="20"/>
              </w:rPr>
              <w:t>a igualdade de gênero em todo o país.</w:t>
            </w:r>
          </w:p>
        </w:tc>
      </w:tr>
      <w:tr w:rsidR="00643591" w:rsidRPr="001A3BA0" w14:paraId="584FB405" w14:textId="77777777" w:rsidTr="00643591">
        <w:tc>
          <w:tcPr>
            <w:tcW w:w="1696" w:type="dxa"/>
          </w:tcPr>
          <w:p w14:paraId="227ACE91"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6 - Água Limpa e Saneamento</w:t>
            </w:r>
          </w:p>
        </w:tc>
        <w:tc>
          <w:tcPr>
            <w:tcW w:w="2410" w:type="dxa"/>
          </w:tcPr>
          <w:p w14:paraId="5C535A67" w14:textId="406C3576"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 xml:space="preserve">Sudeste e </w:t>
            </w:r>
            <w:r>
              <w:rPr>
                <w:rFonts w:ascii="Times New Roman" w:hAnsi="Times New Roman" w:cs="Times New Roman"/>
                <w:sz w:val="20"/>
                <w:szCs w:val="20"/>
              </w:rPr>
              <w:t>Centro-Oeste</w:t>
            </w:r>
            <w:r w:rsidRPr="001A3BA0">
              <w:rPr>
                <w:rFonts w:ascii="Times New Roman" w:hAnsi="Times New Roman" w:cs="Times New Roman"/>
                <w:sz w:val="20"/>
                <w:szCs w:val="20"/>
              </w:rPr>
              <w:t xml:space="preserve"> lideram com médias de </w:t>
            </w:r>
            <w:r>
              <w:rPr>
                <w:rFonts w:ascii="Times New Roman" w:hAnsi="Times New Roman" w:cs="Times New Roman"/>
                <w:sz w:val="20"/>
                <w:szCs w:val="20"/>
              </w:rPr>
              <w:t>69,62 e 55,64</w:t>
            </w:r>
            <w:r w:rsidRPr="001A3BA0">
              <w:rPr>
                <w:rFonts w:ascii="Times New Roman" w:hAnsi="Times New Roman" w:cs="Times New Roman"/>
                <w:sz w:val="20"/>
                <w:szCs w:val="20"/>
              </w:rPr>
              <w:t xml:space="preserve">, indicando </w:t>
            </w:r>
            <w:r>
              <w:rPr>
                <w:rFonts w:ascii="Times New Roman" w:hAnsi="Times New Roman" w:cs="Times New Roman"/>
                <w:sz w:val="20"/>
                <w:szCs w:val="20"/>
              </w:rPr>
              <w:t>melhor</w:t>
            </w:r>
            <w:r w:rsidRPr="001A3BA0">
              <w:rPr>
                <w:rFonts w:ascii="Times New Roman" w:hAnsi="Times New Roman" w:cs="Times New Roman"/>
                <w:sz w:val="20"/>
                <w:szCs w:val="20"/>
              </w:rPr>
              <w:t xml:space="preserve"> acesso a água limpa e saneamento básico </w:t>
            </w:r>
            <w:r>
              <w:rPr>
                <w:rFonts w:ascii="Times New Roman" w:hAnsi="Times New Roman" w:cs="Times New Roman"/>
                <w:sz w:val="20"/>
                <w:szCs w:val="20"/>
              </w:rPr>
              <w:t>do que em outras</w:t>
            </w:r>
            <w:r w:rsidRPr="001A3BA0">
              <w:rPr>
                <w:rFonts w:ascii="Times New Roman" w:hAnsi="Times New Roman" w:cs="Times New Roman"/>
                <w:sz w:val="20"/>
                <w:szCs w:val="20"/>
              </w:rPr>
              <w:t xml:space="preserve"> regiões.</w:t>
            </w:r>
          </w:p>
        </w:tc>
        <w:tc>
          <w:tcPr>
            <w:tcW w:w="4388" w:type="dxa"/>
          </w:tcPr>
          <w:p w14:paraId="04C0176F" w14:textId="57928281"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Norte</w:t>
            </w:r>
            <w:r>
              <w:rPr>
                <w:rFonts w:ascii="Times New Roman" w:hAnsi="Times New Roman" w:cs="Times New Roman"/>
                <w:sz w:val="20"/>
                <w:szCs w:val="20"/>
              </w:rPr>
              <w:t xml:space="preserve"> e Nordeste</w:t>
            </w:r>
            <w:r w:rsidRPr="001A3BA0">
              <w:rPr>
                <w:rFonts w:ascii="Times New Roman" w:hAnsi="Times New Roman" w:cs="Times New Roman"/>
                <w:sz w:val="20"/>
                <w:szCs w:val="20"/>
              </w:rPr>
              <w:t xml:space="preserve"> têm médias abaixo de </w:t>
            </w:r>
            <w:r>
              <w:rPr>
                <w:rFonts w:ascii="Times New Roman" w:hAnsi="Times New Roman" w:cs="Times New Roman"/>
                <w:sz w:val="20"/>
                <w:szCs w:val="20"/>
              </w:rPr>
              <w:t>50</w:t>
            </w:r>
            <w:r w:rsidRPr="001A3BA0">
              <w:rPr>
                <w:rFonts w:ascii="Times New Roman" w:hAnsi="Times New Roman" w:cs="Times New Roman"/>
                <w:sz w:val="20"/>
                <w:szCs w:val="20"/>
              </w:rPr>
              <w:t>, evidenciando a necessidade urgente de melhorias na infraestrutura de água e saneamento.</w:t>
            </w:r>
          </w:p>
        </w:tc>
      </w:tr>
      <w:tr w:rsidR="00643591" w:rsidRPr="001A3BA0" w14:paraId="1EAA4E01" w14:textId="77777777" w:rsidTr="00643591">
        <w:tc>
          <w:tcPr>
            <w:tcW w:w="1696" w:type="dxa"/>
          </w:tcPr>
          <w:p w14:paraId="04BA1496"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7 - Energia Limpa e Acessível</w:t>
            </w:r>
          </w:p>
        </w:tc>
        <w:tc>
          <w:tcPr>
            <w:tcW w:w="2410" w:type="dxa"/>
          </w:tcPr>
          <w:p w14:paraId="71B48020" w14:textId="6D065EAD"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Sudeste</w:t>
            </w:r>
            <w:r w:rsidR="008D1305">
              <w:rPr>
                <w:rFonts w:ascii="Times New Roman" w:hAnsi="Times New Roman" w:cs="Times New Roman"/>
                <w:sz w:val="20"/>
                <w:szCs w:val="20"/>
              </w:rPr>
              <w:t xml:space="preserve"> e</w:t>
            </w:r>
            <w:r w:rsidRPr="001A3BA0">
              <w:rPr>
                <w:rFonts w:ascii="Times New Roman" w:hAnsi="Times New Roman" w:cs="Times New Roman"/>
                <w:sz w:val="20"/>
                <w:szCs w:val="20"/>
              </w:rPr>
              <w:t xml:space="preserve"> </w:t>
            </w:r>
            <w:r w:rsidR="008D1305" w:rsidRPr="001A3BA0">
              <w:rPr>
                <w:rFonts w:ascii="Times New Roman" w:hAnsi="Times New Roman" w:cs="Times New Roman"/>
                <w:sz w:val="20"/>
                <w:szCs w:val="20"/>
              </w:rPr>
              <w:t xml:space="preserve">Centro-Oeste </w:t>
            </w:r>
            <w:r w:rsidRPr="001A3BA0">
              <w:rPr>
                <w:rFonts w:ascii="Times New Roman" w:hAnsi="Times New Roman" w:cs="Times New Roman"/>
                <w:sz w:val="20"/>
                <w:szCs w:val="20"/>
              </w:rPr>
              <w:t>têm as melhores médias, 7</w:t>
            </w:r>
            <w:r w:rsidR="008D1305">
              <w:rPr>
                <w:rFonts w:ascii="Times New Roman" w:hAnsi="Times New Roman" w:cs="Times New Roman"/>
                <w:sz w:val="20"/>
                <w:szCs w:val="20"/>
              </w:rPr>
              <w:t>7</w:t>
            </w:r>
            <w:r w:rsidRPr="001A3BA0">
              <w:rPr>
                <w:rFonts w:ascii="Times New Roman" w:hAnsi="Times New Roman" w:cs="Times New Roman"/>
                <w:sz w:val="20"/>
                <w:szCs w:val="20"/>
              </w:rPr>
              <w:t>,</w:t>
            </w:r>
            <w:r w:rsidR="008D1305">
              <w:rPr>
                <w:rFonts w:ascii="Times New Roman" w:hAnsi="Times New Roman" w:cs="Times New Roman"/>
                <w:sz w:val="20"/>
                <w:szCs w:val="20"/>
              </w:rPr>
              <w:t>23</w:t>
            </w:r>
            <w:r w:rsidRPr="001A3BA0">
              <w:rPr>
                <w:rFonts w:ascii="Times New Roman" w:hAnsi="Times New Roman" w:cs="Times New Roman"/>
                <w:sz w:val="20"/>
                <w:szCs w:val="20"/>
              </w:rPr>
              <w:t xml:space="preserve"> e 74,</w:t>
            </w:r>
            <w:r w:rsidR="008D1305">
              <w:rPr>
                <w:rFonts w:ascii="Times New Roman" w:hAnsi="Times New Roman" w:cs="Times New Roman"/>
                <w:sz w:val="20"/>
                <w:szCs w:val="20"/>
              </w:rPr>
              <w:t>84</w:t>
            </w:r>
            <w:r w:rsidRPr="001A3BA0">
              <w:rPr>
                <w:rFonts w:ascii="Times New Roman" w:hAnsi="Times New Roman" w:cs="Times New Roman"/>
                <w:sz w:val="20"/>
                <w:szCs w:val="20"/>
              </w:rPr>
              <w:t>, respectivamente.</w:t>
            </w:r>
          </w:p>
        </w:tc>
        <w:tc>
          <w:tcPr>
            <w:tcW w:w="4388" w:type="dxa"/>
          </w:tcPr>
          <w:p w14:paraId="34A45053" w14:textId="4AB5F8F8"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Apesar das médias relativamente altas,</w:t>
            </w:r>
            <w:r>
              <w:rPr>
                <w:rFonts w:ascii="Times New Roman" w:hAnsi="Times New Roman" w:cs="Times New Roman"/>
                <w:sz w:val="20"/>
                <w:szCs w:val="20"/>
              </w:rPr>
              <w:t xml:space="preserve"> Norte, Nordeste e Sul</w:t>
            </w:r>
            <w:r w:rsidRPr="001A3BA0">
              <w:rPr>
                <w:rFonts w:ascii="Times New Roman" w:hAnsi="Times New Roman" w:cs="Times New Roman"/>
                <w:sz w:val="20"/>
                <w:szCs w:val="20"/>
              </w:rPr>
              <w:t xml:space="preserve"> </w:t>
            </w:r>
            <w:r>
              <w:rPr>
                <w:rFonts w:ascii="Times New Roman" w:hAnsi="Times New Roman" w:cs="Times New Roman"/>
                <w:sz w:val="20"/>
                <w:szCs w:val="20"/>
              </w:rPr>
              <w:t>apresentam médias bem abaixo das encontradas no Sudeste</w:t>
            </w:r>
            <w:r w:rsidR="008D1305">
              <w:rPr>
                <w:rFonts w:ascii="Times New Roman" w:hAnsi="Times New Roman" w:cs="Times New Roman"/>
                <w:sz w:val="20"/>
                <w:szCs w:val="20"/>
              </w:rPr>
              <w:t xml:space="preserve"> e Centro-Oeste</w:t>
            </w:r>
            <w:r>
              <w:rPr>
                <w:rFonts w:ascii="Times New Roman" w:hAnsi="Times New Roman" w:cs="Times New Roman"/>
                <w:sz w:val="20"/>
                <w:szCs w:val="20"/>
              </w:rPr>
              <w:t>, evidenciando a necessidade de continuarem a</w:t>
            </w:r>
            <w:r w:rsidRPr="001A3BA0">
              <w:rPr>
                <w:rFonts w:ascii="Times New Roman" w:hAnsi="Times New Roman" w:cs="Times New Roman"/>
                <w:sz w:val="20"/>
                <w:szCs w:val="20"/>
              </w:rPr>
              <w:t xml:space="preserve"> </w:t>
            </w:r>
            <w:r w:rsidRPr="001A3BA0">
              <w:rPr>
                <w:rFonts w:ascii="Times New Roman" w:hAnsi="Times New Roman" w:cs="Times New Roman"/>
                <w:sz w:val="20"/>
                <w:szCs w:val="20"/>
              </w:rPr>
              <w:lastRenderedPageBreak/>
              <w:t>investi</w:t>
            </w:r>
            <w:r>
              <w:rPr>
                <w:rFonts w:ascii="Times New Roman" w:hAnsi="Times New Roman" w:cs="Times New Roman"/>
                <w:sz w:val="20"/>
                <w:szCs w:val="20"/>
              </w:rPr>
              <w:t>r</w:t>
            </w:r>
            <w:r w:rsidRPr="001A3BA0">
              <w:rPr>
                <w:rFonts w:ascii="Times New Roman" w:hAnsi="Times New Roman" w:cs="Times New Roman"/>
                <w:sz w:val="20"/>
                <w:szCs w:val="20"/>
              </w:rPr>
              <w:t xml:space="preserve"> em fontes de energia limpa e acessível para todos.</w:t>
            </w:r>
          </w:p>
        </w:tc>
      </w:tr>
      <w:tr w:rsidR="00643591" w:rsidRPr="001A3BA0" w14:paraId="1DD65E07" w14:textId="77777777" w:rsidTr="00643591">
        <w:trPr>
          <w:trHeight w:val="1235"/>
        </w:trPr>
        <w:tc>
          <w:tcPr>
            <w:tcW w:w="1696" w:type="dxa"/>
          </w:tcPr>
          <w:p w14:paraId="067F4BA4"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lastRenderedPageBreak/>
              <w:t>ODS 8 - Trabalho Decente e Crescimento Econômico</w:t>
            </w:r>
          </w:p>
        </w:tc>
        <w:tc>
          <w:tcPr>
            <w:tcW w:w="2410" w:type="dxa"/>
          </w:tcPr>
          <w:p w14:paraId="5C858CCC" w14:textId="5AAFFC0F"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w:t>
            </w:r>
            <w:r>
              <w:rPr>
                <w:rFonts w:ascii="Times New Roman" w:hAnsi="Times New Roman" w:cs="Times New Roman"/>
                <w:sz w:val="20"/>
                <w:szCs w:val="20"/>
              </w:rPr>
              <w:t>l</w:t>
            </w:r>
            <w:r w:rsidRPr="001A3BA0">
              <w:rPr>
                <w:rFonts w:ascii="Times New Roman" w:hAnsi="Times New Roman" w:cs="Times New Roman"/>
                <w:sz w:val="20"/>
                <w:szCs w:val="20"/>
              </w:rPr>
              <w:t xml:space="preserve"> lidera com </w:t>
            </w:r>
            <w:r>
              <w:rPr>
                <w:rFonts w:ascii="Times New Roman" w:hAnsi="Times New Roman" w:cs="Times New Roman"/>
                <w:sz w:val="20"/>
                <w:szCs w:val="20"/>
              </w:rPr>
              <w:t>61,</w:t>
            </w:r>
            <w:r w:rsidR="008D1305">
              <w:rPr>
                <w:rFonts w:ascii="Times New Roman" w:hAnsi="Times New Roman" w:cs="Times New Roman"/>
                <w:sz w:val="20"/>
                <w:szCs w:val="20"/>
              </w:rPr>
              <w:t>5</w:t>
            </w:r>
            <w:r>
              <w:rPr>
                <w:rFonts w:ascii="Times New Roman" w:hAnsi="Times New Roman" w:cs="Times New Roman"/>
                <w:sz w:val="20"/>
                <w:szCs w:val="20"/>
              </w:rPr>
              <w:t>4</w:t>
            </w:r>
            <w:r w:rsidRPr="001A3BA0">
              <w:rPr>
                <w:rFonts w:ascii="Times New Roman" w:hAnsi="Times New Roman" w:cs="Times New Roman"/>
                <w:sz w:val="20"/>
                <w:szCs w:val="20"/>
              </w:rPr>
              <w:t xml:space="preserve"> seguido pelo Centro-Oeste com 52,1</w:t>
            </w:r>
            <w:r w:rsidR="008D1305">
              <w:rPr>
                <w:rFonts w:ascii="Times New Roman" w:hAnsi="Times New Roman" w:cs="Times New Roman"/>
                <w:sz w:val="20"/>
                <w:szCs w:val="20"/>
              </w:rPr>
              <w:t>6</w:t>
            </w:r>
            <w:r w:rsidRPr="001A3BA0">
              <w:rPr>
                <w:rFonts w:ascii="Times New Roman" w:hAnsi="Times New Roman" w:cs="Times New Roman"/>
                <w:sz w:val="20"/>
                <w:szCs w:val="20"/>
              </w:rPr>
              <w:t>.</w:t>
            </w:r>
          </w:p>
        </w:tc>
        <w:tc>
          <w:tcPr>
            <w:tcW w:w="4388" w:type="dxa"/>
          </w:tcPr>
          <w:p w14:paraId="0A774D1F" w14:textId="77777777"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Com exceção da região Sul,</w:t>
            </w:r>
            <w:r w:rsidRPr="001A3BA0">
              <w:rPr>
                <w:rFonts w:ascii="Times New Roman" w:hAnsi="Times New Roman" w:cs="Times New Roman"/>
                <w:sz w:val="20"/>
                <w:szCs w:val="20"/>
              </w:rPr>
              <w:t xml:space="preserve"> </w:t>
            </w:r>
            <w:r>
              <w:rPr>
                <w:rFonts w:ascii="Times New Roman" w:hAnsi="Times New Roman" w:cs="Times New Roman"/>
                <w:sz w:val="20"/>
                <w:szCs w:val="20"/>
              </w:rPr>
              <w:t>t</w:t>
            </w:r>
            <w:r w:rsidRPr="001A3BA0">
              <w:rPr>
                <w:rFonts w:ascii="Times New Roman" w:hAnsi="Times New Roman" w:cs="Times New Roman"/>
                <w:sz w:val="20"/>
                <w:szCs w:val="20"/>
              </w:rPr>
              <w:t xml:space="preserve">odas as </w:t>
            </w:r>
            <w:r>
              <w:rPr>
                <w:rFonts w:ascii="Times New Roman" w:hAnsi="Times New Roman" w:cs="Times New Roman"/>
                <w:sz w:val="20"/>
                <w:szCs w:val="20"/>
              </w:rPr>
              <w:t xml:space="preserve">outras </w:t>
            </w:r>
            <w:r w:rsidRPr="001A3BA0">
              <w:rPr>
                <w:rFonts w:ascii="Times New Roman" w:hAnsi="Times New Roman" w:cs="Times New Roman"/>
                <w:sz w:val="20"/>
                <w:szCs w:val="20"/>
              </w:rPr>
              <w:t>regiões estão abaixo do limite de 60, destacando a necessidade de políticas que promovam emprego digno e crescimento econômico sustentável em todo o país.</w:t>
            </w:r>
          </w:p>
        </w:tc>
      </w:tr>
      <w:tr w:rsidR="00643591" w:rsidRPr="001A3BA0" w14:paraId="445A0D84" w14:textId="77777777" w:rsidTr="00643591">
        <w:tc>
          <w:tcPr>
            <w:tcW w:w="1696" w:type="dxa"/>
          </w:tcPr>
          <w:p w14:paraId="43E1FC1F"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9 - Indústria, Inovação e Infraestrutura</w:t>
            </w:r>
          </w:p>
        </w:tc>
        <w:tc>
          <w:tcPr>
            <w:tcW w:w="2410" w:type="dxa"/>
          </w:tcPr>
          <w:p w14:paraId="4F921956" w14:textId="72440FD0"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Sudeste tem a melhor média, 58,</w:t>
            </w:r>
            <w:r w:rsidR="008D1305">
              <w:rPr>
                <w:rFonts w:ascii="Times New Roman" w:hAnsi="Times New Roman" w:cs="Times New Roman"/>
                <w:sz w:val="20"/>
                <w:szCs w:val="20"/>
              </w:rPr>
              <w:t>69</w:t>
            </w:r>
            <w:r w:rsidRPr="001A3BA0">
              <w:rPr>
                <w:rFonts w:ascii="Times New Roman" w:hAnsi="Times New Roman" w:cs="Times New Roman"/>
                <w:sz w:val="20"/>
                <w:szCs w:val="20"/>
              </w:rPr>
              <w:t>, enquanto o Nor</w:t>
            </w:r>
            <w:r>
              <w:rPr>
                <w:rFonts w:ascii="Times New Roman" w:hAnsi="Times New Roman" w:cs="Times New Roman"/>
                <w:sz w:val="20"/>
                <w:szCs w:val="20"/>
              </w:rPr>
              <w:t>te</w:t>
            </w:r>
            <w:r w:rsidRPr="001A3BA0">
              <w:rPr>
                <w:rFonts w:ascii="Times New Roman" w:hAnsi="Times New Roman" w:cs="Times New Roman"/>
                <w:sz w:val="20"/>
                <w:szCs w:val="20"/>
              </w:rPr>
              <w:t xml:space="preserve"> tem a pior, </w:t>
            </w:r>
            <w:r>
              <w:rPr>
                <w:rFonts w:ascii="Times New Roman" w:hAnsi="Times New Roman" w:cs="Times New Roman"/>
                <w:sz w:val="20"/>
                <w:szCs w:val="20"/>
              </w:rPr>
              <w:t>53,</w:t>
            </w:r>
            <w:r w:rsidR="008D1305">
              <w:rPr>
                <w:rFonts w:ascii="Times New Roman" w:hAnsi="Times New Roman" w:cs="Times New Roman"/>
                <w:sz w:val="20"/>
                <w:szCs w:val="20"/>
              </w:rPr>
              <w:t>5</w:t>
            </w:r>
            <w:r>
              <w:rPr>
                <w:rFonts w:ascii="Times New Roman" w:hAnsi="Times New Roman" w:cs="Times New Roman"/>
                <w:sz w:val="20"/>
                <w:szCs w:val="20"/>
              </w:rPr>
              <w:t>3</w:t>
            </w:r>
            <w:r w:rsidRPr="001A3BA0">
              <w:rPr>
                <w:rFonts w:ascii="Times New Roman" w:hAnsi="Times New Roman" w:cs="Times New Roman"/>
                <w:sz w:val="20"/>
                <w:szCs w:val="20"/>
              </w:rPr>
              <w:t>.</w:t>
            </w:r>
          </w:p>
        </w:tc>
        <w:tc>
          <w:tcPr>
            <w:tcW w:w="4388" w:type="dxa"/>
          </w:tcPr>
          <w:p w14:paraId="32E2DD8C" w14:textId="2B2059C2"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É um dos ODS com média</w:t>
            </w:r>
            <w:r w:rsidR="00D62918">
              <w:rPr>
                <w:rFonts w:ascii="Times New Roman" w:hAnsi="Times New Roman" w:cs="Times New Roman"/>
                <w:sz w:val="20"/>
                <w:szCs w:val="20"/>
              </w:rPr>
              <w:t>s</w:t>
            </w:r>
            <w:r>
              <w:rPr>
                <w:rFonts w:ascii="Times New Roman" w:hAnsi="Times New Roman" w:cs="Times New Roman"/>
                <w:sz w:val="20"/>
                <w:szCs w:val="20"/>
              </w:rPr>
              <w:t xml:space="preserve"> mais equilibrada</w:t>
            </w:r>
            <w:r w:rsidR="00D62918">
              <w:rPr>
                <w:rFonts w:ascii="Times New Roman" w:hAnsi="Times New Roman" w:cs="Times New Roman"/>
                <w:sz w:val="20"/>
                <w:szCs w:val="20"/>
              </w:rPr>
              <w:t>s</w:t>
            </w:r>
            <w:r>
              <w:rPr>
                <w:rFonts w:ascii="Times New Roman" w:hAnsi="Times New Roman" w:cs="Times New Roman"/>
                <w:sz w:val="20"/>
                <w:szCs w:val="20"/>
              </w:rPr>
              <w:t xml:space="preserve"> entre as regiões, ainda que </w:t>
            </w:r>
            <w:proofErr w:type="gramStart"/>
            <w:r>
              <w:rPr>
                <w:rFonts w:ascii="Times New Roman" w:hAnsi="Times New Roman" w:cs="Times New Roman"/>
                <w:sz w:val="20"/>
                <w:szCs w:val="20"/>
              </w:rPr>
              <w:t>este  ODS</w:t>
            </w:r>
            <w:proofErr w:type="gramEnd"/>
            <w:r>
              <w:rPr>
                <w:rFonts w:ascii="Times New Roman" w:hAnsi="Times New Roman" w:cs="Times New Roman"/>
                <w:sz w:val="20"/>
                <w:szCs w:val="20"/>
              </w:rPr>
              <w:t xml:space="preserve"> demande investimentos e melhores políticas em todas as </w:t>
            </w:r>
            <w:r w:rsidRPr="001A3BA0">
              <w:rPr>
                <w:rFonts w:ascii="Times New Roman" w:hAnsi="Times New Roman" w:cs="Times New Roman"/>
                <w:sz w:val="20"/>
                <w:szCs w:val="20"/>
              </w:rPr>
              <w:t xml:space="preserve"> regiões</w:t>
            </w:r>
            <w:r>
              <w:rPr>
                <w:rFonts w:ascii="Times New Roman" w:hAnsi="Times New Roman" w:cs="Times New Roman"/>
                <w:sz w:val="20"/>
                <w:szCs w:val="20"/>
              </w:rPr>
              <w:t xml:space="preserve"> do país</w:t>
            </w:r>
            <w:r w:rsidRPr="001A3BA0">
              <w:rPr>
                <w:rFonts w:ascii="Times New Roman" w:hAnsi="Times New Roman" w:cs="Times New Roman"/>
                <w:sz w:val="20"/>
                <w:szCs w:val="20"/>
              </w:rPr>
              <w:t>.</w:t>
            </w:r>
          </w:p>
        </w:tc>
      </w:tr>
      <w:tr w:rsidR="00643591" w:rsidRPr="001A3BA0" w14:paraId="7003DB21" w14:textId="77777777" w:rsidTr="00643591">
        <w:tc>
          <w:tcPr>
            <w:tcW w:w="1696" w:type="dxa"/>
          </w:tcPr>
          <w:p w14:paraId="4DC549A2"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10 - Redução das Desigualdades</w:t>
            </w:r>
          </w:p>
        </w:tc>
        <w:tc>
          <w:tcPr>
            <w:tcW w:w="2410" w:type="dxa"/>
          </w:tcPr>
          <w:p w14:paraId="24A6AD09" w14:textId="4BEFBE14"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Sul lidera com 58,9</w:t>
            </w:r>
            <w:r w:rsidR="00D62918">
              <w:rPr>
                <w:rFonts w:ascii="Times New Roman" w:hAnsi="Times New Roman" w:cs="Times New Roman"/>
                <w:sz w:val="20"/>
                <w:szCs w:val="20"/>
              </w:rPr>
              <w:t>2</w:t>
            </w:r>
            <w:r w:rsidRPr="001A3BA0">
              <w:rPr>
                <w:rFonts w:ascii="Times New Roman" w:hAnsi="Times New Roman" w:cs="Times New Roman"/>
                <w:sz w:val="20"/>
                <w:szCs w:val="20"/>
              </w:rPr>
              <w:t xml:space="preserve">, </w:t>
            </w:r>
            <w:r>
              <w:rPr>
                <w:rFonts w:ascii="Times New Roman" w:hAnsi="Times New Roman" w:cs="Times New Roman"/>
                <w:sz w:val="20"/>
                <w:szCs w:val="20"/>
              </w:rPr>
              <w:t>Norte apresenta</w:t>
            </w:r>
            <w:r w:rsidRPr="001A3BA0">
              <w:rPr>
                <w:rFonts w:ascii="Times New Roman" w:hAnsi="Times New Roman" w:cs="Times New Roman"/>
                <w:sz w:val="20"/>
                <w:szCs w:val="20"/>
              </w:rPr>
              <w:t xml:space="preserve"> </w:t>
            </w:r>
            <w:r>
              <w:rPr>
                <w:rFonts w:ascii="Times New Roman" w:hAnsi="Times New Roman" w:cs="Times New Roman"/>
                <w:sz w:val="20"/>
                <w:szCs w:val="20"/>
              </w:rPr>
              <w:t xml:space="preserve">a menor nota com </w:t>
            </w:r>
            <w:r w:rsidRPr="001A3BA0">
              <w:rPr>
                <w:rFonts w:ascii="Times New Roman" w:hAnsi="Times New Roman" w:cs="Times New Roman"/>
                <w:sz w:val="20"/>
                <w:szCs w:val="20"/>
              </w:rPr>
              <w:t>5</w:t>
            </w:r>
            <w:r>
              <w:rPr>
                <w:rFonts w:ascii="Times New Roman" w:hAnsi="Times New Roman" w:cs="Times New Roman"/>
                <w:sz w:val="20"/>
                <w:szCs w:val="20"/>
              </w:rPr>
              <w:t>6,1</w:t>
            </w:r>
            <w:r w:rsidR="00D62918">
              <w:rPr>
                <w:rFonts w:ascii="Times New Roman" w:hAnsi="Times New Roman" w:cs="Times New Roman"/>
                <w:sz w:val="20"/>
                <w:szCs w:val="20"/>
              </w:rPr>
              <w:t>0</w:t>
            </w:r>
            <w:r w:rsidRPr="001A3BA0">
              <w:rPr>
                <w:rFonts w:ascii="Times New Roman" w:hAnsi="Times New Roman" w:cs="Times New Roman"/>
                <w:sz w:val="20"/>
                <w:szCs w:val="20"/>
              </w:rPr>
              <w:t>.</w:t>
            </w:r>
          </w:p>
        </w:tc>
        <w:tc>
          <w:tcPr>
            <w:tcW w:w="4388" w:type="dxa"/>
          </w:tcPr>
          <w:p w14:paraId="2948FC4D" w14:textId="77777777"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 xml:space="preserve">É o ODS com menor amplitude entre melhor e pior resultado, apresentando maior homogeneidade de notas entre as regiões. </w:t>
            </w:r>
            <w:r w:rsidRPr="001A3BA0">
              <w:rPr>
                <w:rFonts w:ascii="Times New Roman" w:hAnsi="Times New Roman" w:cs="Times New Roman"/>
                <w:sz w:val="20"/>
                <w:szCs w:val="20"/>
              </w:rPr>
              <w:t>Todas as regiões precisam continuar trabalhando para reduzir as desigualdades, especialmente nas áreas de renda, gênero e acesso a serviços básicos.</w:t>
            </w:r>
          </w:p>
        </w:tc>
      </w:tr>
      <w:tr w:rsidR="00643591" w:rsidRPr="001A3BA0" w14:paraId="422C6973" w14:textId="77777777" w:rsidTr="00643591">
        <w:tc>
          <w:tcPr>
            <w:tcW w:w="1696" w:type="dxa"/>
          </w:tcPr>
          <w:p w14:paraId="5EFA73ED"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11 - Cidades e Comunidades Sustentáveis</w:t>
            </w:r>
          </w:p>
        </w:tc>
        <w:tc>
          <w:tcPr>
            <w:tcW w:w="2410" w:type="dxa"/>
          </w:tcPr>
          <w:p w14:paraId="493E3D83" w14:textId="5406F9AC" w:rsidR="00643591" w:rsidRPr="001A3BA0" w:rsidRDefault="00643591" w:rsidP="001C1D40">
            <w:pPr>
              <w:rPr>
                <w:rFonts w:ascii="Times New Roman" w:hAnsi="Times New Roman" w:cs="Times New Roman"/>
                <w:sz w:val="20"/>
                <w:szCs w:val="20"/>
              </w:rPr>
            </w:pPr>
            <w:proofErr w:type="gramStart"/>
            <w:r w:rsidRPr="001A3BA0">
              <w:rPr>
                <w:rFonts w:ascii="Times New Roman" w:hAnsi="Times New Roman" w:cs="Times New Roman"/>
                <w:sz w:val="20"/>
                <w:szCs w:val="20"/>
              </w:rPr>
              <w:t xml:space="preserve">Sul </w:t>
            </w:r>
            <w:r>
              <w:rPr>
                <w:rFonts w:ascii="Times New Roman" w:hAnsi="Times New Roman" w:cs="Times New Roman"/>
                <w:sz w:val="20"/>
                <w:szCs w:val="20"/>
              </w:rPr>
              <w:t xml:space="preserve"> lidera</w:t>
            </w:r>
            <w:proofErr w:type="gramEnd"/>
            <w:r>
              <w:rPr>
                <w:rFonts w:ascii="Times New Roman" w:hAnsi="Times New Roman" w:cs="Times New Roman"/>
                <w:sz w:val="20"/>
                <w:szCs w:val="20"/>
              </w:rPr>
              <w:t xml:space="preserve"> </w:t>
            </w:r>
            <w:r w:rsidRPr="001A3BA0">
              <w:rPr>
                <w:rFonts w:ascii="Times New Roman" w:hAnsi="Times New Roman" w:cs="Times New Roman"/>
                <w:sz w:val="20"/>
                <w:szCs w:val="20"/>
              </w:rPr>
              <w:t>com 73,9</w:t>
            </w:r>
            <w:r w:rsidR="00D62918">
              <w:rPr>
                <w:rFonts w:ascii="Times New Roman" w:hAnsi="Times New Roman" w:cs="Times New Roman"/>
                <w:sz w:val="20"/>
                <w:szCs w:val="20"/>
              </w:rPr>
              <w:t>3</w:t>
            </w:r>
            <w:r>
              <w:rPr>
                <w:rFonts w:ascii="Times New Roman" w:hAnsi="Times New Roman" w:cs="Times New Roman"/>
                <w:sz w:val="20"/>
                <w:szCs w:val="20"/>
              </w:rPr>
              <w:t xml:space="preserve">, </w:t>
            </w:r>
            <w:r w:rsidRPr="001A3BA0">
              <w:rPr>
                <w:rFonts w:ascii="Times New Roman" w:hAnsi="Times New Roman" w:cs="Times New Roman"/>
                <w:sz w:val="20"/>
                <w:szCs w:val="20"/>
              </w:rPr>
              <w:t>seguido pelo</w:t>
            </w:r>
            <w:r>
              <w:rPr>
                <w:rFonts w:ascii="Times New Roman" w:hAnsi="Times New Roman" w:cs="Times New Roman"/>
                <w:sz w:val="20"/>
                <w:szCs w:val="20"/>
              </w:rPr>
              <w:t xml:space="preserve"> Nordeste </w:t>
            </w:r>
            <w:r w:rsidRPr="001A3BA0">
              <w:rPr>
                <w:rFonts w:ascii="Times New Roman" w:hAnsi="Times New Roman" w:cs="Times New Roman"/>
                <w:sz w:val="20"/>
                <w:szCs w:val="20"/>
              </w:rPr>
              <w:t>com 72,</w:t>
            </w:r>
            <w:r>
              <w:rPr>
                <w:rFonts w:ascii="Times New Roman" w:hAnsi="Times New Roman" w:cs="Times New Roman"/>
                <w:sz w:val="20"/>
                <w:szCs w:val="20"/>
              </w:rPr>
              <w:t>57.</w:t>
            </w:r>
          </w:p>
        </w:tc>
        <w:tc>
          <w:tcPr>
            <w:tcW w:w="4388" w:type="dxa"/>
          </w:tcPr>
          <w:p w14:paraId="73CAB270" w14:textId="77777777"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 xml:space="preserve">ODS de maior média geral. </w:t>
            </w:r>
            <w:r w:rsidRPr="001A3BA0">
              <w:rPr>
                <w:rFonts w:ascii="Times New Roman" w:hAnsi="Times New Roman" w:cs="Times New Roman"/>
                <w:sz w:val="20"/>
                <w:szCs w:val="20"/>
              </w:rPr>
              <w:t xml:space="preserve">Apesar das médias relativamente altas, </w:t>
            </w:r>
            <w:r>
              <w:rPr>
                <w:rFonts w:ascii="Times New Roman" w:hAnsi="Times New Roman" w:cs="Times New Roman"/>
                <w:sz w:val="20"/>
                <w:szCs w:val="20"/>
              </w:rPr>
              <w:t xml:space="preserve">próximas ou superiores a 70, </w:t>
            </w:r>
            <w:r w:rsidRPr="001A3BA0">
              <w:rPr>
                <w:rFonts w:ascii="Times New Roman" w:hAnsi="Times New Roman" w:cs="Times New Roman"/>
                <w:sz w:val="20"/>
                <w:szCs w:val="20"/>
              </w:rPr>
              <w:t xml:space="preserve">todas as regiões </w:t>
            </w:r>
            <w:r>
              <w:rPr>
                <w:rFonts w:ascii="Times New Roman" w:hAnsi="Times New Roman" w:cs="Times New Roman"/>
                <w:sz w:val="20"/>
                <w:szCs w:val="20"/>
              </w:rPr>
              <w:t xml:space="preserve">brasileiras </w:t>
            </w:r>
            <w:r w:rsidRPr="001A3BA0">
              <w:rPr>
                <w:rFonts w:ascii="Times New Roman" w:hAnsi="Times New Roman" w:cs="Times New Roman"/>
                <w:sz w:val="20"/>
                <w:szCs w:val="20"/>
              </w:rPr>
              <w:t>enfrentam desafios relacionados à infraestrutura urbana, planejamento e gestão sustentáveis.</w:t>
            </w:r>
          </w:p>
        </w:tc>
      </w:tr>
      <w:tr w:rsidR="00643591" w:rsidRPr="001A3BA0" w14:paraId="777A268C" w14:textId="77777777" w:rsidTr="00643591">
        <w:tc>
          <w:tcPr>
            <w:tcW w:w="1696" w:type="dxa"/>
          </w:tcPr>
          <w:p w14:paraId="3CD636DF"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12 - Consumo e Produção Responsáveis</w:t>
            </w:r>
          </w:p>
        </w:tc>
        <w:tc>
          <w:tcPr>
            <w:tcW w:w="2410" w:type="dxa"/>
          </w:tcPr>
          <w:p w14:paraId="0103D78A" w14:textId="2E01EFA0"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Sul apresenta a melhor média, 51,7</w:t>
            </w:r>
            <w:r w:rsidR="00D62918">
              <w:rPr>
                <w:rFonts w:ascii="Times New Roman" w:hAnsi="Times New Roman" w:cs="Times New Roman"/>
                <w:sz w:val="20"/>
                <w:szCs w:val="20"/>
              </w:rPr>
              <w:t>3</w:t>
            </w:r>
            <w:r w:rsidRPr="001A3BA0">
              <w:rPr>
                <w:rFonts w:ascii="Times New Roman" w:hAnsi="Times New Roman" w:cs="Times New Roman"/>
                <w:sz w:val="20"/>
                <w:szCs w:val="20"/>
              </w:rPr>
              <w:t>, enquanto o Nordeste tem a pior média, 31,8</w:t>
            </w:r>
            <w:r w:rsidR="00D62918">
              <w:rPr>
                <w:rFonts w:ascii="Times New Roman" w:hAnsi="Times New Roman" w:cs="Times New Roman"/>
                <w:sz w:val="20"/>
                <w:szCs w:val="20"/>
              </w:rPr>
              <w:t>7</w:t>
            </w:r>
            <w:r w:rsidRPr="001A3BA0">
              <w:rPr>
                <w:rFonts w:ascii="Times New Roman" w:hAnsi="Times New Roman" w:cs="Times New Roman"/>
                <w:sz w:val="20"/>
                <w:szCs w:val="20"/>
              </w:rPr>
              <w:t>.</w:t>
            </w:r>
          </w:p>
        </w:tc>
        <w:tc>
          <w:tcPr>
            <w:tcW w:w="4388" w:type="dxa"/>
          </w:tcPr>
          <w:p w14:paraId="0B708A66" w14:textId="54CA14FC"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 xml:space="preserve">Todas as regiões estão abaixo </w:t>
            </w:r>
            <w:r w:rsidR="00D62918">
              <w:rPr>
                <w:rFonts w:ascii="Times New Roman" w:hAnsi="Times New Roman" w:cs="Times New Roman"/>
                <w:sz w:val="20"/>
                <w:szCs w:val="20"/>
              </w:rPr>
              <w:t>ou próximas</w:t>
            </w:r>
            <w:r w:rsidRPr="001A3BA0">
              <w:rPr>
                <w:rFonts w:ascii="Times New Roman" w:hAnsi="Times New Roman" w:cs="Times New Roman"/>
                <w:sz w:val="20"/>
                <w:szCs w:val="20"/>
              </w:rPr>
              <w:t xml:space="preserve"> de </w:t>
            </w:r>
            <w:r w:rsidR="00D62918">
              <w:rPr>
                <w:rFonts w:ascii="Times New Roman" w:hAnsi="Times New Roman" w:cs="Times New Roman"/>
                <w:sz w:val="20"/>
                <w:szCs w:val="20"/>
              </w:rPr>
              <w:t>50</w:t>
            </w:r>
            <w:r w:rsidRPr="001A3BA0">
              <w:rPr>
                <w:rFonts w:ascii="Times New Roman" w:hAnsi="Times New Roman" w:cs="Times New Roman"/>
                <w:sz w:val="20"/>
                <w:szCs w:val="20"/>
              </w:rPr>
              <w:t>, destacando a necessidade de promover padrões de consumo e produção mais sustentáveis em todo o país.</w:t>
            </w:r>
          </w:p>
        </w:tc>
      </w:tr>
      <w:tr w:rsidR="00643591" w:rsidRPr="001A3BA0" w14:paraId="4735AE2C" w14:textId="77777777" w:rsidTr="00643591">
        <w:tc>
          <w:tcPr>
            <w:tcW w:w="1696" w:type="dxa"/>
          </w:tcPr>
          <w:p w14:paraId="2425B6BE"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13 - Ação Contra a Mudança Global do Clima</w:t>
            </w:r>
          </w:p>
        </w:tc>
        <w:tc>
          <w:tcPr>
            <w:tcW w:w="2410" w:type="dxa"/>
          </w:tcPr>
          <w:p w14:paraId="55E06C37" w14:textId="5E18CB48"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Sudeste</w:t>
            </w:r>
            <w:r w:rsidRPr="001A3BA0">
              <w:rPr>
                <w:rFonts w:ascii="Times New Roman" w:hAnsi="Times New Roman" w:cs="Times New Roman"/>
                <w:sz w:val="20"/>
                <w:szCs w:val="20"/>
              </w:rPr>
              <w:t xml:space="preserve"> tem a melhor média, </w:t>
            </w:r>
            <w:r>
              <w:rPr>
                <w:rFonts w:ascii="Times New Roman" w:hAnsi="Times New Roman" w:cs="Times New Roman"/>
                <w:sz w:val="20"/>
                <w:szCs w:val="20"/>
              </w:rPr>
              <w:t>66,6</w:t>
            </w:r>
            <w:r w:rsidR="00D62918">
              <w:rPr>
                <w:rFonts w:ascii="Times New Roman" w:hAnsi="Times New Roman" w:cs="Times New Roman"/>
                <w:sz w:val="20"/>
                <w:szCs w:val="20"/>
              </w:rPr>
              <w:t>4</w:t>
            </w:r>
            <w:r w:rsidRPr="001A3BA0">
              <w:rPr>
                <w:rFonts w:ascii="Times New Roman" w:hAnsi="Times New Roman" w:cs="Times New Roman"/>
                <w:sz w:val="20"/>
                <w:szCs w:val="20"/>
              </w:rPr>
              <w:t xml:space="preserve">, enquanto o </w:t>
            </w:r>
            <w:r>
              <w:rPr>
                <w:rFonts w:ascii="Times New Roman" w:hAnsi="Times New Roman" w:cs="Times New Roman"/>
                <w:sz w:val="20"/>
                <w:szCs w:val="20"/>
              </w:rPr>
              <w:t>Norte</w:t>
            </w:r>
            <w:r w:rsidRPr="001A3BA0">
              <w:rPr>
                <w:rFonts w:ascii="Times New Roman" w:hAnsi="Times New Roman" w:cs="Times New Roman"/>
                <w:sz w:val="20"/>
                <w:szCs w:val="20"/>
              </w:rPr>
              <w:t xml:space="preserve"> tem a pior, </w:t>
            </w:r>
            <w:r>
              <w:rPr>
                <w:rFonts w:ascii="Times New Roman" w:hAnsi="Times New Roman" w:cs="Times New Roman"/>
                <w:sz w:val="20"/>
                <w:szCs w:val="20"/>
              </w:rPr>
              <w:t>40,6</w:t>
            </w:r>
            <w:r w:rsidR="00D62918">
              <w:rPr>
                <w:rFonts w:ascii="Times New Roman" w:hAnsi="Times New Roman" w:cs="Times New Roman"/>
                <w:sz w:val="20"/>
                <w:szCs w:val="20"/>
              </w:rPr>
              <w:t>0</w:t>
            </w:r>
            <w:r w:rsidRPr="001A3BA0">
              <w:rPr>
                <w:rFonts w:ascii="Times New Roman" w:hAnsi="Times New Roman" w:cs="Times New Roman"/>
                <w:sz w:val="20"/>
                <w:szCs w:val="20"/>
              </w:rPr>
              <w:t>.</w:t>
            </w:r>
          </w:p>
        </w:tc>
        <w:tc>
          <w:tcPr>
            <w:tcW w:w="4388" w:type="dxa"/>
          </w:tcPr>
          <w:p w14:paraId="1DA467FA"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Todas as regiões precisam intensificar seus esforços na mitigação e adaptação às mudanças climáticas para garantir um futuro sustentável para todos.</w:t>
            </w:r>
            <w:r>
              <w:rPr>
                <w:rFonts w:ascii="Times New Roman" w:hAnsi="Times New Roman" w:cs="Times New Roman"/>
                <w:sz w:val="20"/>
                <w:szCs w:val="20"/>
              </w:rPr>
              <w:t xml:space="preserve"> Norte e Centro-Oeste apresentam notas quase 20 abaixo das demais regiões. </w:t>
            </w:r>
          </w:p>
        </w:tc>
      </w:tr>
      <w:tr w:rsidR="00643591" w:rsidRPr="001A3BA0" w14:paraId="5A3EF41F" w14:textId="77777777" w:rsidTr="00643591">
        <w:tc>
          <w:tcPr>
            <w:tcW w:w="1696" w:type="dxa"/>
          </w:tcPr>
          <w:p w14:paraId="7167AB58"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15 - Vida Terrestre</w:t>
            </w:r>
          </w:p>
        </w:tc>
        <w:tc>
          <w:tcPr>
            <w:tcW w:w="2410" w:type="dxa"/>
          </w:tcPr>
          <w:p w14:paraId="3125353F" w14:textId="3E9B034F"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Norte</w:t>
            </w:r>
            <w:r w:rsidRPr="001A3BA0">
              <w:rPr>
                <w:rFonts w:ascii="Times New Roman" w:hAnsi="Times New Roman" w:cs="Times New Roman"/>
                <w:sz w:val="20"/>
                <w:szCs w:val="20"/>
              </w:rPr>
              <w:t xml:space="preserve"> lidera com </w:t>
            </w:r>
            <w:r>
              <w:rPr>
                <w:rFonts w:ascii="Times New Roman" w:hAnsi="Times New Roman" w:cs="Times New Roman"/>
                <w:sz w:val="20"/>
                <w:szCs w:val="20"/>
              </w:rPr>
              <w:t>31,3</w:t>
            </w:r>
            <w:r w:rsidR="00D62918">
              <w:rPr>
                <w:rFonts w:ascii="Times New Roman" w:hAnsi="Times New Roman" w:cs="Times New Roman"/>
                <w:sz w:val="20"/>
                <w:szCs w:val="20"/>
              </w:rPr>
              <w:t>7</w:t>
            </w:r>
            <w:r w:rsidRPr="001A3BA0">
              <w:rPr>
                <w:rFonts w:ascii="Times New Roman" w:hAnsi="Times New Roman" w:cs="Times New Roman"/>
                <w:sz w:val="20"/>
                <w:szCs w:val="20"/>
              </w:rPr>
              <w:t xml:space="preserve">, enquanto o </w:t>
            </w:r>
            <w:proofErr w:type="gramStart"/>
            <w:r>
              <w:rPr>
                <w:rFonts w:ascii="Times New Roman" w:hAnsi="Times New Roman" w:cs="Times New Roman"/>
                <w:sz w:val="20"/>
                <w:szCs w:val="20"/>
              </w:rPr>
              <w:t>nordeste</w:t>
            </w:r>
            <w:proofErr w:type="gramEnd"/>
            <w:r w:rsidRPr="001A3BA0">
              <w:rPr>
                <w:rFonts w:ascii="Times New Roman" w:hAnsi="Times New Roman" w:cs="Times New Roman"/>
                <w:sz w:val="20"/>
                <w:szCs w:val="20"/>
              </w:rPr>
              <w:t xml:space="preserve"> tem a </w:t>
            </w:r>
            <w:r>
              <w:rPr>
                <w:rFonts w:ascii="Times New Roman" w:hAnsi="Times New Roman" w:cs="Times New Roman"/>
                <w:sz w:val="20"/>
                <w:szCs w:val="20"/>
              </w:rPr>
              <w:t>menor</w:t>
            </w:r>
            <w:r w:rsidRPr="001A3BA0">
              <w:rPr>
                <w:rFonts w:ascii="Times New Roman" w:hAnsi="Times New Roman" w:cs="Times New Roman"/>
                <w:sz w:val="20"/>
                <w:szCs w:val="20"/>
              </w:rPr>
              <w:t xml:space="preserve"> média, </w:t>
            </w:r>
            <w:r w:rsidR="00D62918">
              <w:rPr>
                <w:rFonts w:ascii="Times New Roman" w:hAnsi="Times New Roman" w:cs="Times New Roman"/>
                <w:sz w:val="20"/>
                <w:szCs w:val="20"/>
              </w:rPr>
              <w:t>18,33</w:t>
            </w:r>
            <w:r w:rsidRPr="001A3BA0">
              <w:rPr>
                <w:rFonts w:ascii="Times New Roman" w:hAnsi="Times New Roman" w:cs="Times New Roman"/>
                <w:sz w:val="20"/>
                <w:szCs w:val="20"/>
              </w:rPr>
              <w:t>.</w:t>
            </w:r>
          </w:p>
        </w:tc>
        <w:tc>
          <w:tcPr>
            <w:tcW w:w="4388" w:type="dxa"/>
          </w:tcPr>
          <w:p w14:paraId="7B788979" w14:textId="0EF327A4"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 xml:space="preserve">Todas as regiões estão abaixo </w:t>
            </w:r>
            <w:r w:rsidR="00D62918">
              <w:rPr>
                <w:rFonts w:ascii="Times New Roman" w:hAnsi="Times New Roman" w:cs="Times New Roman"/>
                <w:sz w:val="20"/>
                <w:szCs w:val="20"/>
              </w:rPr>
              <w:t>ou próximas de 30</w:t>
            </w:r>
            <w:r w:rsidRPr="001A3BA0">
              <w:rPr>
                <w:rFonts w:ascii="Times New Roman" w:hAnsi="Times New Roman" w:cs="Times New Roman"/>
                <w:sz w:val="20"/>
                <w:szCs w:val="20"/>
              </w:rPr>
              <w:t>, destacando a necessidade de conservação e uso sustentável da biodiversidade em todo o país.</w:t>
            </w:r>
            <w:r>
              <w:rPr>
                <w:rFonts w:ascii="Times New Roman" w:hAnsi="Times New Roman" w:cs="Times New Roman"/>
                <w:sz w:val="20"/>
                <w:szCs w:val="20"/>
              </w:rPr>
              <w:t xml:space="preserve"> 2ª. ODS de menor média geral e maior amplitude entre as regiões.</w:t>
            </w:r>
          </w:p>
        </w:tc>
      </w:tr>
      <w:tr w:rsidR="00643591" w:rsidRPr="001A3BA0" w14:paraId="69021114" w14:textId="77777777" w:rsidTr="00643591">
        <w:trPr>
          <w:trHeight w:val="781"/>
        </w:trPr>
        <w:tc>
          <w:tcPr>
            <w:tcW w:w="1696" w:type="dxa"/>
          </w:tcPr>
          <w:p w14:paraId="3C282B32"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16 - Paz, Justiça e Instituições Eficazes</w:t>
            </w:r>
          </w:p>
        </w:tc>
        <w:tc>
          <w:tcPr>
            <w:tcW w:w="2410" w:type="dxa"/>
          </w:tcPr>
          <w:p w14:paraId="6C0DE026" w14:textId="12975CF9"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w:t>
            </w:r>
            <w:r>
              <w:rPr>
                <w:rFonts w:ascii="Times New Roman" w:hAnsi="Times New Roman" w:cs="Times New Roman"/>
                <w:sz w:val="20"/>
                <w:szCs w:val="20"/>
              </w:rPr>
              <w:t xml:space="preserve">l </w:t>
            </w:r>
            <w:r w:rsidRPr="001A3BA0">
              <w:rPr>
                <w:rFonts w:ascii="Times New Roman" w:hAnsi="Times New Roman" w:cs="Times New Roman"/>
                <w:sz w:val="20"/>
                <w:szCs w:val="20"/>
              </w:rPr>
              <w:t xml:space="preserve">lidera com </w:t>
            </w:r>
            <w:r>
              <w:rPr>
                <w:rFonts w:ascii="Times New Roman" w:hAnsi="Times New Roman" w:cs="Times New Roman"/>
                <w:sz w:val="20"/>
                <w:szCs w:val="20"/>
              </w:rPr>
              <w:t>65,1</w:t>
            </w:r>
            <w:r w:rsidR="00D62918">
              <w:rPr>
                <w:rFonts w:ascii="Times New Roman" w:hAnsi="Times New Roman" w:cs="Times New Roman"/>
                <w:sz w:val="20"/>
                <w:szCs w:val="20"/>
              </w:rPr>
              <w:t>3</w:t>
            </w:r>
            <w:r w:rsidRPr="001A3BA0">
              <w:rPr>
                <w:rFonts w:ascii="Times New Roman" w:hAnsi="Times New Roman" w:cs="Times New Roman"/>
                <w:sz w:val="20"/>
                <w:szCs w:val="20"/>
              </w:rPr>
              <w:t>, seguido pelo Su</w:t>
            </w:r>
            <w:r>
              <w:rPr>
                <w:rFonts w:ascii="Times New Roman" w:hAnsi="Times New Roman" w:cs="Times New Roman"/>
                <w:sz w:val="20"/>
                <w:szCs w:val="20"/>
              </w:rPr>
              <w:t>deste</w:t>
            </w:r>
            <w:r w:rsidRPr="001A3BA0">
              <w:rPr>
                <w:rFonts w:ascii="Times New Roman" w:hAnsi="Times New Roman" w:cs="Times New Roman"/>
                <w:sz w:val="20"/>
                <w:szCs w:val="20"/>
              </w:rPr>
              <w:t xml:space="preserve"> com </w:t>
            </w:r>
            <w:r>
              <w:rPr>
                <w:rFonts w:ascii="Times New Roman" w:hAnsi="Times New Roman" w:cs="Times New Roman"/>
                <w:sz w:val="20"/>
                <w:szCs w:val="20"/>
              </w:rPr>
              <w:t>63,7</w:t>
            </w:r>
            <w:r w:rsidR="00D62918">
              <w:rPr>
                <w:rFonts w:ascii="Times New Roman" w:hAnsi="Times New Roman" w:cs="Times New Roman"/>
                <w:sz w:val="20"/>
                <w:szCs w:val="20"/>
              </w:rPr>
              <w:t>6</w:t>
            </w:r>
            <w:r w:rsidRPr="001A3BA0">
              <w:rPr>
                <w:rFonts w:ascii="Times New Roman" w:hAnsi="Times New Roman" w:cs="Times New Roman"/>
                <w:sz w:val="20"/>
                <w:szCs w:val="20"/>
              </w:rPr>
              <w:t>.</w:t>
            </w:r>
          </w:p>
        </w:tc>
        <w:tc>
          <w:tcPr>
            <w:tcW w:w="4388" w:type="dxa"/>
          </w:tcPr>
          <w:p w14:paraId="6B5CFA7A"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Apesar das médias relativamente altas, todas as regiões enfrentam desafios relacionados à promoção de sociedades pacíficas, justas e inclusivas.</w:t>
            </w:r>
            <w:r>
              <w:rPr>
                <w:rFonts w:ascii="Times New Roman" w:hAnsi="Times New Roman" w:cs="Times New Roman"/>
                <w:sz w:val="20"/>
                <w:szCs w:val="20"/>
              </w:rPr>
              <w:t xml:space="preserve"> Pelos resultados Norte e Nordeste apresentam os maiores desafios.</w:t>
            </w:r>
          </w:p>
        </w:tc>
      </w:tr>
      <w:tr w:rsidR="00643591" w:rsidRPr="001A3BA0" w14:paraId="179A2FE2" w14:textId="77777777" w:rsidTr="00643591">
        <w:tc>
          <w:tcPr>
            <w:tcW w:w="1696" w:type="dxa"/>
          </w:tcPr>
          <w:p w14:paraId="0F5628BA" w14:textId="77777777"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ODS 17 - Parcerias e Meios de Implementação</w:t>
            </w:r>
          </w:p>
        </w:tc>
        <w:tc>
          <w:tcPr>
            <w:tcW w:w="2410" w:type="dxa"/>
          </w:tcPr>
          <w:p w14:paraId="77650FBB" w14:textId="3F30CF11" w:rsidR="00643591" w:rsidRPr="001A3BA0" w:rsidRDefault="00643591" w:rsidP="001C1D40">
            <w:pPr>
              <w:rPr>
                <w:rFonts w:ascii="Times New Roman" w:hAnsi="Times New Roman" w:cs="Times New Roman"/>
                <w:sz w:val="20"/>
                <w:szCs w:val="20"/>
              </w:rPr>
            </w:pPr>
            <w:r w:rsidRPr="001A3BA0">
              <w:rPr>
                <w:rFonts w:ascii="Times New Roman" w:hAnsi="Times New Roman" w:cs="Times New Roman"/>
                <w:sz w:val="20"/>
                <w:szCs w:val="20"/>
              </w:rPr>
              <w:t>Sul apresenta a melhor média, 20,</w:t>
            </w:r>
            <w:r w:rsidR="00D62918">
              <w:rPr>
                <w:rFonts w:ascii="Times New Roman" w:hAnsi="Times New Roman" w:cs="Times New Roman"/>
                <w:sz w:val="20"/>
                <w:szCs w:val="20"/>
              </w:rPr>
              <w:t>37</w:t>
            </w:r>
            <w:r w:rsidRPr="001A3BA0">
              <w:rPr>
                <w:rFonts w:ascii="Times New Roman" w:hAnsi="Times New Roman" w:cs="Times New Roman"/>
                <w:sz w:val="20"/>
                <w:szCs w:val="20"/>
              </w:rPr>
              <w:t>, enquanto o Nordeste tem a pior média, 8,20.</w:t>
            </w:r>
          </w:p>
        </w:tc>
        <w:tc>
          <w:tcPr>
            <w:tcW w:w="4388" w:type="dxa"/>
          </w:tcPr>
          <w:p w14:paraId="7B19608E" w14:textId="77777777" w:rsidR="00643591" w:rsidRPr="001A3BA0" w:rsidRDefault="00643591" w:rsidP="001C1D40">
            <w:pPr>
              <w:rPr>
                <w:rFonts w:ascii="Times New Roman" w:hAnsi="Times New Roman" w:cs="Times New Roman"/>
                <w:sz w:val="20"/>
                <w:szCs w:val="20"/>
              </w:rPr>
            </w:pPr>
            <w:r>
              <w:rPr>
                <w:rFonts w:ascii="Times New Roman" w:hAnsi="Times New Roman" w:cs="Times New Roman"/>
                <w:sz w:val="20"/>
                <w:szCs w:val="20"/>
              </w:rPr>
              <w:t xml:space="preserve">De todos é o ODS com menor nota entre as regiões. </w:t>
            </w:r>
            <w:r w:rsidRPr="001A3BA0">
              <w:rPr>
                <w:rFonts w:ascii="Times New Roman" w:hAnsi="Times New Roman" w:cs="Times New Roman"/>
                <w:sz w:val="20"/>
                <w:szCs w:val="20"/>
              </w:rPr>
              <w:t xml:space="preserve">Todas as regiões estão abaixo </w:t>
            </w:r>
            <w:r>
              <w:rPr>
                <w:rFonts w:ascii="Times New Roman" w:hAnsi="Times New Roman" w:cs="Times New Roman"/>
                <w:sz w:val="20"/>
                <w:szCs w:val="20"/>
              </w:rPr>
              <w:t>ou próximo de 20</w:t>
            </w:r>
            <w:r w:rsidRPr="001A3BA0">
              <w:rPr>
                <w:rFonts w:ascii="Times New Roman" w:hAnsi="Times New Roman" w:cs="Times New Roman"/>
                <w:sz w:val="20"/>
                <w:szCs w:val="20"/>
              </w:rPr>
              <w:t xml:space="preserve">, destacando a necessidade </w:t>
            </w:r>
            <w:r>
              <w:rPr>
                <w:rFonts w:ascii="Times New Roman" w:hAnsi="Times New Roman" w:cs="Times New Roman"/>
                <w:sz w:val="20"/>
                <w:szCs w:val="20"/>
              </w:rPr>
              <w:t xml:space="preserve">urgente </w:t>
            </w:r>
            <w:r w:rsidRPr="001A3BA0">
              <w:rPr>
                <w:rFonts w:ascii="Times New Roman" w:hAnsi="Times New Roman" w:cs="Times New Roman"/>
                <w:sz w:val="20"/>
                <w:szCs w:val="20"/>
              </w:rPr>
              <w:t>de fortalecer parcerias globais e garantir meios eficazes de implementação para alcançar os ODS.</w:t>
            </w:r>
          </w:p>
        </w:tc>
      </w:tr>
    </w:tbl>
    <w:p w14:paraId="01F39D73" w14:textId="77777777" w:rsidR="00E31C01" w:rsidRDefault="00E31C01" w:rsidP="00E31C01"/>
    <w:p w14:paraId="79EBED03" w14:textId="6A0351A6" w:rsidR="00E31C01" w:rsidRDefault="00E31C01" w:rsidP="00A35CF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A35CF4">
        <w:rPr>
          <w:rFonts w:eastAsiaTheme="minorHAnsi"/>
          <w:kern w:val="2"/>
          <w:lang w:eastAsia="en-US"/>
          <w14:ligatures w14:val="standardContextual"/>
        </w:rPr>
        <w:t>A análise revela a heterogeneidade do progresso em direção aos ODS no Brasil, com regiões apresentando pontos fortes em algumas áreas e desafios em outras. Enquanto algumas regiões demonstram desempenho acima da média nacional em certos ODS, como é o caso do Sul em Cidades e Comunidades Sustentáveis (7</w:t>
      </w:r>
      <w:r w:rsidR="00CB7FD0">
        <w:rPr>
          <w:rFonts w:eastAsiaTheme="minorHAnsi"/>
          <w:kern w:val="2"/>
          <w:lang w:eastAsia="en-US"/>
          <w14:ligatures w14:val="standardContextual"/>
        </w:rPr>
        <w:t>3,93</w:t>
      </w:r>
      <w:r w:rsidRPr="00A35CF4">
        <w:rPr>
          <w:rFonts w:eastAsiaTheme="minorHAnsi"/>
          <w:kern w:val="2"/>
          <w:lang w:eastAsia="en-US"/>
          <w14:ligatures w14:val="standardContextual"/>
        </w:rPr>
        <w:t>), outras enfrentam dificuldades significativas, como o Nor</w:t>
      </w:r>
      <w:r w:rsidR="00CB7FD0">
        <w:rPr>
          <w:rFonts w:eastAsiaTheme="minorHAnsi"/>
          <w:kern w:val="2"/>
          <w:lang w:eastAsia="en-US"/>
          <w14:ligatures w14:val="standardContextual"/>
        </w:rPr>
        <w:t>deste</w:t>
      </w:r>
      <w:r w:rsidRPr="00A35CF4">
        <w:rPr>
          <w:rFonts w:eastAsiaTheme="minorHAnsi"/>
          <w:kern w:val="2"/>
          <w:lang w:eastAsia="en-US"/>
          <w14:ligatures w14:val="standardContextual"/>
        </w:rPr>
        <w:t xml:space="preserve"> em Parcerias e Meios de Implementação (</w:t>
      </w:r>
      <w:r w:rsidR="00CB7FD0">
        <w:rPr>
          <w:rFonts w:eastAsiaTheme="minorHAnsi"/>
          <w:kern w:val="2"/>
          <w:lang w:eastAsia="en-US"/>
          <w14:ligatures w14:val="standardContextual"/>
        </w:rPr>
        <w:t>8,20</w:t>
      </w:r>
      <w:r w:rsidRPr="00A35CF4">
        <w:rPr>
          <w:rFonts w:eastAsiaTheme="minorHAnsi"/>
          <w:kern w:val="2"/>
          <w:lang w:eastAsia="en-US"/>
          <w14:ligatures w14:val="standardContextual"/>
        </w:rPr>
        <w:t xml:space="preserve">). Essas discrepâncias ressaltam a necessidade de abordagens específicas e </w:t>
      </w:r>
      <w:r w:rsidRPr="00A35CF4">
        <w:rPr>
          <w:rFonts w:eastAsiaTheme="minorHAnsi"/>
          <w:kern w:val="2"/>
          <w:lang w:eastAsia="en-US"/>
          <w14:ligatures w14:val="standardContextual"/>
        </w:rPr>
        <w:lastRenderedPageBreak/>
        <w:t>investimentos direcionados para atender às necessidades únicas de cada região, garantindo assim um progresso mais equitativo em direção aos ODS em todo o país.</w:t>
      </w:r>
    </w:p>
    <w:p w14:paraId="20E6E94C" w14:textId="1EA3775B" w:rsidR="00EC70CB" w:rsidRPr="00A35CF4" w:rsidRDefault="00EF72EF" w:rsidP="00A35CF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782662">
        <w:rPr>
          <w:rFonts w:eastAsiaTheme="minorHAnsi"/>
          <w:kern w:val="2"/>
          <w:lang w:eastAsia="en-US"/>
          <w14:ligatures w14:val="standardContextual"/>
        </w:rPr>
        <w:t xml:space="preserve">Considerando os ODS apresentados nas Tabelas 3 e 4, </w:t>
      </w:r>
      <w:proofErr w:type="gramStart"/>
      <w:r w:rsidRPr="00782662">
        <w:rPr>
          <w:rFonts w:eastAsiaTheme="minorHAnsi"/>
          <w:kern w:val="2"/>
          <w:lang w:eastAsia="en-US"/>
          <w14:ligatures w14:val="standardContextual"/>
        </w:rPr>
        <w:t>Su</w:t>
      </w:r>
      <w:r w:rsidR="00CB7FD0" w:rsidRPr="00782662">
        <w:rPr>
          <w:rFonts w:eastAsiaTheme="minorHAnsi"/>
          <w:kern w:val="2"/>
          <w:lang w:eastAsia="en-US"/>
          <w14:ligatures w14:val="standardContextual"/>
        </w:rPr>
        <w:t>deste</w:t>
      </w:r>
      <w:proofErr w:type="gramEnd"/>
      <w:r w:rsidR="00CB7FD0" w:rsidRPr="00782662">
        <w:rPr>
          <w:rFonts w:eastAsiaTheme="minorHAnsi"/>
          <w:kern w:val="2"/>
          <w:lang w:eastAsia="en-US"/>
          <w14:ligatures w14:val="standardContextual"/>
        </w:rPr>
        <w:t xml:space="preserve"> e Sul</w:t>
      </w:r>
      <w:r w:rsidRPr="00782662">
        <w:rPr>
          <w:rFonts w:eastAsiaTheme="minorHAnsi"/>
          <w:kern w:val="2"/>
          <w:lang w:eastAsia="en-US"/>
          <w14:ligatures w14:val="standardContextual"/>
        </w:rPr>
        <w:t xml:space="preserve"> possuem as maiores médias</w:t>
      </w:r>
      <w:r w:rsidR="00CF5935" w:rsidRPr="00782662">
        <w:rPr>
          <w:rFonts w:eastAsiaTheme="minorHAnsi"/>
          <w:kern w:val="2"/>
          <w:lang w:eastAsia="en-US"/>
          <w14:ligatures w14:val="standardContextual"/>
        </w:rPr>
        <w:t xml:space="preserve"> gerais</w:t>
      </w:r>
      <w:r w:rsidRPr="00782662">
        <w:rPr>
          <w:rFonts w:eastAsiaTheme="minorHAnsi"/>
          <w:kern w:val="2"/>
          <w:lang w:eastAsia="en-US"/>
          <w14:ligatures w14:val="standardContextual"/>
        </w:rPr>
        <w:t xml:space="preserve"> com </w:t>
      </w:r>
      <w:r w:rsidR="00CB7FD0" w:rsidRPr="00782662">
        <w:rPr>
          <w:rFonts w:eastAsiaTheme="minorHAnsi"/>
          <w:kern w:val="2"/>
          <w:lang w:eastAsia="en-US"/>
          <w14:ligatures w14:val="standardContextual"/>
        </w:rPr>
        <w:t>52,62 e</w:t>
      </w:r>
      <w:r w:rsidR="00433DF7" w:rsidRPr="00782662">
        <w:rPr>
          <w:rFonts w:eastAsiaTheme="minorHAnsi"/>
          <w:kern w:val="2"/>
          <w:lang w:eastAsia="en-US"/>
          <w14:ligatures w14:val="standardContextual"/>
        </w:rPr>
        <w:t xml:space="preserve"> </w:t>
      </w:r>
      <w:r w:rsidR="00CB7FD0" w:rsidRPr="00782662">
        <w:rPr>
          <w:rFonts w:eastAsiaTheme="minorHAnsi"/>
          <w:kern w:val="2"/>
          <w:lang w:eastAsia="en-US"/>
          <w14:ligatures w14:val="standardContextual"/>
        </w:rPr>
        <w:t>52,24</w:t>
      </w:r>
      <w:r w:rsidRPr="00782662">
        <w:rPr>
          <w:rFonts w:eastAsiaTheme="minorHAnsi"/>
          <w:kern w:val="2"/>
          <w:lang w:eastAsia="en-US"/>
          <w14:ligatures w14:val="standardContextual"/>
        </w:rPr>
        <w:t xml:space="preserve"> respectivamente. O </w:t>
      </w:r>
      <w:r w:rsidR="00CB7FD0" w:rsidRPr="00782662">
        <w:rPr>
          <w:rFonts w:eastAsiaTheme="minorHAnsi"/>
          <w:kern w:val="2"/>
          <w:lang w:eastAsia="en-US"/>
          <w14:ligatures w14:val="standardContextual"/>
        </w:rPr>
        <w:t>Centro-Oeste</w:t>
      </w:r>
      <w:r w:rsidRPr="00782662">
        <w:rPr>
          <w:rFonts w:eastAsiaTheme="minorHAnsi"/>
          <w:kern w:val="2"/>
          <w:lang w:eastAsia="en-US"/>
          <w14:ligatures w14:val="standardContextual"/>
        </w:rPr>
        <w:t xml:space="preserve"> aparece com 48,</w:t>
      </w:r>
      <w:r w:rsidR="00CB7FD0" w:rsidRPr="00782662">
        <w:rPr>
          <w:rFonts w:eastAsiaTheme="minorHAnsi"/>
          <w:kern w:val="2"/>
          <w:lang w:eastAsia="en-US"/>
          <w14:ligatures w14:val="standardContextual"/>
        </w:rPr>
        <w:t>76</w:t>
      </w:r>
      <w:r w:rsidRPr="00782662">
        <w:rPr>
          <w:rFonts w:eastAsiaTheme="minorHAnsi"/>
          <w:kern w:val="2"/>
          <w:lang w:eastAsia="en-US"/>
          <w14:ligatures w14:val="standardContextual"/>
        </w:rPr>
        <w:t xml:space="preserve">, na </w:t>
      </w:r>
      <w:r w:rsidR="00CB7FD0" w:rsidRPr="00782662">
        <w:rPr>
          <w:rFonts w:eastAsiaTheme="minorHAnsi"/>
          <w:kern w:val="2"/>
          <w:lang w:eastAsia="en-US"/>
          <w14:ligatures w14:val="standardContextual"/>
        </w:rPr>
        <w:t>terceira</w:t>
      </w:r>
      <w:r w:rsidRPr="00782662">
        <w:rPr>
          <w:rFonts w:eastAsiaTheme="minorHAnsi"/>
          <w:kern w:val="2"/>
          <w:lang w:eastAsia="en-US"/>
          <w14:ligatures w14:val="standardContextual"/>
        </w:rPr>
        <w:t xml:space="preserve"> posição. Já </w:t>
      </w:r>
      <w:r w:rsidR="00CB7FD0" w:rsidRPr="00782662">
        <w:rPr>
          <w:rFonts w:eastAsiaTheme="minorHAnsi"/>
          <w:kern w:val="2"/>
          <w:lang w:eastAsia="en-US"/>
          <w14:ligatures w14:val="standardContextual"/>
        </w:rPr>
        <w:t xml:space="preserve">Nordeste e Norte </w:t>
      </w:r>
      <w:r w:rsidRPr="00782662">
        <w:rPr>
          <w:rFonts w:eastAsiaTheme="minorHAnsi"/>
          <w:kern w:val="2"/>
          <w:lang w:eastAsia="en-US"/>
          <w14:ligatures w14:val="standardContextual"/>
        </w:rPr>
        <w:t>ocupa</w:t>
      </w:r>
      <w:r w:rsidR="00CB7FD0" w:rsidRPr="00782662">
        <w:rPr>
          <w:rFonts w:eastAsiaTheme="minorHAnsi"/>
          <w:kern w:val="2"/>
          <w:lang w:eastAsia="en-US"/>
          <w14:ligatures w14:val="standardContextual"/>
        </w:rPr>
        <w:t>m</w:t>
      </w:r>
      <w:r w:rsidRPr="00782662">
        <w:rPr>
          <w:rFonts w:eastAsiaTheme="minorHAnsi"/>
          <w:kern w:val="2"/>
          <w:lang w:eastAsia="en-US"/>
          <w14:ligatures w14:val="standardContextual"/>
        </w:rPr>
        <w:t xml:space="preserve"> a</w:t>
      </w:r>
      <w:r w:rsidR="00CB7FD0" w:rsidRPr="00782662">
        <w:rPr>
          <w:rFonts w:eastAsiaTheme="minorHAnsi"/>
          <w:kern w:val="2"/>
          <w:lang w:eastAsia="en-US"/>
          <w14:ligatures w14:val="standardContextual"/>
        </w:rPr>
        <w:t>s</w:t>
      </w:r>
      <w:r w:rsidRPr="00782662">
        <w:rPr>
          <w:rFonts w:eastAsiaTheme="minorHAnsi"/>
          <w:kern w:val="2"/>
          <w:lang w:eastAsia="en-US"/>
          <w14:ligatures w14:val="standardContextual"/>
        </w:rPr>
        <w:t xml:space="preserve"> </w:t>
      </w:r>
      <w:r w:rsidR="00433DF7" w:rsidRPr="00782662">
        <w:rPr>
          <w:rFonts w:eastAsiaTheme="minorHAnsi"/>
          <w:kern w:val="2"/>
          <w:lang w:eastAsia="en-US"/>
          <w14:ligatures w14:val="standardContextual"/>
        </w:rPr>
        <w:t>ú</w:t>
      </w:r>
      <w:r w:rsidRPr="00782662">
        <w:rPr>
          <w:rFonts w:eastAsiaTheme="minorHAnsi"/>
          <w:kern w:val="2"/>
          <w:lang w:eastAsia="en-US"/>
          <w14:ligatures w14:val="standardContextual"/>
        </w:rPr>
        <w:t>ltima</w:t>
      </w:r>
      <w:r w:rsidR="00CB7FD0" w:rsidRPr="00782662">
        <w:rPr>
          <w:rFonts w:eastAsiaTheme="minorHAnsi"/>
          <w:kern w:val="2"/>
          <w:lang w:eastAsia="en-US"/>
          <w14:ligatures w14:val="standardContextual"/>
        </w:rPr>
        <w:t>s</w:t>
      </w:r>
      <w:r w:rsidRPr="00782662">
        <w:rPr>
          <w:rFonts w:eastAsiaTheme="minorHAnsi"/>
          <w:kern w:val="2"/>
          <w:lang w:eastAsia="en-US"/>
          <w14:ligatures w14:val="standardContextual"/>
        </w:rPr>
        <w:t xml:space="preserve"> posi</w:t>
      </w:r>
      <w:r w:rsidR="00CB7FD0" w:rsidRPr="00782662">
        <w:rPr>
          <w:rFonts w:eastAsiaTheme="minorHAnsi"/>
          <w:kern w:val="2"/>
          <w:lang w:eastAsia="en-US"/>
          <w14:ligatures w14:val="standardContextual"/>
        </w:rPr>
        <w:t>ções</w:t>
      </w:r>
      <w:r w:rsidRPr="00782662">
        <w:rPr>
          <w:rFonts w:eastAsiaTheme="minorHAnsi"/>
          <w:kern w:val="2"/>
          <w:lang w:eastAsia="en-US"/>
          <w14:ligatures w14:val="standardContextual"/>
        </w:rPr>
        <w:t xml:space="preserve">, com </w:t>
      </w:r>
      <w:r w:rsidR="00CB7FD0" w:rsidRPr="00782662">
        <w:rPr>
          <w:rFonts w:eastAsiaTheme="minorHAnsi"/>
          <w:kern w:val="2"/>
          <w:lang w:eastAsia="en-US"/>
          <w14:ligatures w14:val="standardContextual"/>
        </w:rPr>
        <w:t>44,34 e 41,95, respectivamente</w:t>
      </w:r>
      <w:r w:rsidRPr="00782662">
        <w:rPr>
          <w:rFonts w:eastAsiaTheme="minorHAnsi"/>
          <w:kern w:val="2"/>
          <w:lang w:eastAsia="en-US"/>
          <w14:ligatures w14:val="standardContextual"/>
        </w:rPr>
        <w:t xml:space="preserve">. Tais valores levam a uma </w:t>
      </w:r>
      <w:r w:rsidR="00CF5935" w:rsidRPr="00782662">
        <w:rPr>
          <w:rFonts w:eastAsiaTheme="minorHAnsi"/>
          <w:kern w:val="2"/>
          <w:lang w:eastAsia="en-US"/>
          <w14:ligatures w14:val="standardContextual"/>
        </w:rPr>
        <w:t>pontuação geral</w:t>
      </w:r>
      <w:r w:rsidRPr="00782662">
        <w:rPr>
          <w:rFonts w:eastAsiaTheme="minorHAnsi"/>
          <w:kern w:val="2"/>
          <w:lang w:eastAsia="en-US"/>
          <w14:ligatures w14:val="standardContextual"/>
        </w:rPr>
        <w:t xml:space="preserve"> para o país de 48,</w:t>
      </w:r>
      <w:r w:rsidR="00CB7FD0" w:rsidRPr="00782662">
        <w:rPr>
          <w:rFonts w:eastAsiaTheme="minorHAnsi"/>
          <w:kern w:val="2"/>
          <w:lang w:eastAsia="en-US"/>
          <w14:ligatures w14:val="standardContextual"/>
        </w:rPr>
        <w:t>70</w:t>
      </w:r>
      <w:r w:rsidR="00CF5935" w:rsidRPr="00782662">
        <w:rPr>
          <w:rFonts w:eastAsiaTheme="minorHAnsi"/>
          <w:kern w:val="2"/>
          <w:lang w:eastAsia="en-US"/>
          <w14:ligatures w14:val="standardContextual"/>
        </w:rPr>
        <w:t xml:space="preserve">, que em uma escala de 0 a 100, situa-se na faixa de baixo desenvolvimento (40 a 49,99), o que demonstra os grandes desafios a serem superados pelo país no desenvolvimento sustentável de seus municípios. </w:t>
      </w:r>
      <w:r w:rsidR="007D1FE5" w:rsidRPr="00782662">
        <w:rPr>
          <w:rFonts w:eastAsiaTheme="minorHAnsi"/>
          <w:kern w:val="2"/>
          <w:lang w:eastAsia="en-US"/>
          <w14:ligatures w14:val="standardContextual"/>
        </w:rPr>
        <w:t>De posse dos dados da média geral dos ODS</w:t>
      </w:r>
      <w:r w:rsidR="00CB7FD0" w:rsidRPr="00782662">
        <w:rPr>
          <w:rFonts w:eastAsiaTheme="minorHAnsi"/>
          <w:kern w:val="2"/>
          <w:lang w:eastAsia="en-US"/>
          <w14:ligatures w14:val="standardContextual"/>
        </w:rPr>
        <w:t xml:space="preserve"> por municípios</w:t>
      </w:r>
      <w:r w:rsidR="007D1FE5" w:rsidRPr="00782662">
        <w:rPr>
          <w:rFonts w:eastAsiaTheme="minorHAnsi"/>
          <w:kern w:val="2"/>
          <w:lang w:eastAsia="en-US"/>
          <w14:ligatures w14:val="standardContextual"/>
        </w:rPr>
        <w:t xml:space="preserve">, pode-se comprovar </w:t>
      </w:r>
      <w:r w:rsidR="007D1FE5" w:rsidRPr="00782662">
        <w:t xml:space="preserve">por meio do teste de Kruskal-Wallis que o resultado dos ODS por </w:t>
      </w:r>
      <w:r w:rsidR="00782662" w:rsidRPr="00782662">
        <w:t xml:space="preserve">Região (p-value = 0.000), </w:t>
      </w:r>
      <w:r w:rsidR="007D1FE5" w:rsidRPr="00782662">
        <w:t>Estado (p-value = 0.000) e Hierarquia (p-value = 0.000) possuem diferenças estatisticamente significativas entre as medianas desses grupos.</w:t>
      </w:r>
      <w:r w:rsidR="007D1FE5">
        <w:t xml:space="preserve">  </w:t>
      </w:r>
    </w:p>
    <w:p w14:paraId="3E0AAE65" w14:textId="02724D23" w:rsidR="005A3D59" w:rsidRDefault="005A3D59" w:rsidP="005A3D59">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As análises conduzidas até este momento são baseadas em indicadores médios tanto para insumos como para produtos. </w:t>
      </w:r>
      <w:r w:rsidRPr="00DC27B7">
        <w:rPr>
          <w:rFonts w:eastAsiaTheme="minorHAnsi"/>
          <w:kern w:val="2"/>
          <w:lang w:eastAsia="en-US"/>
          <w14:ligatures w14:val="standardContextual"/>
        </w:rPr>
        <w:t>Enquanto a média pode fornecer uma visão geral do desempenho dos municípios, a DEA permite uma avaliação mais detalhada da eficiência global do sistema, identificando quais municípios estão operando abaixo do seu potencial máximo e onde há espaço para melhorias</w:t>
      </w:r>
      <w:r>
        <w:rPr>
          <w:rFonts w:eastAsiaTheme="minorHAnsi"/>
          <w:kern w:val="2"/>
          <w:lang w:eastAsia="en-US"/>
          <w14:ligatures w14:val="standardContextual"/>
        </w:rPr>
        <w:t xml:space="preserve">.  </w:t>
      </w:r>
    </w:p>
    <w:p w14:paraId="6849BAA5" w14:textId="77777777" w:rsidR="005777F5" w:rsidRDefault="005777F5" w:rsidP="005A3D59">
      <w:pPr>
        <w:pStyle w:val="standard"/>
        <w:spacing w:before="0" w:beforeAutospacing="0" w:after="120" w:afterAutospacing="0" w:line="360" w:lineRule="auto"/>
        <w:ind w:right="-1" w:firstLine="708"/>
        <w:jc w:val="both"/>
        <w:rPr>
          <w:rFonts w:eastAsiaTheme="minorHAnsi"/>
          <w:kern w:val="2"/>
          <w:lang w:eastAsia="en-US"/>
          <w14:ligatures w14:val="standardContextual"/>
        </w:rPr>
      </w:pPr>
    </w:p>
    <w:p w14:paraId="1EBE9E52" w14:textId="45FE8595" w:rsidR="008577EA" w:rsidRPr="00DB6E3A" w:rsidRDefault="005A3D59" w:rsidP="008577EA">
      <w:pPr>
        <w:pStyle w:val="standard"/>
        <w:spacing w:before="0" w:beforeAutospacing="0" w:after="120" w:afterAutospacing="0" w:line="360" w:lineRule="auto"/>
        <w:ind w:right="-1"/>
        <w:jc w:val="both"/>
        <w:rPr>
          <w:rFonts w:eastAsiaTheme="minorHAnsi"/>
          <w:b/>
          <w:bCs/>
          <w:kern w:val="2"/>
          <w:lang w:eastAsia="en-US"/>
          <w14:ligatures w14:val="standardContextual"/>
        </w:rPr>
      </w:pPr>
      <w:r w:rsidRPr="00DB6E3A">
        <w:rPr>
          <w:rFonts w:eastAsiaTheme="minorHAnsi"/>
          <w:b/>
          <w:bCs/>
          <w:kern w:val="2"/>
          <w:lang w:eastAsia="en-US"/>
          <w14:ligatures w14:val="standardContextual"/>
        </w:rPr>
        <w:t xml:space="preserve">4.2 Aplicação do Modelo DEA </w:t>
      </w:r>
    </w:p>
    <w:p w14:paraId="63A123CA" w14:textId="5B84839D" w:rsidR="00DC27B7" w:rsidRPr="00DC27B7" w:rsidRDefault="00DC27B7" w:rsidP="0049446A">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DC27B7">
        <w:rPr>
          <w:rFonts w:eastAsiaTheme="minorHAnsi"/>
          <w:kern w:val="2"/>
          <w:lang w:eastAsia="en-US"/>
          <w14:ligatures w14:val="standardContextual"/>
        </w:rPr>
        <w:t xml:space="preserve">A DEA permite avaliar a eficiência relativa das unidades </w:t>
      </w:r>
      <w:r w:rsidR="005A3D59">
        <w:rPr>
          <w:rFonts w:eastAsiaTheme="minorHAnsi"/>
          <w:kern w:val="2"/>
          <w:lang w:eastAsia="en-US"/>
          <w14:ligatures w14:val="standardContextual"/>
        </w:rPr>
        <w:t>tomadoras de decisão</w:t>
      </w:r>
      <w:r w:rsidRPr="00DC27B7">
        <w:rPr>
          <w:rFonts w:eastAsiaTheme="minorHAnsi"/>
          <w:kern w:val="2"/>
          <w:lang w:eastAsia="en-US"/>
          <w14:ligatures w14:val="standardContextual"/>
        </w:rPr>
        <w:t xml:space="preserve"> (neste caso, os</w:t>
      </w:r>
      <w:r w:rsidR="00DB6E3A">
        <w:rPr>
          <w:rFonts w:eastAsiaTheme="minorHAnsi"/>
          <w:kern w:val="2"/>
          <w:lang w:eastAsia="en-US"/>
          <w14:ligatures w14:val="standardContextual"/>
        </w:rPr>
        <w:t xml:space="preserve"> 5</w:t>
      </w:r>
      <w:r w:rsidR="009C15AF">
        <w:rPr>
          <w:rFonts w:eastAsiaTheme="minorHAnsi"/>
          <w:kern w:val="2"/>
          <w:lang w:eastAsia="en-US"/>
          <w14:ligatures w14:val="standardContextual"/>
        </w:rPr>
        <w:t>393</w:t>
      </w:r>
      <w:r w:rsidRPr="00DC27B7">
        <w:rPr>
          <w:rFonts w:eastAsiaTheme="minorHAnsi"/>
          <w:kern w:val="2"/>
          <w:lang w:eastAsia="en-US"/>
          <w14:ligatures w14:val="standardContextual"/>
        </w:rPr>
        <w:t xml:space="preserve"> municípios) em relação aos inputs e outputs considerados. Em vez de simplesmente calcular uma média que pode mascarar as disparidades entre os municípios, a DEA permite identificar quais municípios estão utilizando seus recursos de forma mais eficiente para alcançar os resultados desejados em relação aos ODS.</w:t>
      </w:r>
    </w:p>
    <w:p w14:paraId="37E6EE33" w14:textId="66ECAB73" w:rsidR="00DC27B7" w:rsidRPr="00DC27B7" w:rsidRDefault="00DC27B7" w:rsidP="00F868ED">
      <w:pPr>
        <w:pStyle w:val="standard"/>
        <w:spacing w:before="0" w:beforeAutospacing="0" w:after="120" w:afterAutospacing="0" w:line="360" w:lineRule="auto"/>
        <w:ind w:firstLine="709"/>
        <w:jc w:val="both"/>
        <w:rPr>
          <w:rFonts w:eastAsiaTheme="minorHAnsi"/>
          <w:kern w:val="2"/>
          <w:lang w:eastAsia="en-US"/>
          <w14:ligatures w14:val="standardContextual"/>
        </w:rPr>
      </w:pPr>
      <w:r w:rsidRPr="00DC27B7">
        <w:rPr>
          <w:rFonts w:eastAsiaTheme="minorHAnsi"/>
          <w:kern w:val="2"/>
          <w:lang w:eastAsia="en-US"/>
          <w14:ligatures w14:val="standardContextual"/>
        </w:rPr>
        <w:t xml:space="preserve">Ao identificar os municípios que são mais eficientes na transformação de inputs (como o orçamento municipal) em outputs (resultados dos ODS), a DEA pode ajudar a identificar melhores práticas e estratégias que podem ser replicadas em outros lugares. Isso é especialmente importante considerando as disparidades regionais </w:t>
      </w:r>
      <w:r w:rsidR="00DB6E3A">
        <w:rPr>
          <w:rFonts w:eastAsiaTheme="minorHAnsi"/>
          <w:kern w:val="2"/>
          <w:lang w:eastAsia="en-US"/>
          <w14:ligatures w14:val="standardContextual"/>
        </w:rPr>
        <w:t>do país em questão</w:t>
      </w:r>
      <w:r w:rsidRPr="00DC27B7">
        <w:rPr>
          <w:rFonts w:eastAsiaTheme="minorHAnsi"/>
          <w:kern w:val="2"/>
          <w:lang w:eastAsia="en-US"/>
          <w14:ligatures w14:val="standardContextual"/>
        </w:rPr>
        <w:t>.</w:t>
      </w:r>
    </w:p>
    <w:p w14:paraId="314CF0FF" w14:textId="3F2E241F" w:rsidR="00DC27B7" w:rsidRDefault="00DB6E3A" w:rsidP="0049446A">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Ao contrário de análises com o uso da </w:t>
      </w:r>
      <w:r w:rsidR="009533F5">
        <w:rPr>
          <w:rFonts w:eastAsiaTheme="minorHAnsi"/>
          <w:kern w:val="2"/>
          <w:lang w:eastAsia="en-US"/>
          <w14:ligatures w14:val="standardContextual"/>
        </w:rPr>
        <w:t xml:space="preserve">média, </w:t>
      </w:r>
      <w:r w:rsidR="009533F5" w:rsidRPr="00DC27B7">
        <w:rPr>
          <w:rFonts w:eastAsiaTheme="minorHAnsi"/>
          <w:kern w:val="2"/>
          <w:lang w:eastAsia="en-US"/>
          <w14:ligatures w14:val="standardContextual"/>
        </w:rPr>
        <w:t>a</w:t>
      </w:r>
      <w:r w:rsidR="00DC27B7" w:rsidRPr="00DC27B7">
        <w:rPr>
          <w:rFonts w:eastAsiaTheme="minorHAnsi"/>
          <w:kern w:val="2"/>
          <w:lang w:eastAsia="en-US"/>
          <w14:ligatures w14:val="standardContextual"/>
        </w:rPr>
        <w:t xml:space="preserve"> DEA permite uma análise mais </w:t>
      </w:r>
      <w:r>
        <w:rPr>
          <w:rFonts w:eastAsiaTheme="minorHAnsi"/>
          <w:kern w:val="2"/>
          <w:lang w:eastAsia="en-US"/>
          <w14:ligatures w14:val="standardContextual"/>
        </w:rPr>
        <w:t>particularizada de cada município</w:t>
      </w:r>
      <w:r w:rsidR="00DC27B7" w:rsidRPr="00DC27B7">
        <w:rPr>
          <w:rFonts w:eastAsiaTheme="minorHAnsi"/>
          <w:kern w:val="2"/>
          <w:lang w:eastAsia="en-US"/>
          <w14:ligatures w14:val="standardContextual"/>
        </w:rPr>
        <w:t xml:space="preserve">, levando em conta as características específicas de cada </w:t>
      </w:r>
      <w:r w:rsidR="0049446A">
        <w:rPr>
          <w:rFonts w:eastAsiaTheme="minorHAnsi"/>
          <w:kern w:val="2"/>
          <w:lang w:eastAsia="en-US"/>
          <w14:ligatures w14:val="standardContextual"/>
        </w:rPr>
        <w:lastRenderedPageBreak/>
        <w:t>região</w:t>
      </w:r>
      <w:r w:rsidR="00DC27B7" w:rsidRPr="00DC27B7">
        <w:rPr>
          <w:rFonts w:eastAsiaTheme="minorHAnsi"/>
          <w:kern w:val="2"/>
          <w:lang w:eastAsia="en-US"/>
          <w14:ligatures w14:val="standardContextual"/>
        </w:rPr>
        <w:t xml:space="preserve"> e as nuances de sua situação socioeconômica, geográfica e política. Isso é crucial quando se trata de abordagens específicas e investimentos direcionados para atender às necessidades únicas de cada região, como </w:t>
      </w:r>
      <w:r w:rsidR="0049446A">
        <w:rPr>
          <w:rFonts w:eastAsiaTheme="minorHAnsi"/>
          <w:kern w:val="2"/>
          <w:lang w:eastAsia="en-US"/>
          <w14:ligatures w14:val="standardContextual"/>
        </w:rPr>
        <w:t>apontado pelos dados coletados</w:t>
      </w:r>
      <w:r w:rsidR="00DC27B7" w:rsidRPr="00DC27B7">
        <w:rPr>
          <w:rFonts w:eastAsiaTheme="minorHAnsi"/>
          <w:kern w:val="2"/>
          <w:lang w:eastAsia="en-US"/>
          <w14:ligatures w14:val="standardContextual"/>
        </w:rPr>
        <w:t>.</w:t>
      </w:r>
    </w:p>
    <w:p w14:paraId="7733A614" w14:textId="5288EB43" w:rsidR="0049446A" w:rsidRDefault="0049446A" w:rsidP="0049446A">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Para aplicação do modelo DEA CCR o orçamento municipal foi </w:t>
      </w:r>
      <w:r w:rsidR="00F868ED">
        <w:rPr>
          <w:rFonts w:eastAsiaTheme="minorHAnsi"/>
          <w:kern w:val="2"/>
          <w:lang w:eastAsia="en-US"/>
          <w14:ligatures w14:val="standardContextual"/>
        </w:rPr>
        <w:t>sub</w:t>
      </w:r>
      <w:r>
        <w:rPr>
          <w:rFonts w:eastAsiaTheme="minorHAnsi"/>
          <w:kern w:val="2"/>
          <w:lang w:eastAsia="en-US"/>
          <w14:ligatures w14:val="standardContextual"/>
        </w:rPr>
        <w:t>dividido em 12 principais</w:t>
      </w:r>
      <w:r w:rsidRPr="0049446A">
        <w:rPr>
          <w:rFonts w:eastAsiaTheme="minorHAnsi"/>
          <w:kern w:val="2"/>
          <w:lang w:eastAsia="en-US"/>
          <w14:ligatures w14:val="standardContextual"/>
        </w:rPr>
        <w:t xml:space="preserve"> </w:t>
      </w:r>
      <w:r>
        <w:rPr>
          <w:rFonts w:eastAsiaTheme="minorHAnsi"/>
          <w:kern w:val="2"/>
          <w:lang w:eastAsia="en-US"/>
          <w14:ligatures w14:val="standardContextual"/>
        </w:rPr>
        <w:t xml:space="preserve">contas: </w:t>
      </w:r>
      <w:r w:rsidR="00F868ED">
        <w:rPr>
          <w:rFonts w:eastAsiaTheme="minorHAnsi"/>
          <w:kern w:val="2"/>
          <w:lang w:eastAsia="en-US"/>
          <w14:ligatures w14:val="standardContextual"/>
        </w:rPr>
        <w:t>Educação e Cultura (28,</w:t>
      </w:r>
      <w:r w:rsidR="00A921A3">
        <w:rPr>
          <w:rFonts w:eastAsiaTheme="minorHAnsi"/>
          <w:kern w:val="2"/>
          <w:lang w:eastAsia="en-US"/>
          <w14:ligatures w14:val="standardContextual"/>
        </w:rPr>
        <w:t>12</w:t>
      </w:r>
      <w:r w:rsidR="00F868ED">
        <w:rPr>
          <w:rFonts w:eastAsiaTheme="minorHAnsi"/>
          <w:kern w:val="2"/>
          <w:lang w:eastAsia="en-US"/>
          <w14:ligatures w14:val="standardContextual"/>
        </w:rPr>
        <w:t>%); Saúde (24,</w:t>
      </w:r>
      <w:r w:rsidR="00A921A3">
        <w:rPr>
          <w:rFonts w:eastAsiaTheme="minorHAnsi"/>
          <w:kern w:val="2"/>
          <w:lang w:eastAsia="en-US"/>
          <w14:ligatures w14:val="standardContextual"/>
        </w:rPr>
        <w:t>49</w:t>
      </w:r>
      <w:r w:rsidR="00F868ED">
        <w:rPr>
          <w:rFonts w:eastAsiaTheme="minorHAnsi"/>
          <w:kern w:val="2"/>
          <w:lang w:eastAsia="en-US"/>
          <w14:ligatures w14:val="standardContextual"/>
        </w:rPr>
        <w:t>%); Urbanismo, Saneamento e Transporte (15,4</w:t>
      </w:r>
      <w:r w:rsidR="00A921A3">
        <w:rPr>
          <w:rFonts w:eastAsiaTheme="minorHAnsi"/>
          <w:kern w:val="2"/>
          <w:lang w:eastAsia="en-US"/>
          <w14:ligatures w14:val="standardContextual"/>
        </w:rPr>
        <w:t>6</w:t>
      </w:r>
      <w:r w:rsidR="00F868ED">
        <w:rPr>
          <w:rFonts w:eastAsiaTheme="minorHAnsi"/>
          <w:kern w:val="2"/>
          <w:lang w:eastAsia="en-US"/>
          <w14:ligatures w14:val="standardContextual"/>
        </w:rPr>
        <w:t xml:space="preserve">%); </w:t>
      </w:r>
      <w:r>
        <w:rPr>
          <w:rFonts w:eastAsiaTheme="minorHAnsi"/>
          <w:kern w:val="2"/>
          <w:lang w:eastAsia="en-US"/>
          <w14:ligatures w14:val="standardContextual"/>
        </w:rPr>
        <w:t>Administração (10,4</w:t>
      </w:r>
      <w:r w:rsidR="00A921A3">
        <w:rPr>
          <w:rFonts w:eastAsiaTheme="minorHAnsi"/>
          <w:kern w:val="2"/>
          <w:lang w:eastAsia="en-US"/>
          <w14:ligatures w14:val="standardContextual"/>
        </w:rPr>
        <w:t>2</w:t>
      </w:r>
      <w:r>
        <w:rPr>
          <w:rFonts w:eastAsiaTheme="minorHAnsi"/>
          <w:kern w:val="2"/>
          <w:lang w:eastAsia="en-US"/>
          <w14:ligatures w14:val="standardContextual"/>
        </w:rPr>
        <w:t xml:space="preserve">%); </w:t>
      </w:r>
      <w:r w:rsidR="00F868ED">
        <w:rPr>
          <w:rFonts w:eastAsiaTheme="minorHAnsi"/>
          <w:kern w:val="2"/>
          <w:lang w:eastAsia="en-US"/>
          <w14:ligatures w14:val="standardContextual"/>
        </w:rPr>
        <w:t>Previdência Social (7,</w:t>
      </w:r>
      <w:r w:rsidR="00A921A3">
        <w:rPr>
          <w:rFonts w:eastAsiaTheme="minorHAnsi"/>
          <w:kern w:val="2"/>
          <w:lang w:eastAsia="en-US"/>
          <w14:ligatures w14:val="standardContextual"/>
        </w:rPr>
        <w:t>25</w:t>
      </w:r>
      <w:r w:rsidR="00F868ED">
        <w:rPr>
          <w:rFonts w:eastAsiaTheme="minorHAnsi"/>
          <w:kern w:val="2"/>
          <w:lang w:eastAsia="en-US"/>
          <w14:ligatures w14:val="standardContextual"/>
        </w:rPr>
        <w:t>%); Assistência Social (2,9</w:t>
      </w:r>
      <w:r w:rsidR="00A921A3">
        <w:rPr>
          <w:rFonts w:eastAsiaTheme="minorHAnsi"/>
          <w:kern w:val="2"/>
          <w:lang w:eastAsia="en-US"/>
          <w14:ligatures w14:val="standardContextual"/>
        </w:rPr>
        <w:t>4</w:t>
      </w:r>
      <w:r w:rsidR="00F868ED">
        <w:rPr>
          <w:rFonts w:eastAsiaTheme="minorHAnsi"/>
          <w:kern w:val="2"/>
          <w:lang w:eastAsia="en-US"/>
          <w14:ligatures w14:val="standardContextual"/>
        </w:rPr>
        <w:t>%); Legislativo (2,1</w:t>
      </w:r>
      <w:r w:rsidR="00A921A3">
        <w:rPr>
          <w:rFonts w:eastAsiaTheme="minorHAnsi"/>
          <w:kern w:val="2"/>
          <w:lang w:eastAsia="en-US"/>
          <w14:ligatures w14:val="standardContextual"/>
        </w:rPr>
        <w:t>2</w:t>
      </w:r>
      <w:r w:rsidR="00F868ED">
        <w:rPr>
          <w:rFonts w:eastAsiaTheme="minorHAnsi"/>
          <w:kern w:val="2"/>
          <w:lang w:eastAsia="en-US"/>
          <w14:ligatures w14:val="standardContextual"/>
        </w:rPr>
        <w:t>%); Gestão ambiental e Agricultura (1,</w:t>
      </w:r>
      <w:r w:rsidR="00A921A3">
        <w:rPr>
          <w:rFonts w:eastAsiaTheme="minorHAnsi"/>
          <w:kern w:val="2"/>
          <w:lang w:eastAsia="en-US"/>
          <w14:ligatures w14:val="standardContextual"/>
        </w:rPr>
        <w:t>79</w:t>
      </w:r>
      <w:r w:rsidR="00F868ED">
        <w:rPr>
          <w:rFonts w:eastAsiaTheme="minorHAnsi"/>
          <w:kern w:val="2"/>
          <w:lang w:eastAsia="en-US"/>
          <w14:ligatures w14:val="standardContextual"/>
        </w:rPr>
        <w:t xml:space="preserve">%); </w:t>
      </w:r>
      <w:r>
        <w:rPr>
          <w:rFonts w:eastAsiaTheme="minorHAnsi"/>
          <w:kern w:val="2"/>
          <w:lang w:eastAsia="en-US"/>
          <w14:ligatures w14:val="standardContextual"/>
        </w:rPr>
        <w:t>Segurança Pública (0,9</w:t>
      </w:r>
      <w:r w:rsidR="00A921A3">
        <w:rPr>
          <w:rFonts w:eastAsiaTheme="minorHAnsi"/>
          <w:kern w:val="2"/>
          <w:lang w:eastAsia="en-US"/>
          <w14:ligatures w14:val="standardContextual"/>
        </w:rPr>
        <w:t>4</w:t>
      </w:r>
      <w:r>
        <w:rPr>
          <w:rFonts w:eastAsiaTheme="minorHAnsi"/>
          <w:kern w:val="2"/>
          <w:lang w:eastAsia="en-US"/>
          <w14:ligatures w14:val="standardContextual"/>
        </w:rPr>
        <w:t xml:space="preserve">%); </w:t>
      </w:r>
      <w:r w:rsidR="00F868ED">
        <w:rPr>
          <w:rFonts w:eastAsiaTheme="minorHAnsi"/>
          <w:kern w:val="2"/>
          <w:lang w:eastAsia="en-US"/>
          <w14:ligatures w14:val="standardContextual"/>
        </w:rPr>
        <w:t>Desporto e Lazer (0,7</w:t>
      </w:r>
      <w:r w:rsidR="00A921A3">
        <w:rPr>
          <w:rFonts w:eastAsiaTheme="minorHAnsi"/>
          <w:kern w:val="2"/>
          <w:lang w:eastAsia="en-US"/>
          <w14:ligatures w14:val="standardContextual"/>
        </w:rPr>
        <w:t>5</w:t>
      </w:r>
      <w:r w:rsidR="00F868ED">
        <w:rPr>
          <w:rFonts w:eastAsiaTheme="minorHAnsi"/>
          <w:kern w:val="2"/>
          <w:lang w:eastAsia="en-US"/>
          <w14:ligatures w14:val="standardContextual"/>
        </w:rPr>
        <w:t xml:space="preserve">%); </w:t>
      </w:r>
      <w:r>
        <w:rPr>
          <w:rFonts w:eastAsiaTheme="minorHAnsi"/>
          <w:kern w:val="2"/>
          <w:lang w:eastAsia="en-US"/>
          <w14:ligatures w14:val="standardContextual"/>
        </w:rPr>
        <w:t>Comércio e Serviços (0,4</w:t>
      </w:r>
      <w:r w:rsidR="00A921A3">
        <w:rPr>
          <w:rFonts w:eastAsiaTheme="minorHAnsi"/>
          <w:kern w:val="2"/>
          <w:lang w:eastAsia="en-US"/>
          <w14:ligatures w14:val="standardContextual"/>
        </w:rPr>
        <w:t>1</w:t>
      </w:r>
      <w:r>
        <w:rPr>
          <w:rFonts w:eastAsiaTheme="minorHAnsi"/>
          <w:kern w:val="2"/>
          <w:lang w:eastAsia="en-US"/>
          <w14:ligatures w14:val="standardContextual"/>
        </w:rPr>
        <w:t xml:space="preserve">%); </w:t>
      </w:r>
      <w:proofErr w:type="gramStart"/>
      <w:r>
        <w:rPr>
          <w:rFonts w:eastAsiaTheme="minorHAnsi"/>
          <w:kern w:val="2"/>
          <w:lang w:eastAsia="en-US"/>
          <w14:ligatures w14:val="standardContextual"/>
        </w:rPr>
        <w:t>e Outros</w:t>
      </w:r>
      <w:proofErr w:type="gramEnd"/>
      <w:r>
        <w:rPr>
          <w:rFonts w:eastAsiaTheme="minorHAnsi"/>
          <w:kern w:val="2"/>
          <w:lang w:eastAsia="en-US"/>
          <w14:ligatures w14:val="standardContextual"/>
        </w:rPr>
        <w:t xml:space="preserve"> (5,</w:t>
      </w:r>
      <w:r w:rsidR="00A921A3">
        <w:rPr>
          <w:rFonts w:eastAsiaTheme="minorHAnsi"/>
          <w:kern w:val="2"/>
          <w:lang w:eastAsia="en-US"/>
          <w14:ligatures w14:val="standardContextual"/>
        </w:rPr>
        <w:t>30</w:t>
      </w:r>
      <w:r>
        <w:rPr>
          <w:rFonts w:eastAsiaTheme="minorHAnsi"/>
          <w:kern w:val="2"/>
          <w:lang w:eastAsia="en-US"/>
          <w14:ligatures w14:val="standardContextual"/>
        </w:rPr>
        <w:t xml:space="preserve">%). </w:t>
      </w:r>
      <w:r w:rsidR="00F868ED">
        <w:rPr>
          <w:rFonts w:eastAsiaTheme="minorHAnsi"/>
          <w:kern w:val="2"/>
          <w:lang w:eastAsia="en-US"/>
          <w14:ligatures w14:val="standardContextual"/>
        </w:rPr>
        <w:t xml:space="preserve">Os valores percentuais representam o </w:t>
      </w:r>
      <w:r w:rsidR="002A493D">
        <w:rPr>
          <w:rFonts w:eastAsiaTheme="minorHAnsi"/>
          <w:kern w:val="2"/>
          <w:lang w:eastAsia="en-US"/>
          <w14:ligatures w14:val="standardContextual"/>
        </w:rPr>
        <w:t xml:space="preserve">percentual do </w:t>
      </w:r>
      <w:r w:rsidR="00F868ED">
        <w:rPr>
          <w:rFonts w:eastAsiaTheme="minorHAnsi"/>
          <w:kern w:val="2"/>
          <w:lang w:eastAsia="en-US"/>
          <w14:ligatures w14:val="standardContextual"/>
        </w:rPr>
        <w:t xml:space="preserve">orçamento total médio </w:t>
      </w:r>
      <w:r w:rsidR="002A493D">
        <w:rPr>
          <w:rFonts w:eastAsiaTheme="minorHAnsi"/>
          <w:kern w:val="2"/>
          <w:lang w:eastAsia="en-US"/>
          <w14:ligatures w14:val="standardContextual"/>
        </w:rPr>
        <w:t xml:space="preserve">de cada conta </w:t>
      </w:r>
      <w:r w:rsidR="00F868ED">
        <w:rPr>
          <w:rFonts w:eastAsiaTheme="minorHAnsi"/>
          <w:kern w:val="2"/>
          <w:lang w:eastAsia="en-US"/>
          <w14:ligatures w14:val="standardContextual"/>
        </w:rPr>
        <w:t xml:space="preserve">dos </w:t>
      </w:r>
      <w:r w:rsidR="009C15AF">
        <w:rPr>
          <w:rFonts w:eastAsiaTheme="minorHAnsi"/>
          <w:kern w:val="2"/>
          <w:lang w:eastAsia="en-US"/>
          <w14:ligatures w14:val="standardContextual"/>
        </w:rPr>
        <w:t>5393</w:t>
      </w:r>
      <w:r w:rsidR="00F868ED">
        <w:rPr>
          <w:rFonts w:eastAsiaTheme="minorHAnsi"/>
          <w:kern w:val="2"/>
          <w:lang w:eastAsia="en-US"/>
          <w14:ligatures w14:val="standardContextual"/>
        </w:rPr>
        <w:t xml:space="preserve"> municípios participantes da análise dividido nessas contas.</w:t>
      </w:r>
    </w:p>
    <w:p w14:paraId="1AC2B2AF" w14:textId="76A739C1" w:rsidR="0078288C" w:rsidRDefault="00F868ED" w:rsidP="0078288C">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Os dados dos orçamento</w:t>
      </w:r>
      <w:r w:rsidR="0078288C">
        <w:rPr>
          <w:rFonts w:eastAsiaTheme="minorHAnsi"/>
          <w:kern w:val="2"/>
          <w:lang w:eastAsia="en-US"/>
          <w14:ligatures w14:val="standardContextual"/>
        </w:rPr>
        <w:t>s</w:t>
      </w:r>
      <w:r>
        <w:rPr>
          <w:rFonts w:eastAsiaTheme="minorHAnsi"/>
          <w:kern w:val="2"/>
          <w:lang w:eastAsia="en-US"/>
          <w14:ligatures w14:val="standardContextual"/>
        </w:rPr>
        <w:t xml:space="preserve"> municipais </w:t>
      </w:r>
      <w:r w:rsidR="002A493D">
        <w:rPr>
          <w:rFonts w:eastAsiaTheme="minorHAnsi"/>
          <w:kern w:val="2"/>
          <w:lang w:eastAsia="en-US"/>
          <w14:ligatures w14:val="standardContextual"/>
        </w:rPr>
        <w:t>separados por</w:t>
      </w:r>
      <w:r w:rsidR="009533F5">
        <w:rPr>
          <w:rFonts w:eastAsiaTheme="minorHAnsi"/>
          <w:kern w:val="2"/>
          <w:lang w:eastAsia="en-US"/>
          <w14:ligatures w14:val="standardContextual"/>
        </w:rPr>
        <w:t xml:space="preserve"> conta de cada um</w:t>
      </w:r>
      <w:r>
        <w:rPr>
          <w:rFonts w:eastAsiaTheme="minorHAnsi"/>
          <w:kern w:val="2"/>
          <w:lang w:eastAsia="en-US"/>
          <w14:ligatures w14:val="standardContextual"/>
        </w:rPr>
        <w:t xml:space="preserve"> </w:t>
      </w:r>
      <w:r w:rsidR="009533F5">
        <w:rPr>
          <w:rFonts w:eastAsiaTheme="minorHAnsi"/>
          <w:kern w:val="2"/>
          <w:lang w:eastAsia="en-US"/>
          <w14:ligatures w14:val="standardContextual"/>
        </w:rPr>
        <w:t xml:space="preserve">dos </w:t>
      </w:r>
      <w:r w:rsidR="009C15AF">
        <w:rPr>
          <w:rFonts w:eastAsiaTheme="minorHAnsi"/>
          <w:kern w:val="2"/>
          <w:lang w:eastAsia="en-US"/>
          <w14:ligatures w14:val="standardContextual"/>
        </w:rPr>
        <w:t>5393</w:t>
      </w:r>
      <w:r w:rsidR="009533F5">
        <w:rPr>
          <w:rFonts w:eastAsiaTheme="minorHAnsi"/>
          <w:kern w:val="2"/>
          <w:lang w:eastAsia="en-US"/>
          <w14:ligatures w14:val="standardContextual"/>
        </w:rPr>
        <w:t xml:space="preserve"> municípios</w:t>
      </w:r>
      <w:r>
        <w:rPr>
          <w:rFonts w:eastAsiaTheme="minorHAnsi"/>
          <w:kern w:val="2"/>
          <w:lang w:eastAsia="en-US"/>
          <w14:ligatures w14:val="standardContextual"/>
        </w:rPr>
        <w:t xml:space="preserve"> foram normalizados pela divisão da população do município analisado, de modo a prover uma análise mais equilibrada dos dados e permitir a utilização do modelo DEA CCR. Modelo este que apresenta um poder maior de discriminação </w:t>
      </w:r>
      <w:r w:rsidR="002A493D">
        <w:rPr>
          <w:rFonts w:eastAsiaTheme="minorHAnsi"/>
          <w:kern w:val="2"/>
          <w:lang w:eastAsia="en-US"/>
          <w14:ligatures w14:val="standardContextual"/>
        </w:rPr>
        <w:t xml:space="preserve">entre as DMUs </w:t>
      </w:r>
      <w:r>
        <w:rPr>
          <w:rFonts w:eastAsiaTheme="minorHAnsi"/>
          <w:kern w:val="2"/>
          <w:lang w:eastAsia="en-US"/>
          <w14:ligatures w14:val="standardContextual"/>
        </w:rPr>
        <w:t xml:space="preserve">e considera retornos constantes de escala. </w:t>
      </w:r>
    </w:p>
    <w:p w14:paraId="4F970926" w14:textId="3AD39C92" w:rsidR="0078288C" w:rsidRDefault="0078288C" w:rsidP="0078288C">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 xml:space="preserve">Como outputs do modelo DEA foram considerados os valores dos ODS: </w:t>
      </w:r>
      <w:r w:rsidRPr="0078288C">
        <w:rPr>
          <w:rFonts w:eastAsiaTheme="minorHAnsi"/>
          <w:kern w:val="2"/>
          <w:lang w:eastAsia="en-US"/>
          <w14:ligatures w14:val="standardContextual"/>
        </w:rPr>
        <w:t>ODS 1 - Erradicação da Pobreza; ODS 2 - Fome Zero e Agricultura Sustentável; ODS 3 - Saúde e Bem-Estar; ODS 4 - Educação de Qualidade; ODS 5 - Igualdade de Gênero; ODS 6 - Água Limpa e Saneamento;</w:t>
      </w:r>
      <w:r>
        <w:rPr>
          <w:rFonts w:eastAsiaTheme="minorHAnsi"/>
          <w:kern w:val="2"/>
          <w:lang w:eastAsia="en-US"/>
          <w14:ligatures w14:val="standardContextual"/>
        </w:rPr>
        <w:t xml:space="preserve"> </w:t>
      </w:r>
      <w:r w:rsidRPr="0078288C">
        <w:rPr>
          <w:rFonts w:eastAsiaTheme="minorHAnsi"/>
          <w:kern w:val="2"/>
          <w:lang w:eastAsia="en-US"/>
          <w14:ligatures w14:val="standardContextual"/>
        </w:rPr>
        <w:t>ODS 7 - Energia Limpa e Acessível; ODS 8 - Trabalho Decente e Crescimento Econômico; ODS 9 - Indústria, Inovação e Infraestrutura; ODS 10 - Redução das Desigualdades; ODS 11 - Cidades e Comunidades Sustentáveis</w:t>
      </w:r>
      <w:r>
        <w:rPr>
          <w:rFonts w:eastAsiaTheme="minorHAnsi"/>
          <w:kern w:val="2"/>
          <w:lang w:eastAsia="en-US"/>
          <w14:ligatures w14:val="standardContextual"/>
        </w:rPr>
        <w:t xml:space="preserve">; </w:t>
      </w:r>
      <w:r w:rsidRPr="0078288C">
        <w:rPr>
          <w:rFonts w:eastAsiaTheme="minorHAnsi"/>
          <w:kern w:val="2"/>
          <w:lang w:eastAsia="en-US"/>
          <w14:ligatures w14:val="standardContextual"/>
        </w:rPr>
        <w:t xml:space="preserve">ODS 12 - Consumo e Produção Responsáveis; ODS 13 - Ação Contra a Mudança Global do Clima; ODS 15 - Vida Terrestre; ODS 16 - Paz, Justiça e Instituições Eficazes; </w:t>
      </w:r>
      <w:r>
        <w:rPr>
          <w:rFonts w:eastAsiaTheme="minorHAnsi"/>
          <w:kern w:val="2"/>
          <w:lang w:eastAsia="en-US"/>
          <w14:ligatures w14:val="standardContextual"/>
        </w:rPr>
        <w:t xml:space="preserve">e </w:t>
      </w:r>
      <w:r w:rsidRPr="0078288C">
        <w:rPr>
          <w:rFonts w:eastAsiaTheme="minorHAnsi"/>
          <w:kern w:val="2"/>
          <w:lang w:eastAsia="en-US"/>
          <w14:ligatures w14:val="standardContextual"/>
        </w:rPr>
        <w:t>ODS 17 - Parcerias e Meios de Implementação</w:t>
      </w:r>
      <w:r>
        <w:rPr>
          <w:rFonts w:eastAsiaTheme="minorHAnsi"/>
          <w:kern w:val="2"/>
          <w:lang w:eastAsia="en-US"/>
          <w14:ligatures w14:val="standardContextual"/>
        </w:rPr>
        <w:t xml:space="preserve">.   </w:t>
      </w:r>
    </w:p>
    <w:p w14:paraId="08C6B7E6" w14:textId="360E1AC4" w:rsidR="0078288C" w:rsidRDefault="0078288C" w:rsidP="0078288C">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 xml:space="preserve">Dessa forma cada um dos </w:t>
      </w:r>
      <w:r w:rsidR="00E5251D">
        <w:rPr>
          <w:rFonts w:eastAsiaTheme="minorHAnsi"/>
          <w:kern w:val="2"/>
          <w:lang w:eastAsia="en-US"/>
          <w14:ligatures w14:val="standardContextual"/>
        </w:rPr>
        <w:t>5393</w:t>
      </w:r>
      <w:r>
        <w:rPr>
          <w:rFonts w:eastAsiaTheme="minorHAnsi"/>
          <w:kern w:val="2"/>
          <w:lang w:eastAsia="en-US"/>
          <w14:ligatures w14:val="standardContextual"/>
        </w:rPr>
        <w:t xml:space="preserve"> municípios participantes deste trabalho (DMU</w:t>
      </w:r>
      <w:r w:rsidR="00E5251D">
        <w:rPr>
          <w:rFonts w:eastAsiaTheme="minorHAnsi"/>
          <w:kern w:val="2"/>
          <w:lang w:eastAsia="en-US"/>
          <w14:ligatures w14:val="standardContextual"/>
        </w:rPr>
        <w:t>s</w:t>
      </w:r>
      <w:r>
        <w:rPr>
          <w:rFonts w:eastAsiaTheme="minorHAnsi"/>
          <w:kern w:val="2"/>
          <w:lang w:eastAsia="en-US"/>
          <w14:ligatures w14:val="standardContextual"/>
        </w:rPr>
        <w:t>), possuía</w:t>
      </w:r>
      <w:r w:rsidR="00E5251D">
        <w:rPr>
          <w:rFonts w:eastAsiaTheme="minorHAnsi"/>
          <w:kern w:val="2"/>
          <w:lang w:eastAsia="en-US"/>
          <w14:ligatures w14:val="standardContextual"/>
        </w:rPr>
        <w:t>m</w:t>
      </w:r>
      <w:r>
        <w:rPr>
          <w:rFonts w:eastAsiaTheme="minorHAnsi"/>
          <w:kern w:val="2"/>
          <w:lang w:eastAsia="en-US"/>
          <w14:ligatures w14:val="standardContextual"/>
        </w:rPr>
        <w:t xml:space="preserve"> 12 inputs (referentes a cada conta orçamentária per capita) e 16 outputs (referente aos resultados levantados </w:t>
      </w:r>
      <w:r w:rsidR="002A493D">
        <w:rPr>
          <w:rFonts w:eastAsiaTheme="minorHAnsi"/>
          <w:kern w:val="2"/>
          <w:lang w:eastAsia="en-US"/>
          <w14:ligatures w14:val="standardContextual"/>
        </w:rPr>
        <w:t xml:space="preserve">de cada ODS </w:t>
      </w:r>
      <w:r>
        <w:rPr>
          <w:rFonts w:eastAsiaTheme="minorHAnsi"/>
          <w:kern w:val="2"/>
          <w:lang w:eastAsia="en-US"/>
          <w14:ligatures w14:val="standardContextual"/>
        </w:rPr>
        <w:t xml:space="preserve">para cada DMU). </w:t>
      </w:r>
    </w:p>
    <w:p w14:paraId="0E9C595A" w14:textId="3CCAA75D" w:rsidR="00AE7399" w:rsidRDefault="0078288C" w:rsidP="0078288C">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 xml:space="preserve">Antes da aplicação do modelo DEA, </w:t>
      </w:r>
      <w:r w:rsidR="009533F5">
        <w:rPr>
          <w:rFonts w:eastAsiaTheme="minorHAnsi"/>
          <w:kern w:val="2"/>
          <w:lang w:eastAsia="en-US"/>
          <w14:ligatures w14:val="standardContextual"/>
        </w:rPr>
        <w:t>os munícipios</w:t>
      </w:r>
      <w:r w:rsidR="00F868ED">
        <w:rPr>
          <w:rFonts w:eastAsiaTheme="minorHAnsi"/>
          <w:kern w:val="2"/>
          <w:lang w:eastAsia="en-US"/>
          <w14:ligatures w14:val="standardContextual"/>
        </w:rPr>
        <w:t xml:space="preserve"> foram separados de acordo com </w:t>
      </w:r>
      <w:r w:rsidR="00C03317">
        <w:rPr>
          <w:rFonts w:eastAsiaTheme="minorHAnsi"/>
          <w:kern w:val="2"/>
          <w:lang w:eastAsia="en-US"/>
          <w14:ligatures w14:val="standardContextual"/>
        </w:rPr>
        <w:t>su</w:t>
      </w:r>
      <w:r w:rsidR="00F868ED">
        <w:rPr>
          <w:rFonts w:eastAsiaTheme="minorHAnsi"/>
          <w:kern w:val="2"/>
          <w:lang w:eastAsia="en-US"/>
          <w14:ligatures w14:val="standardContextual"/>
        </w:rPr>
        <w:t xml:space="preserve">a classificação </w:t>
      </w:r>
      <w:r w:rsidR="00C03317">
        <w:rPr>
          <w:rFonts w:eastAsiaTheme="minorHAnsi"/>
          <w:kern w:val="2"/>
          <w:lang w:eastAsia="en-US"/>
          <w14:ligatures w14:val="standardContextual"/>
        </w:rPr>
        <w:t>hierárquica para aplicação do modelo DEA CCR.</w:t>
      </w:r>
      <w:r>
        <w:rPr>
          <w:rFonts w:eastAsiaTheme="minorHAnsi"/>
          <w:kern w:val="2"/>
          <w:lang w:eastAsia="en-US"/>
          <w14:ligatures w14:val="standardContextual"/>
        </w:rPr>
        <w:t xml:space="preserve"> </w:t>
      </w:r>
      <w:r w:rsidR="00C03317">
        <w:rPr>
          <w:rFonts w:eastAsiaTheme="minorHAnsi"/>
          <w:kern w:val="2"/>
          <w:lang w:eastAsia="en-US"/>
          <w14:ligatures w14:val="standardContextual"/>
        </w:rPr>
        <w:t>Dessa forma, o modelo DEA foi aplicado aos municípios pertencentes a cada uma das hierarquias das cidades</w:t>
      </w:r>
      <w:r w:rsidR="00AE7399">
        <w:rPr>
          <w:rFonts w:eastAsiaTheme="minorHAnsi"/>
          <w:kern w:val="2"/>
          <w:lang w:eastAsia="en-US"/>
          <w14:ligatures w14:val="standardContextual"/>
        </w:rPr>
        <w:t>,</w:t>
      </w:r>
      <w:r w:rsidR="00C03317">
        <w:rPr>
          <w:rFonts w:eastAsiaTheme="minorHAnsi"/>
          <w:kern w:val="2"/>
          <w:lang w:eastAsia="en-US"/>
          <w14:ligatures w14:val="standardContextual"/>
        </w:rPr>
        <w:t xml:space="preserve"> seguindo a seguinte distribuição apresentada na Tabela 6.</w:t>
      </w:r>
      <w:r w:rsidR="00AE7399">
        <w:rPr>
          <w:rFonts w:eastAsiaTheme="minorHAnsi"/>
          <w:kern w:val="2"/>
          <w:lang w:eastAsia="en-US"/>
          <w14:ligatures w14:val="standardContextual"/>
        </w:rPr>
        <w:t xml:space="preserve"> Uma vez que os </w:t>
      </w:r>
      <w:r w:rsidR="00AE7399">
        <w:rPr>
          <w:rFonts w:eastAsiaTheme="minorHAnsi"/>
          <w:kern w:val="2"/>
          <w:lang w:eastAsia="en-US"/>
          <w14:ligatures w14:val="standardContextual"/>
        </w:rPr>
        <w:lastRenderedPageBreak/>
        <w:t xml:space="preserve">municípios classificados dentro de uma mesma hierarquia possuem similaridade entre si, isso justifica a aplicação do modelo DEA CCR a cada uma das </w:t>
      </w:r>
      <w:r>
        <w:rPr>
          <w:rFonts w:eastAsiaTheme="minorHAnsi"/>
          <w:kern w:val="2"/>
          <w:lang w:eastAsia="en-US"/>
          <w14:ligatures w14:val="standardContextual"/>
        </w:rPr>
        <w:t>5 hierarquias</w:t>
      </w:r>
      <w:r w:rsidR="00AE7399">
        <w:rPr>
          <w:rFonts w:eastAsiaTheme="minorHAnsi"/>
          <w:kern w:val="2"/>
          <w:lang w:eastAsia="en-US"/>
          <w14:ligatures w14:val="standardContextual"/>
        </w:rPr>
        <w:t xml:space="preserve"> separadamente, evitando de se comparar municípios com perfis completamente distintos entre si. </w:t>
      </w:r>
    </w:p>
    <w:p w14:paraId="6365AF4E" w14:textId="5A7B48EC" w:rsidR="00AE7399" w:rsidRPr="0078288C" w:rsidRDefault="0078288C" w:rsidP="0078288C">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78288C">
        <w:rPr>
          <w:rFonts w:eastAsiaTheme="minorHAnsi"/>
          <w:kern w:val="2"/>
          <w:sz w:val="20"/>
          <w:szCs w:val="20"/>
          <w:lang w:eastAsia="en-US"/>
          <w14:ligatures w14:val="standardContextual"/>
        </w:rPr>
        <w:t>Tabela 6 – Número de municípios por Hierarquia</w:t>
      </w:r>
    </w:p>
    <w:tbl>
      <w:tblPr>
        <w:tblStyle w:val="Tabelacomgrade"/>
        <w:tblW w:w="0" w:type="auto"/>
        <w:jc w:val="center"/>
        <w:tblLook w:val="04A0" w:firstRow="1" w:lastRow="0" w:firstColumn="1" w:lastColumn="0" w:noHBand="0" w:noVBand="1"/>
      </w:tblPr>
      <w:tblGrid>
        <w:gridCol w:w="2547"/>
        <w:gridCol w:w="2410"/>
      </w:tblGrid>
      <w:tr w:rsidR="00AE7399" w14:paraId="02C544A7" w14:textId="77777777" w:rsidTr="00AE7399">
        <w:trPr>
          <w:jc w:val="center"/>
        </w:trPr>
        <w:tc>
          <w:tcPr>
            <w:tcW w:w="2547" w:type="dxa"/>
          </w:tcPr>
          <w:p w14:paraId="239441EC" w14:textId="5FDBB4ED" w:rsidR="00AE7399" w:rsidRPr="00AE7399" w:rsidRDefault="00AE7399" w:rsidP="00AE7399">
            <w:pPr>
              <w:pStyle w:val="standard"/>
              <w:spacing w:before="0" w:beforeAutospacing="0" w:after="0" w:afterAutospacing="0"/>
              <w:jc w:val="both"/>
              <w:rPr>
                <w:rFonts w:eastAsiaTheme="minorHAnsi"/>
                <w:b/>
                <w:bCs/>
                <w:kern w:val="2"/>
                <w:sz w:val="20"/>
                <w:szCs w:val="20"/>
                <w:lang w:eastAsia="en-US"/>
                <w14:ligatures w14:val="standardContextual"/>
              </w:rPr>
            </w:pPr>
            <w:r w:rsidRPr="00AE7399">
              <w:rPr>
                <w:rFonts w:eastAsiaTheme="minorHAnsi"/>
                <w:b/>
                <w:bCs/>
                <w:kern w:val="2"/>
                <w:sz w:val="20"/>
                <w:szCs w:val="20"/>
                <w:lang w:eastAsia="en-US"/>
                <w14:ligatures w14:val="standardContextual"/>
              </w:rPr>
              <w:t>Hierarquia</w:t>
            </w:r>
          </w:p>
        </w:tc>
        <w:tc>
          <w:tcPr>
            <w:tcW w:w="2410" w:type="dxa"/>
          </w:tcPr>
          <w:p w14:paraId="09B1BDA6" w14:textId="12D78C15" w:rsidR="00AE7399" w:rsidRPr="00AE7399" w:rsidRDefault="00AE7399" w:rsidP="0078288C">
            <w:pPr>
              <w:pStyle w:val="standard"/>
              <w:spacing w:before="0" w:beforeAutospacing="0" w:after="0" w:afterAutospacing="0"/>
              <w:jc w:val="center"/>
              <w:rPr>
                <w:rFonts w:eastAsiaTheme="minorHAnsi"/>
                <w:b/>
                <w:bCs/>
                <w:kern w:val="2"/>
                <w:sz w:val="20"/>
                <w:szCs w:val="20"/>
                <w:lang w:eastAsia="en-US"/>
                <w14:ligatures w14:val="standardContextual"/>
              </w:rPr>
            </w:pPr>
            <w:r w:rsidRPr="00AE7399">
              <w:rPr>
                <w:rFonts w:eastAsiaTheme="minorHAnsi"/>
                <w:b/>
                <w:bCs/>
                <w:kern w:val="2"/>
                <w:sz w:val="20"/>
                <w:szCs w:val="20"/>
                <w:lang w:eastAsia="en-US"/>
                <w14:ligatures w14:val="standardContextual"/>
              </w:rPr>
              <w:t>Número de municípios</w:t>
            </w:r>
          </w:p>
        </w:tc>
      </w:tr>
      <w:tr w:rsidR="00AE7399" w14:paraId="4EA8A7CD" w14:textId="77777777" w:rsidTr="00AE7399">
        <w:trPr>
          <w:jc w:val="center"/>
        </w:trPr>
        <w:tc>
          <w:tcPr>
            <w:tcW w:w="2547" w:type="dxa"/>
            <w:vAlign w:val="center"/>
          </w:tcPr>
          <w:p w14:paraId="64E768BF" w14:textId="58694792" w:rsidR="00AE7399" w:rsidRDefault="00AE7399" w:rsidP="00AE7399">
            <w:pPr>
              <w:pStyle w:val="standard"/>
              <w:spacing w:before="0" w:beforeAutospacing="0" w:after="0" w:afterAutospacing="0"/>
              <w:jc w:val="both"/>
              <w:rPr>
                <w:rFonts w:eastAsiaTheme="minorHAnsi"/>
                <w:kern w:val="2"/>
                <w:lang w:eastAsia="en-US"/>
                <w14:ligatures w14:val="standardContextual"/>
              </w:rPr>
            </w:pPr>
            <w:r w:rsidRPr="00DE28A4">
              <w:rPr>
                <w:color w:val="000000"/>
                <w:sz w:val="20"/>
                <w:szCs w:val="20"/>
              </w:rPr>
              <w:t>1 - Metrópole</w:t>
            </w:r>
          </w:p>
        </w:tc>
        <w:tc>
          <w:tcPr>
            <w:tcW w:w="2410" w:type="dxa"/>
            <w:vAlign w:val="bottom"/>
          </w:tcPr>
          <w:p w14:paraId="1CAA5C6E" w14:textId="05C93346" w:rsidR="00AE7399" w:rsidRPr="0017215A" w:rsidRDefault="00AE7399" w:rsidP="00AE7399">
            <w:pPr>
              <w:pStyle w:val="standard"/>
              <w:spacing w:before="0" w:beforeAutospacing="0" w:after="0" w:afterAutospacing="0"/>
              <w:jc w:val="center"/>
              <w:rPr>
                <w:rFonts w:eastAsiaTheme="minorHAnsi"/>
                <w:kern w:val="2"/>
                <w:sz w:val="20"/>
                <w:szCs w:val="20"/>
                <w:lang w:eastAsia="en-US"/>
                <w14:ligatures w14:val="standardContextual"/>
              </w:rPr>
            </w:pPr>
            <w:r w:rsidRPr="0017215A">
              <w:rPr>
                <w:color w:val="000000"/>
                <w:sz w:val="20"/>
                <w:szCs w:val="20"/>
              </w:rPr>
              <w:t>211</w:t>
            </w:r>
          </w:p>
        </w:tc>
      </w:tr>
      <w:tr w:rsidR="00AE7399" w14:paraId="1667763F" w14:textId="77777777" w:rsidTr="00AE7399">
        <w:trPr>
          <w:jc w:val="center"/>
        </w:trPr>
        <w:tc>
          <w:tcPr>
            <w:tcW w:w="2547" w:type="dxa"/>
            <w:vAlign w:val="center"/>
          </w:tcPr>
          <w:p w14:paraId="373A3405" w14:textId="59EB81E8" w:rsidR="00AE7399" w:rsidRDefault="00AE7399" w:rsidP="00AE7399">
            <w:pPr>
              <w:pStyle w:val="standard"/>
              <w:spacing w:before="0" w:beforeAutospacing="0" w:after="0" w:afterAutospacing="0"/>
              <w:jc w:val="both"/>
              <w:rPr>
                <w:rFonts w:eastAsiaTheme="minorHAnsi"/>
                <w:kern w:val="2"/>
                <w:lang w:eastAsia="en-US"/>
                <w14:ligatures w14:val="standardContextual"/>
              </w:rPr>
            </w:pPr>
            <w:r w:rsidRPr="00DE28A4">
              <w:rPr>
                <w:color w:val="000000"/>
                <w:sz w:val="20"/>
                <w:szCs w:val="20"/>
              </w:rPr>
              <w:t>2- Capital Regional</w:t>
            </w:r>
          </w:p>
        </w:tc>
        <w:tc>
          <w:tcPr>
            <w:tcW w:w="2410" w:type="dxa"/>
            <w:vAlign w:val="bottom"/>
          </w:tcPr>
          <w:p w14:paraId="4EEA87C5" w14:textId="7C25AD6D" w:rsidR="00AE7399" w:rsidRPr="0017215A" w:rsidRDefault="00AE7399" w:rsidP="00AE7399">
            <w:pPr>
              <w:pStyle w:val="standard"/>
              <w:spacing w:before="0" w:beforeAutospacing="0" w:after="0" w:afterAutospacing="0"/>
              <w:jc w:val="center"/>
              <w:rPr>
                <w:rFonts w:eastAsiaTheme="minorHAnsi"/>
                <w:kern w:val="2"/>
                <w:sz w:val="20"/>
                <w:szCs w:val="20"/>
                <w:lang w:eastAsia="en-US"/>
                <w14:ligatures w14:val="standardContextual"/>
              </w:rPr>
            </w:pPr>
            <w:r w:rsidRPr="0017215A">
              <w:rPr>
                <w:color w:val="000000"/>
                <w:sz w:val="20"/>
                <w:szCs w:val="20"/>
              </w:rPr>
              <w:t>29</w:t>
            </w:r>
            <w:r w:rsidR="00E5251D">
              <w:rPr>
                <w:color w:val="000000"/>
                <w:sz w:val="20"/>
                <w:szCs w:val="20"/>
              </w:rPr>
              <w:t>8</w:t>
            </w:r>
          </w:p>
        </w:tc>
      </w:tr>
      <w:tr w:rsidR="00AE7399" w14:paraId="2E250FAB" w14:textId="77777777" w:rsidTr="00AE7399">
        <w:trPr>
          <w:jc w:val="center"/>
        </w:trPr>
        <w:tc>
          <w:tcPr>
            <w:tcW w:w="2547" w:type="dxa"/>
            <w:vAlign w:val="center"/>
          </w:tcPr>
          <w:p w14:paraId="1A301506" w14:textId="3AE38144" w:rsidR="00AE7399" w:rsidRDefault="00AE7399" w:rsidP="00AE7399">
            <w:pPr>
              <w:pStyle w:val="standard"/>
              <w:spacing w:before="0" w:beforeAutospacing="0" w:after="0" w:afterAutospacing="0"/>
              <w:jc w:val="both"/>
              <w:rPr>
                <w:rFonts w:eastAsiaTheme="minorHAnsi"/>
                <w:kern w:val="2"/>
                <w:lang w:eastAsia="en-US"/>
                <w14:ligatures w14:val="standardContextual"/>
              </w:rPr>
            </w:pPr>
            <w:r w:rsidRPr="00DE28A4">
              <w:rPr>
                <w:color w:val="000000"/>
                <w:sz w:val="20"/>
                <w:szCs w:val="20"/>
              </w:rPr>
              <w:t xml:space="preserve">3- Centro </w:t>
            </w:r>
            <w:proofErr w:type="gramStart"/>
            <w:r w:rsidRPr="00DE28A4">
              <w:rPr>
                <w:color w:val="000000"/>
                <w:sz w:val="20"/>
                <w:szCs w:val="20"/>
              </w:rPr>
              <w:t>Sub-Regional</w:t>
            </w:r>
            <w:proofErr w:type="gramEnd"/>
          </w:p>
        </w:tc>
        <w:tc>
          <w:tcPr>
            <w:tcW w:w="2410" w:type="dxa"/>
            <w:vAlign w:val="bottom"/>
          </w:tcPr>
          <w:p w14:paraId="41A33B41" w14:textId="7C49CC8B" w:rsidR="00AE7399" w:rsidRPr="0017215A" w:rsidRDefault="00AE7399" w:rsidP="00AE7399">
            <w:pPr>
              <w:pStyle w:val="standard"/>
              <w:spacing w:before="0" w:beforeAutospacing="0" w:after="0" w:afterAutospacing="0"/>
              <w:jc w:val="center"/>
              <w:rPr>
                <w:rFonts w:eastAsiaTheme="minorHAnsi"/>
                <w:kern w:val="2"/>
                <w:sz w:val="20"/>
                <w:szCs w:val="20"/>
                <w:lang w:eastAsia="en-US"/>
                <w14:ligatures w14:val="standardContextual"/>
              </w:rPr>
            </w:pPr>
            <w:r w:rsidRPr="0017215A">
              <w:rPr>
                <w:color w:val="000000"/>
                <w:sz w:val="20"/>
                <w:szCs w:val="20"/>
              </w:rPr>
              <w:t>4</w:t>
            </w:r>
            <w:r w:rsidR="00E5251D">
              <w:rPr>
                <w:color w:val="000000"/>
                <w:sz w:val="20"/>
                <w:szCs w:val="20"/>
              </w:rPr>
              <w:t>87</w:t>
            </w:r>
          </w:p>
        </w:tc>
      </w:tr>
      <w:tr w:rsidR="00AE7399" w14:paraId="013784CF" w14:textId="77777777" w:rsidTr="00AE7399">
        <w:trPr>
          <w:jc w:val="center"/>
        </w:trPr>
        <w:tc>
          <w:tcPr>
            <w:tcW w:w="2547" w:type="dxa"/>
            <w:vAlign w:val="center"/>
          </w:tcPr>
          <w:p w14:paraId="5ED6F1E7" w14:textId="44E2DB54" w:rsidR="00AE7399" w:rsidRDefault="00AE7399" w:rsidP="00AE7399">
            <w:pPr>
              <w:pStyle w:val="standard"/>
              <w:spacing w:before="0" w:beforeAutospacing="0" w:after="0" w:afterAutospacing="0"/>
              <w:jc w:val="both"/>
              <w:rPr>
                <w:rFonts w:eastAsiaTheme="minorHAnsi"/>
                <w:kern w:val="2"/>
                <w:lang w:eastAsia="en-US"/>
                <w14:ligatures w14:val="standardContextual"/>
              </w:rPr>
            </w:pPr>
            <w:r w:rsidRPr="00DE28A4">
              <w:rPr>
                <w:color w:val="000000"/>
                <w:sz w:val="20"/>
                <w:szCs w:val="20"/>
              </w:rPr>
              <w:t>4 - Centro de Zona</w:t>
            </w:r>
          </w:p>
        </w:tc>
        <w:tc>
          <w:tcPr>
            <w:tcW w:w="2410" w:type="dxa"/>
            <w:vAlign w:val="bottom"/>
          </w:tcPr>
          <w:p w14:paraId="770B2280" w14:textId="3F2C6F28" w:rsidR="00AE7399" w:rsidRPr="0017215A" w:rsidRDefault="00AE7399" w:rsidP="00AE7399">
            <w:pPr>
              <w:pStyle w:val="standard"/>
              <w:spacing w:before="0" w:beforeAutospacing="0" w:after="0" w:afterAutospacing="0"/>
              <w:jc w:val="center"/>
              <w:rPr>
                <w:rFonts w:eastAsiaTheme="minorHAnsi"/>
                <w:kern w:val="2"/>
                <w:sz w:val="20"/>
                <w:szCs w:val="20"/>
                <w:lang w:eastAsia="en-US"/>
                <w14:ligatures w14:val="standardContextual"/>
              </w:rPr>
            </w:pPr>
            <w:r w:rsidRPr="0017215A">
              <w:rPr>
                <w:color w:val="000000"/>
                <w:sz w:val="20"/>
                <w:szCs w:val="20"/>
              </w:rPr>
              <w:t>42</w:t>
            </w:r>
            <w:r w:rsidR="00E5251D">
              <w:rPr>
                <w:color w:val="000000"/>
                <w:sz w:val="20"/>
                <w:szCs w:val="20"/>
              </w:rPr>
              <w:t>7</w:t>
            </w:r>
          </w:p>
        </w:tc>
      </w:tr>
      <w:tr w:rsidR="00AE7399" w14:paraId="1E31B1EE" w14:textId="77777777" w:rsidTr="00AE7399">
        <w:trPr>
          <w:jc w:val="center"/>
        </w:trPr>
        <w:tc>
          <w:tcPr>
            <w:tcW w:w="2547" w:type="dxa"/>
            <w:vAlign w:val="center"/>
          </w:tcPr>
          <w:p w14:paraId="49EEB9DD" w14:textId="4E05063F" w:rsidR="00AE7399" w:rsidRDefault="00AE7399" w:rsidP="00AE7399">
            <w:pPr>
              <w:pStyle w:val="standard"/>
              <w:spacing w:before="0" w:beforeAutospacing="0" w:after="0" w:afterAutospacing="0"/>
              <w:jc w:val="both"/>
              <w:rPr>
                <w:rFonts w:eastAsiaTheme="minorHAnsi"/>
                <w:kern w:val="2"/>
                <w:lang w:eastAsia="en-US"/>
                <w14:ligatures w14:val="standardContextual"/>
              </w:rPr>
            </w:pPr>
            <w:r w:rsidRPr="00DE28A4">
              <w:rPr>
                <w:color w:val="000000"/>
                <w:sz w:val="20"/>
                <w:szCs w:val="20"/>
              </w:rPr>
              <w:t>5 - Centro Local</w:t>
            </w:r>
          </w:p>
        </w:tc>
        <w:tc>
          <w:tcPr>
            <w:tcW w:w="2410" w:type="dxa"/>
            <w:vAlign w:val="bottom"/>
          </w:tcPr>
          <w:p w14:paraId="665D23C2" w14:textId="1FD01D20" w:rsidR="00AE7399" w:rsidRPr="0017215A" w:rsidRDefault="00E5251D" w:rsidP="00AE7399">
            <w:pPr>
              <w:pStyle w:val="standard"/>
              <w:spacing w:before="0" w:beforeAutospacing="0" w:after="0" w:afterAutospacing="0"/>
              <w:jc w:val="center"/>
              <w:rPr>
                <w:rFonts w:eastAsiaTheme="minorHAnsi"/>
                <w:kern w:val="2"/>
                <w:sz w:val="20"/>
                <w:szCs w:val="20"/>
                <w:lang w:eastAsia="en-US"/>
                <w14:ligatures w14:val="standardContextual"/>
              </w:rPr>
            </w:pPr>
            <w:r>
              <w:rPr>
                <w:color w:val="000000"/>
                <w:sz w:val="20"/>
                <w:szCs w:val="20"/>
              </w:rPr>
              <w:t>3970</w:t>
            </w:r>
          </w:p>
        </w:tc>
      </w:tr>
    </w:tbl>
    <w:p w14:paraId="6AFDD03F" w14:textId="25204E39" w:rsidR="00F868ED" w:rsidRDefault="00C03317" w:rsidP="0049446A">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  </w:t>
      </w:r>
      <w:r w:rsidR="00F868ED">
        <w:rPr>
          <w:rFonts w:eastAsiaTheme="minorHAnsi"/>
          <w:kern w:val="2"/>
          <w:lang w:eastAsia="en-US"/>
          <w14:ligatures w14:val="standardContextual"/>
        </w:rPr>
        <w:t xml:space="preserve">  </w:t>
      </w:r>
    </w:p>
    <w:p w14:paraId="60CBC212" w14:textId="60238407" w:rsidR="00D1484A" w:rsidRDefault="00A97926" w:rsidP="005777F5">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Considerando a regra do número mínimo de DMUs para aplicação do modelo DEA CCR, seriam necessár</w:t>
      </w:r>
      <w:r w:rsidR="009533F5">
        <w:rPr>
          <w:rFonts w:eastAsiaTheme="minorHAnsi"/>
          <w:kern w:val="2"/>
          <w:lang w:eastAsia="en-US"/>
          <w14:ligatures w14:val="standardContextual"/>
        </w:rPr>
        <w:t xml:space="preserve">ios no mínimo: {3 x (12 + 16); </w:t>
      </w:r>
      <w:r>
        <w:rPr>
          <w:rFonts w:eastAsiaTheme="minorHAnsi"/>
          <w:kern w:val="2"/>
          <w:lang w:eastAsia="en-US"/>
          <w14:ligatures w14:val="standardContextual"/>
        </w:rPr>
        <w:t>(12 x 16)} = {</w:t>
      </w:r>
      <w:proofErr w:type="gramStart"/>
      <w:r w:rsidR="0017215A">
        <w:rPr>
          <w:rFonts w:eastAsiaTheme="minorHAnsi"/>
          <w:kern w:val="2"/>
          <w:lang w:eastAsia="en-US"/>
          <w14:ligatures w14:val="standardContextual"/>
        </w:rPr>
        <w:t>84 ;</w:t>
      </w:r>
      <w:proofErr w:type="gramEnd"/>
      <w:r w:rsidR="0017215A">
        <w:rPr>
          <w:rFonts w:eastAsiaTheme="minorHAnsi"/>
          <w:kern w:val="2"/>
          <w:lang w:eastAsia="en-US"/>
          <w14:ligatures w14:val="standardContextual"/>
        </w:rPr>
        <w:t xml:space="preserve"> 192}, escolhendo o maior valor como sendo o número mínimo de DMUs, </w:t>
      </w:r>
      <w:r w:rsidR="002A493D">
        <w:rPr>
          <w:rFonts w:eastAsiaTheme="minorHAnsi"/>
          <w:kern w:val="2"/>
          <w:lang w:eastAsia="en-US"/>
          <w14:ligatures w14:val="standardContextual"/>
        </w:rPr>
        <w:t>ou seja,</w:t>
      </w:r>
      <w:r w:rsidR="0017215A">
        <w:rPr>
          <w:rFonts w:eastAsiaTheme="minorHAnsi"/>
          <w:kern w:val="2"/>
          <w:lang w:eastAsia="en-US"/>
          <w14:ligatures w14:val="standardContextual"/>
        </w:rPr>
        <w:t xml:space="preserve"> 192</w:t>
      </w:r>
      <w:r w:rsidR="00C767F9">
        <w:rPr>
          <w:rFonts w:eastAsiaTheme="minorHAnsi"/>
          <w:kern w:val="2"/>
          <w:lang w:eastAsia="en-US"/>
          <w14:ligatures w14:val="standardContextual"/>
        </w:rPr>
        <w:t xml:space="preserve"> municípios</w:t>
      </w:r>
      <w:r w:rsidR="0017215A">
        <w:rPr>
          <w:rFonts w:eastAsiaTheme="minorHAnsi"/>
          <w:kern w:val="2"/>
          <w:lang w:eastAsia="en-US"/>
          <w14:ligatures w14:val="standardContextual"/>
        </w:rPr>
        <w:t xml:space="preserve">. Como o menor grupo de DMUs, na classe 1 – Metrópoles possui 211 municípios é de se esperar que o modelo DEA consiga discriminar bem a eficiência dos municípios em cada classe hierárquica. </w:t>
      </w:r>
    </w:p>
    <w:p w14:paraId="67E978C1" w14:textId="3668E0F8" w:rsidR="005777F5" w:rsidRDefault="005777F5" w:rsidP="005777F5">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Fo</w:t>
      </w:r>
      <w:r w:rsidR="00FA6D63">
        <w:rPr>
          <w:rFonts w:eastAsiaTheme="minorHAnsi"/>
          <w:kern w:val="2"/>
          <w:lang w:eastAsia="en-US"/>
          <w14:ligatures w14:val="standardContextual"/>
        </w:rPr>
        <w:t>i</w:t>
      </w:r>
      <w:r>
        <w:rPr>
          <w:rFonts w:eastAsiaTheme="minorHAnsi"/>
          <w:kern w:val="2"/>
          <w:lang w:eastAsia="en-US"/>
          <w14:ligatures w14:val="standardContextual"/>
        </w:rPr>
        <w:t xml:space="preserve"> aplicado aos dados coletados</w:t>
      </w:r>
      <w:r w:rsidR="00C120CA">
        <w:rPr>
          <w:rFonts w:eastAsiaTheme="minorHAnsi"/>
          <w:kern w:val="2"/>
          <w:lang w:eastAsia="en-US"/>
          <w14:ligatures w14:val="standardContextual"/>
        </w:rPr>
        <w:t>,</w:t>
      </w:r>
      <w:r>
        <w:rPr>
          <w:rFonts w:eastAsiaTheme="minorHAnsi"/>
          <w:kern w:val="2"/>
          <w:lang w:eastAsia="en-US"/>
          <w14:ligatures w14:val="standardContextual"/>
        </w:rPr>
        <w:t xml:space="preserve"> o modelo DEA CCR orientado a </w:t>
      </w:r>
      <w:r w:rsidR="00FA6D63">
        <w:rPr>
          <w:rFonts w:eastAsiaTheme="minorHAnsi"/>
          <w:kern w:val="2"/>
          <w:lang w:eastAsia="en-US"/>
          <w14:ligatures w14:val="standardContextual"/>
        </w:rPr>
        <w:t>outputs</w:t>
      </w:r>
      <w:r>
        <w:rPr>
          <w:rFonts w:eastAsiaTheme="minorHAnsi"/>
          <w:kern w:val="2"/>
          <w:lang w:eastAsia="en-US"/>
          <w14:ligatures w14:val="standardContextual"/>
        </w:rPr>
        <w:t xml:space="preserve">. No modelo orientado a </w:t>
      </w:r>
      <w:r w:rsidR="00FA6D63">
        <w:rPr>
          <w:rFonts w:eastAsiaTheme="minorHAnsi"/>
          <w:kern w:val="2"/>
          <w:lang w:eastAsia="en-US"/>
          <w14:ligatures w14:val="standardContextual"/>
        </w:rPr>
        <w:t>outputs</w:t>
      </w:r>
      <w:r>
        <w:rPr>
          <w:rFonts w:eastAsiaTheme="minorHAnsi"/>
          <w:kern w:val="2"/>
          <w:lang w:eastAsia="en-US"/>
          <w14:ligatures w14:val="standardContextual"/>
        </w:rPr>
        <w:t xml:space="preserve">, </w:t>
      </w:r>
      <w:r w:rsidR="00FA6D63">
        <w:rPr>
          <w:rFonts w:eastAsiaTheme="minorHAnsi"/>
          <w:kern w:val="2"/>
          <w:lang w:eastAsia="en-US"/>
          <w14:ligatures w14:val="standardContextual"/>
        </w:rPr>
        <w:t xml:space="preserve">os insumos </w:t>
      </w:r>
      <w:r w:rsidRPr="005777F5">
        <w:rPr>
          <w:rFonts w:eastAsiaTheme="minorHAnsi"/>
          <w:kern w:val="2"/>
          <w:lang w:eastAsia="en-US"/>
          <w14:ligatures w14:val="standardContextual"/>
        </w:rPr>
        <w:t>são tratados como fixos, enquanto os outputs são variáveis.</w:t>
      </w:r>
      <w:r>
        <w:rPr>
          <w:rFonts w:eastAsiaTheme="minorHAnsi"/>
          <w:kern w:val="2"/>
          <w:lang w:eastAsia="en-US"/>
          <w14:ligatures w14:val="standardContextual"/>
        </w:rPr>
        <w:t xml:space="preserve"> Assim o modelo busca maximizar</w:t>
      </w:r>
      <w:r w:rsidRPr="005777F5">
        <w:rPr>
          <w:rFonts w:eastAsiaTheme="minorHAnsi"/>
          <w:kern w:val="2"/>
          <w:lang w:eastAsia="en-US"/>
          <w14:ligatures w14:val="standardContextual"/>
        </w:rPr>
        <w:t xml:space="preserve"> </w:t>
      </w:r>
      <w:r>
        <w:rPr>
          <w:rFonts w:eastAsiaTheme="minorHAnsi"/>
          <w:kern w:val="2"/>
          <w:lang w:eastAsia="en-US"/>
          <w14:ligatures w14:val="standardContextual"/>
        </w:rPr>
        <w:t xml:space="preserve">os </w:t>
      </w:r>
      <w:r w:rsidRPr="005777F5">
        <w:rPr>
          <w:rFonts w:eastAsiaTheme="minorHAnsi"/>
          <w:kern w:val="2"/>
          <w:lang w:eastAsia="en-US"/>
          <w14:ligatures w14:val="standardContextual"/>
        </w:rPr>
        <w:t>outputs</w:t>
      </w:r>
      <w:r>
        <w:rPr>
          <w:rFonts w:eastAsiaTheme="minorHAnsi"/>
          <w:kern w:val="2"/>
          <w:lang w:eastAsia="en-US"/>
          <w14:ligatures w14:val="standardContextual"/>
        </w:rPr>
        <w:t xml:space="preserve"> dados os insumos fixos. </w:t>
      </w:r>
      <w:r w:rsidR="00FA6D63">
        <w:rPr>
          <w:rFonts w:eastAsiaTheme="minorHAnsi"/>
          <w:kern w:val="2"/>
          <w:lang w:eastAsia="en-US"/>
          <w14:ligatures w14:val="standardContextual"/>
        </w:rPr>
        <w:t xml:space="preserve">Assim esse estudo parte do princípio </w:t>
      </w:r>
      <w:proofErr w:type="gramStart"/>
      <w:r w:rsidR="00FA6D63">
        <w:rPr>
          <w:rFonts w:eastAsiaTheme="minorHAnsi"/>
          <w:kern w:val="2"/>
          <w:lang w:eastAsia="en-US"/>
          <w14:ligatures w14:val="standardContextual"/>
        </w:rPr>
        <w:t>que</w:t>
      </w:r>
      <w:proofErr w:type="gramEnd"/>
      <w:r w:rsidR="00FA6D63">
        <w:rPr>
          <w:rFonts w:eastAsiaTheme="minorHAnsi"/>
          <w:kern w:val="2"/>
          <w:lang w:eastAsia="en-US"/>
          <w14:ligatures w14:val="standardContextual"/>
        </w:rPr>
        <w:t xml:space="preserve"> todo o orçamento deverá ser aplicado no município visando a maximização dos ODS municipais.  </w:t>
      </w:r>
      <w:r>
        <w:rPr>
          <w:rFonts w:eastAsiaTheme="minorHAnsi"/>
          <w:kern w:val="2"/>
          <w:lang w:eastAsia="en-US"/>
          <w14:ligatures w14:val="standardContextual"/>
        </w:rPr>
        <w:t xml:space="preserve">Ainda que o modelo </w:t>
      </w:r>
      <w:r w:rsidR="00FA6D63">
        <w:rPr>
          <w:rFonts w:eastAsiaTheme="minorHAnsi"/>
          <w:kern w:val="2"/>
          <w:lang w:eastAsia="en-US"/>
          <w14:ligatures w14:val="standardContextual"/>
        </w:rPr>
        <w:t xml:space="preserve">CCR </w:t>
      </w:r>
      <w:r>
        <w:rPr>
          <w:rFonts w:eastAsiaTheme="minorHAnsi"/>
          <w:kern w:val="2"/>
          <w:lang w:eastAsia="en-US"/>
          <w14:ligatures w14:val="standardContextual"/>
        </w:rPr>
        <w:t>leve a</w:t>
      </w:r>
      <w:r w:rsidR="00FA6D63">
        <w:rPr>
          <w:rFonts w:eastAsiaTheme="minorHAnsi"/>
          <w:kern w:val="2"/>
          <w:lang w:eastAsia="en-US"/>
          <w14:ligatures w14:val="standardContextual"/>
        </w:rPr>
        <w:t>o</w:t>
      </w:r>
      <w:r>
        <w:rPr>
          <w:rFonts w:eastAsiaTheme="minorHAnsi"/>
          <w:kern w:val="2"/>
          <w:lang w:eastAsia="en-US"/>
          <w14:ligatures w14:val="standardContextual"/>
        </w:rPr>
        <w:t xml:space="preserve"> mesm</w:t>
      </w:r>
      <w:r w:rsidR="00FA6D63">
        <w:rPr>
          <w:rFonts w:eastAsiaTheme="minorHAnsi"/>
          <w:kern w:val="2"/>
          <w:lang w:eastAsia="en-US"/>
          <w14:ligatures w14:val="standardContextual"/>
        </w:rPr>
        <w:t>o score de</w:t>
      </w:r>
      <w:r>
        <w:rPr>
          <w:rFonts w:eastAsiaTheme="minorHAnsi"/>
          <w:kern w:val="2"/>
          <w:lang w:eastAsia="en-US"/>
          <w14:ligatures w14:val="standardContextual"/>
        </w:rPr>
        <w:t xml:space="preserve"> eficiência, seja orientado a insumos ou a produtos, </w:t>
      </w:r>
      <w:r w:rsidR="00FA6D63">
        <w:rPr>
          <w:rFonts w:eastAsiaTheme="minorHAnsi"/>
          <w:kern w:val="2"/>
          <w:lang w:eastAsia="en-US"/>
          <w14:ligatures w14:val="standardContextual"/>
        </w:rPr>
        <w:t xml:space="preserve">devido ao fato de considerar retornos constantes de escala, </w:t>
      </w:r>
      <w:r>
        <w:rPr>
          <w:rFonts w:eastAsiaTheme="minorHAnsi"/>
          <w:kern w:val="2"/>
          <w:lang w:eastAsia="en-US"/>
          <w14:ligatures w14:val="standardContextual"/>
        </w:rPr>
        <w:t>os benchmarks, cidades consideradas com os melhores padrões de eficiência</w:t>
      </w:r>
      <w:r w:rsidR="00FA6D63">
        <w:rPr>
          <w:rFonts w:eastAsiaTheme="minorHAnsi"/>
          <w:kern w:val="2"/>
          <w:lang w:eastAsia="en-US"/>
          <w14:ligatures w14:val="standardContextual"/>
        </w:rPr>
        <w:t xml:space="preserve"> para a cidade ineficiente</w:t>
      </w:r>
      <w:r>
        <w:rPr>
          <w:rFonts w:eastAsiaTheme="minorHAnsi"/>
          <w:kern w:val="2"/>
          <w:lang w:eastAsia="en-US"/>
          <w14:ligatures w14:val="standardContextual"/>
        </w:rPr>
        <w:t xml:space="preserve">, mudam de acordo com a orientação. </w:t>
      </w:r>
    </w:p>
    <w:p w14:paraId="45DFDD19" w14:textId="77777777" w:rsidR="00D1484A" w:rsidRDefault="00D1484A" w:rsidP="005777F5">
      <w:pPr>
        <w:pStyle w:val="standard"/>
        <w:spacing w:before="0" w:beforeAutospacing="0" w:after="120" w:afterAutospacing="0" w:line="360" w:lineRule="auto"/>
        <w:ind w:firstLine="709"/>
        <w:jc w:val="both"/>
        <w:rPr>
          <w:rFonts w:eastAsiaTheme="minorHAnsi"/>
          <w:kern w:val="2"/>
          <w:lang w:eastAsia="en-US"/>
          <w14:ligatures w14:val="standardContextual"/>
        </w:rPr>
      </w:pPr>
      <w:r>
        <w:rPr>
          <w:rFonts w:eastAsiaTheme="minorHAnsi"/>
          <w:kern w:val="2"/>
          <w:lang w:eastAsia="en-US"/>
          <w14:ligatures w14:val="standardContextual"/>
        </w:rPr>
        <w:t>A seguir são apresentados os principais resultados encontrados por Hierarquia com a aplicação do modelo DEA CCR.</w:t>
      </w:r>
    </w:p>
    <w:p w14:paraId="6D9AE20F" w14:textId="77777777" w:rsidR="00D1484A" w:rsidRDefault="00D1484A" w:rsidP="00D1484A">
      <w:pPr>
        <w:pStyle w:val="standard"/>
        <w:spacing w:before="0" w:beforeAutospacing="0" w:after="120" w:afterAutospacing="0" w:line="360" w:lineRule="auto"/>
        <w:ind w:right="-1"/>
        <w:jc w:val="both"/>
        <w:rPr>
          <w:rFonts w:eastAsiaTheme="minorHAnsi"/>
          <w:kern w:val="2"/>
          <w:lang w:eastAsia="en-US"/>
          <w14:ligatures w14:val="standardContextual"/>
        </w:rPr>
      </w:pPr>
    </w:p>
    <w:p w14:paraId="3834DFC9" w14:textId="3358C203" w:rsidR="0049446A" w:rsidRDefault="00D1484A" w:rsidP="00D1484A">
      <w:pPr>
        <w:pStyle w:val="standard"/>
        <w:spacing w:before="0" w:beforeAutospacing="0" w:after="120" w:afterAutospacing="0" w:line="360" w:lineRule="auto"/>
        <w:ind w:right="-1"/>
        <w:jc w:val="both"/>
        <w:rPr>
          <w:rFonts w:eastAsiaTheme="minorHAnsi"/>
          <w:b/>
          <w:bCs/>
          <w:kern w:val="2"/>
          <w:lang w:eastAsia="en-US"/>
          <w14:ligatures w14:val="standardContextual"/>
        </w:rPr>
      </w:pPr>
      <w:r w:rsidRPr="00D1484A">
        <w:rPr>
          <w:rFonts w:eastAsiaTheme="minorHAnsi"/>
          <w:b/>
          <w:bCs/>
          <w:kern w:val="2"/>
          <w:lang w:eastAsia="en-US"/>
          <w14:ligatures w14:val="standardContextual"/>
        </w:rPr>
        <w:t xml:space="preserve">4.2.1 Metrópoles </w:t>
      </w:r>
      <w:r w:rsidR="0017215A" w:rsidRPr="00D1484A">
        <w:rPr>
          <w:rFonts w:eastAsiaTheme="minorHAnsi"/>
          <w:b/>
          <w:bCs/>
          <w:kern w:val="2"/>
          <w:lang w:eastAsia="en-US"/>
          <w14:ligatures w14:val="standardContextual"/>
        </w:rPr>
        <w:t xml:space="preserve"> </w:t>
      </w:r>
    </w:p>
    <w:p w14:paraId="67F06C5B" w14:textId="483E237E" w:rsidR="00B448E3" w:rsidRDefault="00B448E3" w:rsidP="002A493D">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As metrópoles compreendem as maiores e mais importantes cidades do Brasil, compreendendo principalmente as grandes capitais estaduais e cidades de grande porte, capazes de influenciar</w:t>
      </w:r>
      <w:r w:rsidR="00412BF7">
        <w:rPr>
          <w:rFonts w:eastAsiaTheme="minorHAnsi"/>
          <w:kern w:val="2"/>
          <w:lang w:eastAsia="en-US"/>
          <w14:ligatures w14:val="standardContextual"/>
        </w:rPr>
        <w:t>e</w:t>
      </w:r>
      <w:r>
        <w:rPr>
          <w:rFonts w:eastAsiaTheme="minorHAnsi"/>
          <w:kern w:val="2"/>
          <w:lang w:eastAsia="en-US"/>
          <w14:ligatures w14:val="standardContextual"/>
        </w:rPr>
        <w:t xml:space="preserve">m de modo significativo as demais cidades do país. Essas cidades reúnem as maiores populações, e consequentemente, os maiores orçamentos. Sendo </w:t>
      </w:r>
      <w:r>
        <w:rPr>
          <w:rFonts w:eastAsiaTheme="minorHAnsi"/>
          <w:kern w:val="2"/>
          <w:lang w:eastAsia="en-US"/>
          <w14:ligatures w14:val="standardContextual"/>
        </w:rPr>
        <w:lastRenderedPageBreak/>
        <w:t xml:space="preserve">importantes polos da economia nacional. </w:t>
      </w:r>
      <w:r w:rsidR="00F1059A">
        <w:rPr>
          <w:rFonts w:eastAsiaTheme="minorHAnsi"/>
          <w:kern w:val="2"/>
          <w:lang w:eastAsia="en-US"/>
          <w14:ligatures w14:val="standardContextual"/>
        </w:rPr>
        <w:t>A Tabela 7 apresenta um panorama dos 211 municípios classificados como metrópoles.</w:t>
      </w:r>
    </w:p>
    <w:p w14:paraId="6418BFA8" w14:textId="4AFC84A0" w:rsidR="00F1059A" w:rsidRPr="00F1059A" w:rsidRDefault="00F1059A" w:rsidP="00F1059A">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F1059A">
        <w:rPr>
          <w:rFonts w:eastAsiaTheme="minorHAnsi"/>
          <w:kern w:val="2"/>
          <w:sz w:val="20"/>
          <w:szCs w:val="20"/>
          <w:lang w:eastAsia="en-US"/>
          <w14:ligatures w14:val="standardContextual"/>
        </w:rPr>
        <w:t xml:space="preserve">Tabela 7 – Dados </w:t>
      </w:r>
      <w:r w:rsidR="00E43763">
        <w:rPr>
          <w:rFonts w:eastAsiaTheme="minorHAnsi"/>
          <w:kern w:val="2"/>
          <w:sz w:val="20"/>
          <w:szCs w:val="20"/>
          <w:lang w:eastAsia="en-US"/>
          <w14:ligatures w14:val="standardContextual"/>
        </w:rPr>
        <w:t xml:space="preserve">gerais </w:t>
      </w:r>
      <w:r w:rsidRPr="00F1059A">
        <w:rPr>
          <w:rFonts w:eastAsiaTheme="minorHAnsi"/>
          <w:kern w:val="2"/>
          <w:sz w:val="20"/>
          <w:szCs w:val="20"/>
          <w:lang w:eastAsia="en-US"/>
          <w14:ligatures w14:val="standardContextual"/>
        </w:rPr>
        <w:t xml:space="preserve">das cidades classificadas como </w:t>
      </w:r>
      <w:r w:rsidR="00E43763">
        <w:rPr>
          <w:rFonts w:eastAsiaTheme="minorHAnsi"/>
          <w:kern w:val="2"/>
          <w:sz w:val="20"/>
          <w:szCs w:val="20"/>
          <w:lang w:eastAsia="en-US"/>
          <w14:ligatures w14:val="standardContextual"/>
        </w:rPr>
        <w:t>M</w:t>
      </w:r>
      <w:r w:rsidRPr="00F1059A">
        <w:rPr>
          <w:rFonts w:eastAsiaTheme="minorHAnsi"/>
          <w:kern w:val="2"/>
          <w:sz w:val="20"/>
          <w:szCs w:val="20"/>
          <w:lang w:eastAsia="en-US"/>
          <w14:ligatures w14:val="standardContextual"/>
        </w:rPr>
        <w:t>etrópoles</w:t>
      </w:r>
    </w:p>
    <w:tbl>
      <w:tblPr>
        <w:tblStyle w:val="Tabelacomgrade"/>
        <w:tblW w:w="5000" w:type="pct"/>
        <w:jc w:val="center"/>
        <w:tblLook w:val="04A0" w:firstRow="1" w:lastRow="0" w:firstColumn="1" w:lastColumn="0" w:noHBand="0" w:noVBand="1"/>
      </w:tblPr>
      <w:tblGrid>
        <w:gridCol w:w="927"/>
        <w:gridCol w:w="1196"/>
        <w:gridCol w:w="2263"/>
        <w:gridCol w:w="1690"/>
        <w:gridCol w:w="1083"/>
        <w:gridCol w:w="1335"/>
      </w:tblGrid>
      <w:tr w:rsidR="00412BF7" w:rsidRPr="00412BF7" w14:paraId="48E14E5D" w14:textId="241AF8D0" w:rsidTr="00F1059A">
        <w:trPr>
          <w:trHeight w:val="396"/>
          <w:jc w:val="center"/>
        </w:trPr>
        <w:tc>
          <w:tcPr>
            <w:tcW w:w="536" w:type="pct"/>
          </w:tcPr>
          <w:p w14:paraId="6E452FF4" w14:textId="77777777" w:rsidR="00412BF7" w:rsidRPr="00412BF7" w:rsidRDefault="00412BF7" w:rsidP="00412BF7">
            <w:pPr>
              <w:pStyle w:val="standard"/>
              <w:spacing w:before="0" w:beforeAutospacing="0" w:after="0" w:afterAutospacing="0"/>
              <w:jc w:val="both"/>
              <w:rPr>
                <w:rFonts w:eastAsiaTheme="minorHAnsi"/>
                <w:kern w:val="2"/>
                <w:sz w:val="20"/>
                <w:szCs w:val="20"/>
                <w:lang w:eastAsia="en-US"/>
                <w14:ligatures w14:val="standardContextual"/>
              </w:rPr>
            </w:pPr>
          </w:p>
        </w:tc>
        <w:tc>
          <w:tcPr>
            <w:tcW w:w="710" w:type="pct"/>
            <w:vAlign w:val="center"/>
          </w:tcPr>
          <w:p w14:paraId="6F4DA663" w14:textId="12CFA2B8" w:rsidR="00412BF7" w:rsidRPr="00F1059A" w:rsidRDefault="00412BF7" w:rsidP="00F1059A">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População</w:t>
            </w:r>
          </w:p>
        </w:tc>
        <w:tc>
          <w:tcPr>
            <w:tcW w:w="1338" w:type="pct"/>
            <w:vAlign w:val="center"/>
          </w:tcPr>
          <w:p w14:paraId="10F522D2" w14:textId="5CC88BAA" w:rsidR="00412BF7" w:rsidRPr="00F1059A" w:rsidRDefault="00412BF7" w:rsidP="00F1059A">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w:t>
            </w:r>
          </w:p>
        </w:tc>
        <w:tc>
          <w:tcPr>
            <w:tcW w:w="1001" w:type="pct"/>
            <w:vAlign w:val="center"/>
          </w:tcPr>
          <w:p w14:paraId="274599B3" w14:textId="02E0BE7B" w:rsidR="00412BF7" w:rsidRPr="00F1059A" w:rsidRDefault="00412BF7" w:rsidP="00F1059A">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 per capita</w:t>
            </w:r>
          </w:p>
        </w:tc>
        <w:tc>
          <w:tcPr>
            <w:tcW w:w="623" w:type="pct"/>
            <w:vAlign w:val="center"/>
          </w:tcPr>
          <w:p w14:paraId="34261F7A" w14:textId="1C5825C0" w:rsidR="00412BF7" w:rsidRPr="00F1059A" w:rsidRDefault="00412BF7" w:rsidP="00F1059A">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ODS Agrupado</w:t>
            </w:r>
          </w:p>
        </w:tc>
        <w:tc>
          <w:tcPr>
            <w:tcW w:w="792" w:type="pct"/>
            <w:vAlign w:val="center"/>
          </w:tcPr>
          <w:p w14:paraId="39C808B9" w14:textId="5BB7A24E" w:rsidR="00412BF7" w:rsidRPr="00F1059A" w:rsidRDefault="00F1059A" w:rsidP="00F1059A">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Eficiência</w:t>
            </w:r>
          </w:p>
        </w:tc>
      </w:tr>
      <w:tr w:rsidR="00412BF7" w:rsidRPr="00412BF7" w14:paraId="6A83AB7F" w14:textId="4A036DC9" w:rsidTr="00F1059A">
        <w:trPr>
          <w:trHeight w:val="396"/>
          <w:jc w:val="center"/>
        </w:trPr>
        <w:tc>
          <w:tcPr>
            <w:tcW w:w="536" w:type="pct"/>
            <w:vAlign w:val="center"/>
          </w:tcPr>
          <w:p w14:paraId="6CFB3723" w14:textId="7EB6A2A1" w:rsidR="00412BF7" w:rsidRPr="00F1059A" w:rsidRDefault="00412BF7" w:rsidP="00F1059A">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Média</w:t>
            </w:r>
          </w:p>
        </w:tc>
        <w:tc>
          <w:tcPr>
            <w:tcW w:w="710" w:type="pct"/>
            <w:vAlign w:val="center"/>
          </w:tcPr>
          <w:p w14:paraId="7C7F20AA" w14:textId="6BCEB600" w:rsidR="00412BF7" w:rsidRPr="00F1059A" w:rsidRDefault="00412BF7" w:rsidP="00F1059A">
            <w:pPr>
              <w:jc w:val="center"/>
              <w:rPr>
                <w:rFonts w:ascii="Times New Roman" w:hAnsi="Times New Roman" w:cs="Times New Roman"/>
                <w:color w:val="000000"/>
                <w:sz w:val="20"/>
                <w:szCs w:val="20"/>
              </w:rPr>
            </w:pPr>
            <w:r w:rsidRPr="00F1059A">
              <w:rPr>
                <w:rFonts w:ascii="Times New Roman" w:hAnsi="Times New Roman" w:cs="Times New Roman"/>
                <w:color w:val="000000"/>
                <w:sz w:val="20"/>
                <w:szCs w:val="20"/>
              </w:rPr>
              <w:t>318.793</w:t>
            </w:r>
          </w:p>
        </w:tc>
        <w:tc>
          <w:tcPr>
            <w:tcW w:w="1338" w:type="pct"/>
            <w:vAlign w:val="center"/>
          </w:tcPr>
          <w:p w14:paraId="341509C7" w14:textId="2B671225" w:rsidR="00412BF7" w:rsidRPr="00F1059A" w:rsidRDefault="00A86621" w:rsidP="00F1059A">
            <w:pPr>
              <w:pStyle w:val="standard"/>
              <w:spacing w:before="0" w:beforeAutospacing="0" w:after="0" w:afterAutospacing="0"/>
              <w:jc w:val="center"/>
              <w:rPr>
                <w:rFonts w:eastAsiaTheme="minorHAnsi"/>
                <w:kern w:val="2"/>
                <w:sz w:val="20"/>
                <w:szCs w:val="20"/>
                <w:lang w:eastAsia="en-US"/>
                <w14:ligatures w14:val="standardContextual"/>
              </w:rPr>
            </w:pPr>
            <w:r w:rsidRPr="00F1059A">
              <w:rPr>
                <w:color w:val="000000"/>
                <w:sz w:val="20"/>
                <w:szCs w:val="20"/>
              </w:rPr>
              <w:t>R$ 1.626.681.504,54</w:t>
            </w:r>
          </w:p>
        </w:tc>
        <w:tc>
          <w:tcPr>
            <w:tcW w:w="1001" w:type="pct"/>
            <w:vAlign w:val="center"/>
          </w:tcPr>
          <w:p w14:paraId="2624E00D" w14:textId="61B2C928" w:rsidR="00412BF7" w:rsidRPr="00F1059A" w:rsidRDefault="00412BF7" w:rsidP="00F1059A">
            <w:pPr>
              <w:jc w:val="center"/>
              <w:rPr>
                <w:rFonts w:ascii="Times New Roman" w:hAnsi="Times New Roman" w:cs="Times New Roman"/>
                <w:color w:val="000000"/>
                <w:sz w:val="20"/>
                <w:szCs w:val="20"/>
              </w:rPr>
            </w:pPr>
            <w:r w:rsidRPr="00F1059A">
              <w:rPr>
                <w:rFonts w:ascii="Times New Roman" w:hAnsi="Times New Roman" w:cs="Times New Roman"/>
                <w:color w:val="000000"/>
                <w:sz w:val="20"/>
                <w:szCs w:val="20"/>
              </w:rPr>
              <w:t>R$ 5.044,88</w:t>
            </w:r>
          </w:p>
        </w:tc>
        <w:tc>
          <w:tcPr>
            <w:tcW w:w="623" w:type="pct"/>
            <w:vAlign w:val="center"/>
          </w:tcPr>
          <w:p w14:paraId="6FB41482" w14:textId="4BE9EBB8" w:rsidR="00412BF7" w:rsidRPr="000B4B03" w:rsidRDefault="00412BF7" w:rsidP="00F1059A">
            <w:pPr>
              <w:jc w:val="center"/>
              <w:rPr>
                <w:rFonts w:ascii="Times New Roman" w:hAnsi="Times New Roman" w:cs="Times New Roman"/>
                <w:color w:val="000000"/>
                <w:sz w:val="20"/>
                <w:szCs w:val="20"/>
              </w:rPr>
            </w:pPr>
            <w:r w:rsidRPr="000B4B03">
              <w:rPr>
                <w:rFonts w:ascii="Times New Roman" w:hAnsi="Times New Roman" w:cs="Times New Roman"/>
                <w:color w:val="000000"/>
                <w:sz w:val="20"/>
                <w:szCs w:val="20"/>
              </w:rPr>
              <w:t>51,73</w:t>
            </w:r>
          </w:p>
        </w:tc>
        <w:tc>
          <w:tcPr>
            <w:tcW w:w="792" w:type="pct"/>
            <w:vAlign w:val="center"/>
          </w:tcPr>
          <w:p w14:paraId="009783ED" w14:textId="2E1D11B8" w:rsidR="00412BF7" w:rsidRPr="00F1059A" w:rsidRDefault="00F1059A" w:rsidP="00F1059A">
            <w:pPr>
              <w:jc w:val="center"/>
              <w:rPr>
                <w:rFonts w:ascii="Times New Roman" w:hAnsi="Times New Roman" w:cs="Times New Roman"/>
                <w:color w:val="000000"/>
                <w:sz w:val="20"/>
                <w:szCs w:val="20"/>
              </w:rPr>
            </w:pPr>
            <w:r w:rsidRPr="00F1059A">
              <w:rPr>
                <w:rFonts w:ascii="Times New Roman" w:hAnsi="Times New Roman" w:cs="Times New Roman"/>
                <w:color w:val="000000"/>
                <w:sz w:val="20"/>
                <w:szCs w:val="20"/>
              </w:rPr>
              <w:t>0,9</w:t>
            </w:r>
            <w:r w:rsidR="00BE1034">
              <w:rPr>
                <w:rFonts w:ascii="Times New Roman" w:hAnsi="Times New Roman" w:cs="Times New Roman"/>
                <w:color w:val="000000"/>
                <w:sz w:val="20"/>
                <w:szCs w:val="20"/>
              </w:rPr>
              <w:t>70</w:t>
            </w:r>
          </w:p>
        </w:tc>
      </w:tr>
      <w:tr w:rsidR="00412BF7" w:rsidRPr="00412BF7" w14:paraId="073D02BD" w14:textId="4FACCEA6" w:rsidTr="00F1059A">
        <w:trPr>
          <w:trHeight w:val="396"/>
          <w:jc w:val="center"/>
        </w:trPr>
        <w:tc>
          <w:tcPr>
            <w:tcW w:w="536" w:type="pct"/>
            <w:vAlign w:val="center"/>
          </w:tcPr>
          <w:p w14:paraId="1F36B3D0" w14:textId="19D3DEB5" w:rsidR="00412BF7" w:rsidRPr="00F1059A" w:rsidRDefault="00412BF7" w:rsidP="00F1059A">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Mínimo</w:t>
            </w:r>
          </w:p>
        </w:tc>
        <w:tc>
          <w:tcPr>
            <w:tcW w:w="710" w:type="pct"/>
            <w:vAlign w:val="center"/>
          </w:tcPr>
          <w:p w14:paraId="109CE60B" w14:textId="26906C57" w:rsidR="00412BF7" w:rsidRPr="00F1059A" w:rsidRDefault="00412BF7" w:rsidP="00F1059A">
            <w:pPr>
              <w:pStyle w:val="standard"/>
              <w:spacing w:before="0" w:beforeAutospacing="0" w:after="0" w:afterAutospacing="0"/>
              <w:jc w:val="center"/>
              <w:rPr>
                <w:rFonts w:eastAsiaTheme="minorHAnsi"/>
                <w:kern w:val="2"/>
                <w:sz w:val="20"/>
                <w:szCs w:val="20"/>
                <w:lang w:eastAsia="en-US"/>
                <w14:ligatures w14:val="standardContextual"/>
              </w:rPr>
            </w:pPr>
            <w:r w:rsidRPr="00F1059A">
              <w:rPr>
                <w:color w:val="000000"/>
                <w:sz w:val="20"/>
                <w:szCs w:val="20"/>
              </w:rPr>
              <w:t>3.077</w:t>
            </w:r>
          </w:p>
        </w:tc>
        <w:tc>
          <w:tcPr>
            <w:tcW w:w="1338" w:type="pct"/>
            <w:vAlign w:val="center"/>
          </w:tcPr>
          <w:p w14:paraId="6E31DF4D" w14:textId="2C2FE671" w:rsidR="00412BF7" w:rsidRPr="00F1059A" w:rsidRDefault="00A86621" w:rsidP="00F1059A">
            <w:pPr>
              <w:pStyle w:val="standard"/>
              <w:spacing w:before="0" w:beforeAutospacing="0" w:after="0" w:afterAutospacing="0"/>
              <w:jc w:val="center"/>
              <w:rPr>
                <w:rFonts w:eastAsiaTheme="minorHAnsi"/>
                <w:kern w:val="2"/>
                <w:sz w:val="20"/>
                <w:szCs w:val="20"/>
                <w:lang w:eastAsia="en-US"/>
                <w14:ligatures w14:val="standardContextual"/>
              </w:rPr>
            </w:pPr>
            <w:r w:rsidRPr="00F1059A">
              <w:rPr>
                <w:color w:val="000000"/>
                <w:sz w:val="20"/>
                <w:szCs w:val="20"/>
              </w:rPr>
              <w:t>R$ 23.990.923,28</w:t>
            </w:r>
          </w:p>
        </w:tc>
        <w:tc>
          <w:tcPr>
            <w:tcW w:w="1001" w:type="pct"/>
            <w:vAlign w:val="center"/>
          </w:tcPr>
          <w:p w14:paraId="0A508CBB" w14:textId="10835078" w:rsidR="00412BF7" w:rsidRPr="00F1059A" w:rsidRDefault="00412BF7" w:rsidP="00F1059A">
            <w:pPr>
              <w:pStyle w:val="standard"/>
              <w:spacing w:before="0" w:beforeAutospacing="0" w:after="0" w:afterAutospacing="0"/>
              <w:jc w:val="center"/>
              <w:rPr>
                <w:rFonts w:eastAsiaTheme="minorHAnsi"/>
                <w:kern w:val="2"/>
                <w:sz w:val="20"/>
                <w:szCs w:val="20"/>
                <w:lang w:eastAsia="en-US"/>
                <w14:ligatures w14:val="standardContextual"/>
              </w:rPr>
            </w:pPr>
            <w:r w:rsidRPr="00F1059A">
              <w:rPr>
                <w:color w:val="000000"/>
                <w:sz w:val="20"/>
                <w:szCs w:val="20"/>
              </w:rPr>
              <w:t>R$ 2.061,28</w:t>
            </w:r>
          </w:p>
        </w:tc>
        <w:tc>
          <w:tcPr>
            <w:tcW w:w="623" w:type="pct"/>
            <w:vAlign w:val="center"/>
          </w:tcPr>
          <w:p w14:paraId="4F3389DF" w14:textId="23C4B1E9" w:rsidR="00412BF7" w:rsidRPr="000B4B03" w:rsidRDefault="00412BF7" w:rsidP="00F1059A">
            <w:pPr>
              <w:jc w:val="center"/>
              <w:rPr>
                <w:rFonts w:ascii="Times New Roman" w:hAnsi="Times New Roman" w:cs="Times New Roman"/>
                <w:color w:val="000000"/>
                <w:sz w:val="20"/>
                <w:szCs w:val="20"/>
              </w:rPr>
            </w:pPr>
            <w:r w:rsidRPr="000B4B03">
              <w:rPr>
                <w:rFonts w:ascii="Times New Roman" w:hAnsi="Times New Roman" w:cs="Times New Roman"/>
                <w:color w:val="000000"/>
                <w:sz w:val="20"/>
                <w:szCs w:val="20"/>
              </w:rPr>
              <w:t>37,80</w:t>
            </w:r>
          </w:p>
        </w:tc>
        <w:tc>
          <w:tcPr>
            <w:tcW w:w="792" w:type="pct"/>
            <w:vAlign w:val="center"/>
          </w:tcPr>
          <w:p w14:paraId="33808EF2" w14:textId="6267405D" w:rsidR="00412BF7" w:rsidRPr="00F1059A" w:rsidRDefault="00F1059A" w:rsidP="00F1059A">
            <w:pPr>
              <w:jc w:val="center"/>
              <w:rPr>
                <w:rFonts w:ascii="Times New Roman" w:hAnsi="Times New Roman" w:cs="Times New Roman"/>
                <w:color w:val="000000"/>
                <w:sz w:val="20"/>
                <w:szCs w:val="20"/>
              </w:rPr>
            </w:pPr>
            <w:r w:rsidRPr="00F1059A">
              <w:rPr>
                <w:rFonts w:ascii="Times New Roman" w:hAnsi="Times New Roman" w:cs="Times New Roman"/>
                <w:color w:val="000000"/>
                <w:sz w:val="20"/>
                <w:szCs w:val="20"/>
              </w:rPr>
              <w:t>0,2</w:t>
            </w:r>
            <w:r w:rsidR="00BE1034">
              <w:rPr>
                <w:rFonts w:ascii="Times New Roman" w:hAnsi="Times New Roman" w:cs="Times New Roman"/>
                <w:color w:val="000000"/>
                <w:sz w:val="20"/>
                <w:szCs w:val="20"/>
              </w:rPr>
              <w:t>79</w:t>
            </w:r>
          </w:p>
        </w:tc>
      </w:tr>
      <w:tr w:rsidR="00412BF7" w:rsidRPr="00412BF7" w14:paraId="01C5E0B9" w14:textId="65F8BAA5" w:rsidTr="00F1059A">
        <w:trPr>
          <w:trHeight w:val="396"/>
          <w:jc w:val="center"/>
        </w:trPr>
        <w:tc>
          <w:tcPr>
            <w:tcW w:w="536" w:type="pct"/>
            <w:vAlign w:val="center"/>
          </w:tcPr>
          <w:p w14:paraId="2258CFDD" w14:textId="7399E34D" w:rsidR="00412BF7" w:rsidRPr="00F1059A" w:rsidRDefault="00412BF7" w:rsidP="00F1059A">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Máximo</w:t>
            </w:r>
          </w:p>
        </w:tc>
        <w:tc>
          <w:tcPr>
            <w:tcW w:w="710" w:type="pct"/>
            <w:vAlign w:val="center"/>
          </w:tcPr>
          <w:p w14:paraId="442B1698" w14:textId="52D1D631" w:rsidR="00412BF7" w:rsidRPr="00F1059A" w:rsidRDefault="00412BF7" w:rsidP="00F1059A">
            <w:pPr>
              <w:pStyle w:val="standard"/>
              <w:spacing w:before="0" w:beforeAutospacing="0" w:after="0" w:afterAutospacing="0"/>
              <w:jc w:val="center"/>
              <w:rPr>
                <w:rFonts w:eastAsiaTheme="minorHAnsi"/>
                <w:kern w:val="2"/>
                <w:sz w:val="20"/>
                <w:szCs w:val="20"/>
                <w:lang w:eastAsia="en-US"/>
                <w14:ligatures w14:val="standardContextual"/>
              </w:rPr>
            </w:pPr>
            <w:r w:rsidRPr="00F1059A">
              <w:rPr>
                <w:color w:val="000000"/>
                <w:sz w:val="20"/>
                <w:szCs w:val="20"/>
              </w:rPr>
              <w:t>11.451.999</w:t>
            </w:r>
          </w:p>
        </w:tc>
        <w:tc>
          <w:tcPr>
            <w:tcW w:w="1338" w:type="pct"/>
            <w:vAlign w:val="center"/>
          </w:tcPr>
          <w:p w14:paraId="440E9FBB" w14:textId="61857C39" w:rsidR="00412BF7" w:rsidRPr="00F1059A" w:rsidRDefault="00412BF7" w:rsidP="00F1059A">
            <w:pPr>
              <w:pStyle w:val="standard"/>
              <w:spacing w:before="0" w:beforeAutospacing="0" w:after="0" w:afterAutospacing="0"/>
              <w:jc w:val="center"/>
              <w:rPr>
                <w:rFonts w:eastAsiaTheme="minorHAnsi"/>
                <w:kern w:val="2"/>
                <w:sz w:val="20"/>
                <w:szCs w:val="20"/>
                <w:lang w:eastAsia="en-US"/>
                <w14:ligatures w14:val="standardContextual"/>
              </w:rPr>
            </w:pPr>
            <w:r w:rsidRPr="00F1059A">
              <w:rPr>
                <w:color w:val="000000"/>
                <w:sz w:val="20"/>
                <w:szCs w:val="20"/>
              </w:rPr>
              <w:t>R$ 83.970.582.803,73</w:t>
            </w:r>
          </w:p>
        </w:tc>
        <w:tc>
          <w:tcPr>
            <w:tcW w:w="1001" w:type="pct"/>
            <w:vAlign w:val="center"/>
          </w:tcPr>
          <w:p w14:paraId="0012B2F6" w14:textId="5BAE30CA" w:rsidR="00412BF7" w:rsidRPr="00F1059A" w:rsidRDefault="00412BF7" w:rsidP="00F1059A">
            <w:pPr>
              <w:pStyle w:val="standard"/>
              <w:spacing w:before="0" w:beforeAutospacing="0" w:after="0" w:afterAutospacing="0"/>
              <w:jc w:val="center"/>
              <w:rPr>
                <w:rFonts w:eastAsiaTheme="minorHAnsi"/>
                <w:kern w:val="2"/>
                <w:sz w:val="20"/>
                <w:szCs w:val="20"/>
                <w:lang w:eastAsia="en-US"/>
                <w14:ligatures w14:val="standardContextual"/>
              </w:rPr>
            </w:pPr>
            <w:r w:rsidRPr="00F1059A">
              <w:rPr>
                <w:color w:val="000000"/>
                <w:sz w:val="20"/>
                <w:szCs w:val="20"/>
              </w:rPr>
              <w:t>R$ 22.197,31</w:t>
            </w:r>
          </w:p>
        </w:tc>
        <w:tc>
          <w:tcPr>
            <w:tcW w:w="623" w:type="pct"/>
            <w:vAlign w:val="center"/>
          </w:tcPr>
          <w:p w14:paraId="68683BAA" w14:textId="4ED18519" w:rsidR="00412BF7" w:rsidRPr="000B4B03" w:rsidRDefault="00412BF7" w:rsidP="00F1059A">
            <w:pPr>
              <w:jc w:val="center"/>
              <w:rPr>
                <w:rFonts w:ascii="Times New Roman" w:hAnsi="Times New Roman" w:cs="Times New Roman"/>
                <w:color w:val="000000"/>
                <w:sz w:val="20"/>
                <w:szCs w:val="20"/>
              </w:rPr>
            </w:pPr>
            <w:r w:rsidRPr="000B4B03">
              <w:rPr>
                <w:rFonts w:ascii="Times New Roman" w:hAnsi="Times New Roman" w:cs="Times New Roman"/>
                <w:color w:val="000000"/>
                <w:sz w:val="20"/>
                <w:szCs w:val="20"/>
              </w:rPr>
              <w:t>63,61</w:t>
            </w:r>
          </w:p>
        </w:tc>
        <w:tc>
          <w:tcPr>
            <w:tcW w:w="792" w:type="pct"/>
            <w:vAlign w:val="center"/>
          </w:tcPr>
          <w:p w14:paraId="121D38E4" w14:textId="44C3662D" w:rsidR="00412BF7" w:rsidRPr="00F1059A" w:rsidRDefault="00F1059A" w:rsidP="00F1059A">
            <w:pPr>
              <w:jc w:val="center"/>
              <w:rPr>
                <w:rFonts w:ascii="Times New Roman" w:hAnsi="Times New Roman" w:cs="Times New Roman"/>
                <w:color w:val="000000"/>
                <w:sz w:val="20"/>
                <w:szCs w:val="20"/>
              </w:rPr>
            </w:pPr>
            <w:r w:rsidRPr="00F1059A">
              <w:rPr>
                <w:rFonts w:ascii="Times New Roman" w:hAnsi="Times New Roman" w:cs="Times New Roman"/>
                <w:color w:val="000000"/>
                <w:sz w:val="20"/>
                <w:szCs w:val="20"/>
              </w:rPr>
              <w:t>1</w:t>
            </w:r>
            <w:r w:rsidR="00BE1034">
              <w:rPr>
                <w:rFonts w:ascii="Times New Roman" w:hAnsi="Times New Roman" w:cs="Times New Roman"/>
                <w:color w:val="000000"/>
                <w:sz w:val="20"/>
                <w:szCs w:val="20"/>
              </w:rPr>
              <w:t>,000</w:t>
            </w:r>
          </w:p>
        </w:tc>
      </w:tr>
    </w:tbl>
    <w:p w14:paraId="18FB6A2B" w14:textId="77777777" w:rsidR="00412BF7" w:rsidRDefault="00412BF7" w:rsidP="002A493D">
      <w:pPr>
        <w:pStyle w:val="standard"/>
        <w:spacing w:before="0" w:beforeAutospacing="0" w:after="120" w:afterAutospacing="0" w:line="360" w:lineRule="auto"/>
        <w:ind w:right="-1" w:firstLine="708"/>
        <w:jc w:val="both"/>
        <w:rPr>
          <w:rFonts w:eastAsiaTheme="minorHAnsi"/>
          <w:kern w:val="2"/>
          <w:lang w:eastAsia="en-US"/>
          <w14:ligatures w14:val="standardContextual"/>
        </w:rPr>
      </w:pPr>
    </w:p>
    <w:p w14:paraId="3BA1505A" w14:textId="4F697F00" w:rsidR="00A86621" w:rsidRDefault="00A86621" w:rsidP="002A493D">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Na Tabela 7 os dados médios, mínimo e máximo podem se referir a diferentes municípios quando se analisam: orçamento, orçamento per capita, ODS e Eficiência. A</w:t>
      </w:r>
      <w:r w:rsidR="00A220AC">
        <w:rPr>
          <w:rFonts w:eastAsiaTheme="minorHAnsi"/>
          <w:kern w:val="2"/>
          <w:lang w:eastAsia="en-US"/>
          <w14:ligatures w14:val="standardContextual"/>
        </w:rPr>
        <w:t>ssim a</w:t>
      </w:r>
      <w:r>
        <w:rPr>
          <w:rFonts w:eastAsiaTheme="minorHAnsi"/>
          <w:kern w:val="2"/>
          <w:lang w:eastAsia="en-US"/>
          <w14:ligatures w14:val="standardContextual"/>
        </w:rPr>
        <w:t xml:space="preserve"> Tabela 7 objetiva apresentar um </w:t>
      </w:r>
      <w:r w:rsidR="00A220AC">
        <w:rPr>
          <w:rFonts w:eastAsiaTheme="minorHAnsi"/>
          <w:kern w:val="2"/>
          <w:lang w:eastAsia="en-US"/>
          <w14:ligatures w14:val="standardContextual"/>
        </w:rPr>
        <w:t>panorama</w:t>
      </w:r>
      <w:r>
        <w:rPr>
          <w:rFonts w:eastAsiaTheme="minorHAnsi"/>
          <w:kern w:val="2"/>
          <w:lang w:eastAsia="en-US"/>
          <w14:ligatures w14:val="standardContextual"/>
        </w:rPr>
        <w:t xml:space="preserve"> geral dos dados levantados. Conforme observado nessa tabela, pode parecer estranho uma cidade com 3.077 habitantes ser considerada uma Metrópole, no entanto essa classificação seguiu a metodologia apresentada pelo REGIC (2018). </w:t>
      </w:r>
    </w:p>
    <w:p w14:paraId="054283B4" w14:textId="49DCE20A" w:rsidR="00A86621" w:rsidRDefault="00A86621" w:rsidP="002A493D">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Segundo essa metodologia, </w:t>
      </w:r>
      <w:r w:rsidRPr="00A86621">
        <w:rPr>
          <w:rFonts w:eastAsiaTheme="minorHAnsi"/>
          <w:kern w:val="2"/>
          <w:lang w:eastAsia="en-US"/>
          <w14:ligatures w14:val="standardContextual"/>
        </w:rPr>
        <w:t xml:space="preserve">a hierarquia urbana e as regiões de influência são delimitadas para o recorte espacial </w:t>
      </w:r>
      <w:r w:rsidR="00E51505">
        <w:rPr>
          <w:rFonts w:eastAsiaTheme="minorHAnsi"/>
          <w:kern w:val="2"/>
          <w:lang w:eastAsia="en-US"/>
          <w14:ligatures w14:val="standardContextual"/>
        </w:rPr>
        <w:t xml:space="preserve">da </w:t>
      </w:r>
      <w:r w:rsidRPr="00A86621">
        <w:rPr>
          <w:rFonts w:eastAsiaTheme="minorHAnsi"/>
          <w:kern w:val="2"/>
          <w:lang w:eastAsia="en-US"/>
          <w14:ligatures w14:val="standardContextual"/>
        </w:rPr>
        <w:t xml:space="preserve">Cidade. </w:t>
      </w:r>
      <w:r w:rsidR="00E51505">
        <w:rPr>
          <w:rFonts w:eastAsiaTheme="minorHAnsi"/>
          <w:kern w:val="2"/>
          <w:lang w:eastAsia="en-US"/>
          <w14:ligatures w14:val="standardContextual"/>
        </w:rPr>
        <w:t>No entanto</w:t>
      </w:r>
      <w:r w:rsidRPr="00A86621">
        <w:rPr>
          <w:rFonts w:eastAsiaTheme="minorHAnsi"/>
          <w:kern w:val="2"/>
          <w:lang w:eastAsia="en-US"/>
          <w14:ligatures w14:val="standardContextual"/>
        </w:rPr>
        <w:t xml:space="preserve">, essa classificação não é automaticamente aplicada aos municípios individualmente. </w:t>
      </w:r>
      <w:r w:rsidR="00E51505">
        <w:rPr>
          <w:rFonts w:eastAsiaTheme="minorHAnsi"/>
          <w:kern w:val="2"/>
          <w:lang w:eastAsia="en-US"/>
          <w14:ligatures w14:val="standardContextual"/>
        </w:rPr>
        <w:t>Para a definição da hierarquia</w:t>
      </w:r>
      <w:r w:rsidRPr="00A86621">
        <w:rPr>
          <w:rFonts w:eastAsiaTheme="minorHAnsi"/>
          <w:kern w:val="2"/>
          <w:lang w:eastAsia="en-US"/>
          <w14:ligatures w14:val="standardContextual"/>
        </w:rPr>
        <w:t xml:space="preserve"> optou-se por </w:t>
      </w:r>
      <w:r w:rsidR="00E51505">
        <w:rPr>
          <w:rFonts w:eastAsiaTheme="minorHAnsi"/>
          <w:kern w:val="2"/>
          <w:lang w:eastAsia="en-US"/>
          <w14:ligatures w14:val="standardContextual"/>
        </w:rPr>
        <w:t xml:space="preserve">se considerar que </w:t>
      </w:r>
      <w:r w:rsidR="00E51505" w:rsidRPr="00E51505">
        <w:rPr>
          <w:rFonts w:eastAsiaTheme="minorHAnsi"/>
          <w:kern w:val="2"/>
          <w:lang w:eastAsia="en-US"/>
          <w14:ligatures w14:val="standardContextual"/>
        </w:rPr>
        <w:t>sempre que o Município for integrante de Arranjo Populacional, essa informação é acrescentada à descrição da sua hierarquia urbana</w:t>
      </w:r>
      <w:r w:rsidRPr="00A86621">
        <w:rPr>
          <w:rFonts w:eastAsiaTheme="minorHAnsi"/>
          <w:kern w:val="2"/>
          <w:lang w:eastAsia="en-US"/>
          <w14:ligatures w14:val="standardContextual"/>
        </w:rPr>
        <w:t>.</w:t>
      </w:r>
      <w:r w:rsidR="00E51505">
        <w:rPr>
          <w:rFonts w:eastAsiaTheme="minorHAnsi"/>
          <w:kern w:val="2"/>
          <w:lang w:eastAsia="en-US"/>
          <w14:ligatures w14:val="standardContextual"/>
        </w:rPr>
        <w:t xml:space="preserve"> Ou seja,</w:t>
      </w:r>
      <w:r w:rsidRPr="00A86621">
        <w:rPr>
          <w:rFonts w:eastAsiaTheme="minorHAnsi"/>
          <w:kern w:val="2"/>
          <w:lang w:eastAsia="en-US"/>
          <w14:ligatures w14:val="standardContextual"/>
        </w:rPr>
        <w:t xml:space="preserve"> </w:t>
      </w:r>
      <w:r w:rsidR="00E51505">
        <w:rPr>
          <w:rFonts w:eastAsiaTheme="minorHAnsi"/>
          <w:kern w:val="2"/>
          <w:lang w:eastAsia="en-US"/>
          <w14:ligatures w14:val="standardContextual"/>
        </w:rPr>
        <w:t>q</w:t>
      </w:r>
      <w:r w:rsidRPr="00A86621">
        <w:rPr>
          <w:rFonts w:eastAsiaTheme="minorHAnsi"/>
          <w:kern w:val="2"/>
          <w:lang w:eastAsia="en-US"/>
          <w14:ligatures w14:val="standardContextual"/>
        </w:rPr>
        <w:t>uando uma cidade é parte de um arranjo populacional, é o conjunto todo que possui essa hierarquia, e não cada município isoladamente.</w:t>
      </w:r>
      <w:r w:rsidR="00A220AC">
        <w:rPr>
          <w:rFonts w:eastAsiaTheme="minorHAnsi"/>
          <w:kern w:val="2"/>
          <w:lang w:eastAsia="en-US"/>
          <w14:ligatures w14:val="standardContextual"/>
        </w:rPr>
        <w:t xml:space="preserve"> Como</w:t>
      </w:r>
      <w:r w:rsidR="00A220AC" w:rsidRPr="00A220AC">
        <w:rPr>
          <w:rFonts w:eastAsiaTheme="minorHAnsi"/>
          <w:kern w:val="2"/>
          <w:lang w:eastAsia="en-US"/>
          <w14:ligatures w14:val="standardContextual"/>
        </w:rPr>
        <w:t xml:space="preserve"> exemplo, o arranjo populacional de São Paulo é uma Grande Metrópole Nacional (1A) composta por 37 municípios, todos contribuindo para essa classificação hierárquica</w:t>
      </w:r>
      <w:r w:rsidR="00A220AC">
        <w:rPr>
          <w:rFonts w:eastAsiaTheme="minorHAnsi"/>
          <w:kern w:val="2"/>
          <w:lang w:eastAsia="en-US"/>
          <w14:ligatures w14:val="standardContextual"/>
        </w:rPr>
        <w:t xml:space="preserve"> </w:t>
      </w:r>
      <w:proofErr w:type="gramStart"/>
      <w:r w:rsidR="00A220AC">
        <w:rPr>
          <w:rFonts w:eastAsiaTheme="minorHAnsi"/>
          <w:kern w:val="2"/>
          <w:lang w:eastAsia="en-US"/>
          <w14:ligatures w14:val="standardContextual"/>
        </w:rPr>
        <w:t>e também</w:t>
      </w:r>
      <w:proofErr w:type="gramEnd"/>
      <w:r w:rsidR="00A220AC">
        <w:rPr>
          <w:rFonts w:eastAsiaTheme="minorHAnsi"/>
          <w:kern w:val="2"/>
          <w:lang w:eastAsia="en-US"/>
          <w14:ligatures w14:val="standardContextual"/>
        </w:rPr>
        <w:t xml:space="preserve"> classificados como metrópoles</w:t>
      </w:r>
      <w:r w:rsidR="00A220AC" w:rsidRPr="00A220AC">
        <w:rPr>
          <w:rFonts w:eastAsiaTheme="minorHAnsi"/>
          <w:kern w:val="2"/>
          <w:lang w:eastAsia="en-US"/>
          <w14:ligatures w14:val="standardContextual"/>
        </w:rPr>
        <w:t>.</w:t>
      </w:r>
      <w:r w:rsidRPr="00A86621">
        <w:rPr>
          <w:rFonts w:eastAsiaTheme="minorHAnsi"/>
          <w:kern w:val="2"/>
          <w:lang w:eastAsia="en-US"/>
          <w14:ligatures w14:val="standardContextual"/>
        </w:rPr>
        <w:t xml:space="preserve"> </w:t>
      </w:r>
      <w:r>
        <w:rPr>
          <w:rFonts w:eastAsiaTheme="minorHAnsi"/>
          <w:kern w:val="2"/>
          <w:lang w:eastAsia="en-US"/>
          <w14:ligatures w14:val="standardContextual"/>
        </w:rPr>
        <w:t xml:space="preserve">    </w:t>
      </w:r>
    </w:p>
    <w:p w14:paraId="66099714" w14:textId="7E765CAA" w:rsidR="00CB72EA" w:rsidRDefault="00CB72EA" w:rsidP="002A493D">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79133A">
        <w:rPr>
          <w:rFonts w:eastAsiaTheme="minorHAnsi"/>
          <w:kern w:val="2"/>
          <w:lang w:eastAsia="en-US"/>
          <w14:ligatures w14:val="standardContextual"/>
        </w:rPr>
        <w:t>D</w:t>
      </w:r>
      <w:r w:rsidR="002A493D" w:rsidRPr="0079133A">
        <w:rPr>
          <w:rFonts w:eastAsiaTheme="minorHAnsi"/>
          <w:kern w:val="2"/>
          <w:lang w:eastAsia="en-US"/>
          <w14:ligatures w14:val="standardContextual"/>
        </w:rPr>
        <w:t xml:space="preserve">os </w:t>
      </w:r>
      <w:r w:rsidRPr="0079133A">
        <w:rPr>
          <w:rFonts w:eastAsiaTheme="minorHAnsi"/>
          <w:kern w:val="2"/>
          <w:lang w:eastAsia="en-US"/>
          <w14:ligatures w14:val="standardContextual"/>
        </w:rPr>
        <w:t xml:space="preserve">211 </w:t>
      </w:r>
      <w:r w:rsidR="002A493D" w:rsidRPr="0079133A">
        <w:rPr>
          <w:rFonts w:eastAsiaTheme="minorHAnsi"/>
          <w:kern w:val="2"/>
          <w:lang w:eastAsia="en-US"/>
          <w14:ligatures w14:val="standardContextual"/>
        </w:rPr>
        <w:t>municípios classificados como metrópoles</w:t>
      </w:r>
      <w:r w:rsidRPr="0079133A">
        <w:rPr>
          <w:rFonts w:eastAsiaTheme="minorHAnsi"/>
          <w:kern w:val="2"/>
          <w:lang w:eastAsia="en-US"/>
          <w14:ligatures w14:val="standardContextual"/>
        </w:rPr>
        <w:t>,</w:t>
      </w:r>
      <w:r w:rsidR="002A493D" w:rsidRPr="0079133A">
        <w:rPr>
          <w:rFonts w:eastAsiaTheme="minorHAnsi"/>
          <w:kern w:val="2"/>
          <w:lang w:eastAsia="en-US"/>
          <w14:ligatures w14:val="standardContextual"/>
        </w:rPr>
        <w:t xml:space="preserve"> </w:t>
      </w:r>
      <w:r w:rsidRPr="0079133A">
        <w:rPr>
          <w:rFonts w:eastAsiaTheme="minorHAnsi"/>
          <w:kern w:val="2"/>
          <w:lang w:eastAsia="en-US"/>
          <w14:ligatures w14:val="standardContextual"/>
        </w:rPr>
        <w:t>1</w:t>
      </w:r>
      <w:r w:rsidR="004C5ED8" w:rsidRPr="0079133A">
        <w:rPr>
          <w:rFonts w:eastAsiaTheme="minorHAnsi"/>
          <w:kern w:val="2"/>
          <w:lang w:eastAsia="en-US"/>
          <w14:ligatures w14:val="standardContextual"/>
        </w:rPr>
        <w:t>83</w:t>
      </w:r>
      <w:r w:rsidR="002A493D" w:rsidRPr="0079133A">
        <w:rPr>
          <w:rFonts w:eastAsiaTheme="minorHAnsi"/>
          <w:kern w:val="2"/>
          <w:lang w:eastAsia="en-US"/>
          <w14:ligatures w14:val="standardContextual"/>
        </w:rPr>
        <w:t xml:space="preserve"> </w:t>
      </w:r>
      <w:r w:rsidR="00B448E3" w:rsidRPr="0079133A">
        <w:rPr>
          <w:rFonts w:eastAsiaTheme="minorHAnsi"/>
          <w:kern w:val="2"/>
          <w:lang w:eastAsia="en-US"/>
          <w14:ligatures w14:val="standardContextual"/>
        </w:rPr>
        <w:t>foram considerados eficientes</w:t>
      </w:r>
      <w:r w:rsidR="002A493D" w:rsidRPr="0079133A">
        <w:rPr>
          <w:rFonts w:eastAsiaTheme="minorHAnsi"/>
          <w:kern w:val="2"/>
          <w:lang w:eastAsia="en-US"/>
          <w14:ligatures w14:val="standardContextual"/>
        </w:rPr>
        <w:t xml:space="preserve"> (</w:t>
      </w:r>
      <w:r w:rsidR="004C5ED8" w:rsidRPr="0079133A">
        <w:rPr>
          <w:rFonts w:eastAsiaTheme="minorHAnsi"/>
          <w:kern w:val="2"/>
          <w:lang w:eastAsia="en-US"/>
          <w14:ligatures w14:val="standardContextual"/>
        </w:rPr>
        <w:t>86,73</w:t>
      </w:r>
      <w:r w:rsidR="000C10DD" w:rsidRPr="0079133A">
        <w:rPr>
          <w:rFonts w:eastAsiaTheme="minorHAnsi"/>
          <w:kern w:val="2"/>
          <w:lang w:eastAsia="en-US"/>
          <w14:ligatures w14:val="standardContextual"/>
        </w:rPr>
        <w:t>%</w:t>
      </w:r>
      <w:r w:rsidRPr="0079133A">
        <w:rPr>
          <w:rFonts w:eastAsiaTheme="minorHAnsi"/>
          <w:kern w:val="2"/>
          <w:lang w:eastAsia="en-US"/>
          <w14:ligatures w14:val="standardContextual"/>
        </w:rPr>
        <w:t xml:space="preserve"> do total</w:t>
      </w:r>
      <w:r w:rsidR="000C10DD" w:rsidRPr="0079133A">
        <w:rPr>
          <w:rFonts w:eastAsiaTheme="minorHAnsi"/>
          <w:kern w:val="2"/>
          <w:lang w:eastAsia="en-US"/>
          <w14:ligatures w14:val="standardContextual"/>
        </w:rPr>
        <w:t>)</w:t>
      </w:r>
      <w:r w:rsidR="002A493D" w:rsidRPr="0079133A">
        <w:rPr>
          <w:rFonts w:eastAsiaTheme="minorHAnsi"/>
          <w:kern w:val="2"/>
          <w:lang w:eastAsia="en-US"/>
          <w14:ligatures w14:val="standardContextual"/>
        </w:rPr>
        <w:t>,</w:t>
      </w:r>
      <w:r w:rsidR="00B448E3" w:rsidRPr="0079133A">
        <w:rPr>
          <w:rFonts w:eastAsiaTheme="minorHAnsi"/>
          <w:kern w:val="2"/>
          <w:lang w:eastAsia="en-US"/>
          <w14:ligatures w14:val="standardContextual"/>
        </w:rPr>
        <w:t xml:space="preserve"> o maior número entre todas as hierarquias das cidades. Tal fato</w:t>
      </w:r>
      <w:r w:rsidR="002A493D" w:rsidRPr="0079133A">
        <w:rPr>
          <w:rFonts w:eastAsiaTheme="minorHAnsi"/>
          <w:kern w:val="2"/>
          <w:lang w:eastAsia="en-US"/>
          <w14:ligatures w14:val="standardContextual"/>
        </w:rPr>
        <w:t xml:space="preserve"> indica que elas estão utilizando eficazmente o orçamento municipal per capita </w:t>
      </w:r>
      <w:r w:rsidR="00B448E3" w:rsidRPr="0079133A">
        <w:rPr>
          <w:rFonts w:eastAsiaTheme="minorHAnsi"/>
          <w:kern w:val="2"/>
          <w:lang w:eastAsia="en-US"/>
          <w14:ligatures w14:val="standardContextual"/>
        </w:rPr>
        <w:t>de modo a</w:t>
      </w:r>
      <w:r w:rsidR="002A493D" w:rsidRPr="0079133A">
        <w:rPr>
          <w:rFonts w:eastAsiaTheme="minorHAnsi"/>
          <w:kern w:val="2"/>
          <w:lang w:eastAsia="en-US"/>
          <w14:ligatures w14:val="standardContextual"/>
        </w:rPr>
        <w:t xml:space="preserve"> alcançar os ODS</w:t>
      </w:r>
      <w:r w:rsidR="00B448E3" w:rsidRPr="0079133A">
        <w:rPr>
          <w:rFonts w:eastAsiaTheme="minorHAnsi"/>
          <w:kern w:val="2"/>
          <w:lang w:eastAsia="en-US"/>
          <w14:ligatures w14:val="standardContextual"/>
        </w:rPr>
        <w:t>,</w:t>
      </w:r>
      <w:r w:rsidR="002A493D" w:rsidRPr="0079133A">
        <w:rPr>
          <w:rFonts w:eastAsiaTheme="minorHAnsi"/>
          <w:kern w:val="2"/>
          <w:lang w:eastAsia="en-US"/>
          <w14:ligatures w14:val="standardContextual"/>
        </w:rPr>
        <w:t xml:space="preserve"> </w:t>
      </w:r>
      <w:r w:rsidR="00B448E3" w:rsidRPr="0079133A">
        <w:rPr>
          <w:rFonts w:eastAsiaTheme="minorHAnsi"/>
          <w:kern w:val="2"/>
          <w:lang w:eastAsia="en-US"/>
          <w14:ligatures w14:val="standardContextual"/>
        </w:rPr>
        <w:t>sugerindo</w:t>
      </w:r>
      <w:r w:rsidR="002A493D" w:rsidRPr="0079133A">
        <w:rPr>
          <w:rFonts w:eastAsiaTheme="minorHAnsi"/>
          <w:kern w:val="2"/>
          <w:lang w:eastAsia="en-US"/>
          <w14:ligatures w14:val="standardContextual"/>
        </w:rPr>
        <w:t xml:space="preserve"> uma boa alocação de recursos e a implementação de políticas eficientes nessas localidades.</w:t>
      </w:r>
      <w:r w:rsidRPr="0079133A">
        <w:rPr>
          <w:rFonts w:eastAsiaTheme="minorHAnsi"/>
          <w:kern w:val="2"/>
          <w:lang w:eastAsia="en-US"/>
          <w14:ligatures w14:val="standardContextual"/>
        </w:rPr>
        <w:t xml:space="preserve"> </w:t>
      </w:r>
      <w:r w:rsidR="000C10DD" w:rsidRPr="0079133A">
        <w:rPr>
          <w:rFonts w:eastAsiaTheme="minorHAnsi"/>
          <w:kern w:val="2"/>
          <w:lang w:eastAsia="en-US"/>
          <w14:ligatures w14:val="standardContextual"/>
        </w:rPr>
        <w:t xml:space="preserve">No entanto, </w:t>
      </w:r>
      <w:r w:rsidR="004C5ED8" w:rsidRPr="0079133A">
        <w:rPr>
          <w:rFonts w:eastAsiaTheme="minorHAnsi"/>
          <w:kern w:val="2"/>
          <w:lang w:eastAsia="en-US"/>
          <w14:ligatures w14:val="standardContextual"/>
        </w:rPr>
        <w:t>28</w:t>
      </w:r>
      <w:r w:rsidRPr="0079133A">
        <w:rPr>
          <w:rFonts w:eastAsiaTheme="minorHAnsi"/>
          <w:kern w:val="2"/>
          <w:lang w:eastAsia="en-US"/>
          <w14:ligatures w14:val="standardContextual"/>
        </w:rPr>
        <w:t xml:space="preserve"> municípios</w:t>
      </w:r>
      <w:r w:rsidR="000C10DD" w:rsidRPr="0079133A">
        <w:rPr>
          <w:rFonts w:eastAsiaTheme="minorHAnsi"/>
          <w:kern w:val="2"/>
          <w:lang w:eastAsia="en-US"/>
          <w14:ligatures w14:val="standardContextual"/>
        </w:rPr>
        <w:t xml:space="preserve"> </w:t>
      </w:r>
      <w:r w:rsidR="00B448E3" w:rsidRPr="0079133A">
        <w:rPr>
          <w:rFonts w:eastAsiaTheme="minorHAnsi"/>
          <w:kern w:val="2"/>
          <w:lang w:eastAsia="en-US"/>
          <w14:ligatures w14:val="standardContextual"/>
        </w:rPr>
        <w:t>foram considerados ineficientes</w:t>
      </w:r>
      <w:r w:rsidRPr="0079133A">
        <w:rPr>
          <w:rFonts w:eastAsiaTheme="minorHAnsi"/>
          <w:kern w:val="2"/>
          <w:lang w:eastAsia="en-US"/>
          <w14:ligatures w14:val="standardContextual"/>
        </w:rPr>
        <w:t xml:space="preserve"> (</w:t>
      </w:r>
      <w:r w:rsidR="004C5ED8" w:rsidRPr="0079133A">
        <w:rPr>
          <w:rFonts w:eastAsiaTheme="minorHAnsi"/>
          <w:kern w:val="2"/>
          <w:lang w:eastAsia="en-US"/>
          <w14:ligatures w14:val="standardContextual"/>
        </w:rPr>
        <w:t>13,27</w:t>
      </w:r>
      <w:r w:rsidRPr="0079133A">
        <w:rPr>
          <w:rFonts w:eastAsiaTheme="minorHAnsi"/>
          <w:kern w:val="2"/>
          <w:lang w:eastAsia="en-US"/>
          <w14:ligatures w14:val="standardContextual"/>
        </w:rPr>
        <w:t>% do total)</w:t>
      </w:r>
      <w:r w:rsidR="000C10DD" w:rsidRPr="0079133A">
        <w:rPr>
          <w:rFonts w:eastAsiaTheme="minorHAnsi"/>
          <w:kern w:val="2"/>
          <w:lang w:eastAsia="en-US"/>
          <w14:ligatures w14:val="standardContextual"/>
        </w:rPr>
        <w:t xml:space="preserve">, </w:t>
      </w:r>
      <w:r w:rsidR="00B448E3" w:rsidRPr="0079133A">
        <w:rPr>
          <w:rFonts w:eastAsiaTheme="minorHAnsi"/>
          <w:kern w:val="2"/>
          <w:lang w:eastAsia="en-US"/>
          <w14:ligatures w14:val="standardContextual"/>
        </w:rPr>
        <w:t>menor proporção entre as hierarquias.</w:t>
      </w:r>
      <w:r w:rsidR="000C10DD" w:rsidRPr="000C10DD">
        <w:rPr>
          <w:rFonts w:eastAsiaTheme="minorHAnsi"/>
          <w:kern w:val="2"/>
          <w:lang w:eastAsia="en-US"/>
          <w14:ligatures w14:val="standardContextual"/>
        </w:rPr>
        <w:t xml:space="preserve"> </w:t>
      </w:r>
    </w:p>
    <w:p w14:paraId="66CA255E" w14:textId="77777777" w:rsidR="003500F5" w:rsidRDefault="000C10DD" w:rsidP="002A493D">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Destacam-se principalmente entre as</w:t>
      </w:r>
      <w:r w:rsidR="00CB72EA">
        <w:rPr>
          <w:rFonts w:eastAsiaTheme="minorHAnsi"/>
          <w:kern w:val="2"/>
          <w:lang w:eastAsia="en-US"/>
          <w14:ligatures w14:val="standardContextual"/>
        </w:rPr>
        <w:t xml:space="preserve"> DMUs</w:t>
      </w:r>
      <w:r>
        <w:rPr>
          <w:rFonts w:eastAsiaTheme="minorHAnsi"/>
          <w:kern w:val="2"/>
          <w:lang w:eastAsia="en-US"/>
          <w14:ligatures w14:val="standardContextual"/>
        </w:rPr>
        <w:t xml:space="preserve"> ineficientes aquel</w:t>
      </w:r>
      <w:r w:rsidR="00CB72EA">
        <w:rPr>
          <w:rFonts w:eastAsiaTheme="minorHAnsi"/>
          <w:kern w:val="2"/>
          <w:lang w:eastAsia="en-US"/>
          <w14:ligatures w14:val="standardContextual"/>
        </w:rPr>
        <w:t>e</w:t>
      </w:r>
      <w:r>
        <w:rPr>
          <w:rFonts w:eastAsiaTheme="minorHAnsi"/>
          <w:kern w:val="2"/>
          <w:lang w:eastAsia="en-US"/>
          <w14:ligatures w14:val="standardContextual"/>
        </w:rPr>
        <w:t xml:space="preserve">s </w:t>
      </w:r>
      <w:r w:rsidR="00CB72EA">
        <w:rPr>
          <w:rFonts w:eastAsiaTheme="minorHAnsi"/>
          <w:kern w:val="2"/>
          <w:lang w:eastAsia="en-US"/>
          <w14:ligatures w14:val="standardContextual"/>
        </w:rPr>
        <w:t xml:space="preserve">municípios </w:t>
      </w:r>
      <w:r>
        <w:rPr>
          <w:rFonts w:eastAsiaTheme="minorHAnsi"/>
          <w:kern w:val="2"/>
          <w:lang w:eastAsia="en-US"/>
          <w14:ligatures w14:val="standardContextual"/>
        </w:rPr>
        <w:t xml:space="preserve">que possuem orçamento per capita </w:t>
      </w:r>
      <w:r w:rsidR="00CB72EA">
        <w:rPr>
          <w:rFonts w:eastAsiaTheme="minorHAnsi"/>
          <w:kern w:val="2"/>
          <w:lang w:eastAsia="en-US"/>
          <w14:ligatures w14:val="standardContextual"/>
        </w:rPr>
        <w:t>elevado</w:t>
      </w:r>
      <w:r w:rsidR="00B448E3">
        <w:rPr>
          <w:rFonts w:eastAsiaTheme="minorHAnsi"/>
          <w:kern w:val="2"/>
          <w:lang w:eastAsia="en-US"/>
          <w14:ligatures w14:val="standardContextual"/>
        </w:rPr>
        <w:t>,</w:t>
      </w:r>
      <w:r w:rsidR="00CB72EA">
        <w:rPr>
          <w:rFonts w:eastAsiaTheme="minorHAnsi"/>
          <w:kern w:val="2"/>
          <w:lang w:eastAsia="en-US"/>
          <w14:ligatures w14:val="standardContextual"/>
        </w:rPr>
        <w:t xml:space="preserve"> quando comparado aos eficientes. </w:t>
      </w:r>
      <w:r w:rsidR="00B448E3">
        <w:rPr>
          <w:rFonts w:eastAsiaTheme="minorHAnsi"/>
          <w:kern w:val="2"/>
          <w:lang w:eastAsia="en-US"/>
          <w14:ligatures w14:val="standardContextual"/>
        </w:rPr>
        <w:t xml:space="preserve">Boa parte </w:t>
      </w:r>
      <w:r w:rsidR="00B448E3">
        <w:rPr>
          <w:rFonts w:eastAsiaTheme="minorHAnsi"/>
          <w:kern w:val="2"/>
          <w:lang w:eastAsia="en-US"/>
          <w14:ligatures w14:val="standardContextual"/>
        </w:rPr>
        <w:lastRenderedPageBreak/>
        <w:t>desses municípios se encontram no interior do estado</w:t>
      </w:r>
      <w:r w:rsidR="003500F5">
        <w:rPr>
          <w:rFonts w:eastAsiaTheme="minorHAnsi"/>
          <w:kern w:val="2"/>
          <w:lang w:eastAsia="en-US"/>
          <w14:ligatures w14:val="standardContextual"/>
        </w:rPr>
        <w:t>, apresentando populações consideravelmente pequenas perto das grandes metrópoles do país.</w:t>
      </w:r>
    </w:p>
    <w:p w14:paraId="21B37674" w14:textId="7E52A6BA" w:rsidR="002A493D" w:rsidRDefault="00B448E3" w:rsidP="002A493D">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 </w:t>
      </w:r>
      <w:r w:rsidR="00CB72EA">
        <w:rPr>
          <w:rFonts w:eastAsiaTheme="minorHAnsi"/>
          <w:kern w:val="2"/>
          <w:lang w:eastAsia="en-US"/>
          <w14:ligatures w14:val="standardContextual"/>
        </w:rPr>
        <w:t xml:space="preserve">A média do orçamento per capita dos municípios ineficientes foi em média, </w:t>
      </w:r>
      <w:r w:rsidR="0079133A">
        <w:rPr>
          <w:rFonts w:eastAsiaTheme="minorHAnsi"/>
          <w:kern w:val="2"/>
          <w:lang w:eastAsia="en-US"/>
          <w14:ligatures w14:val="standardContextual"/>
        </w:rPr>
        <w:t>7.738,80</w:t>
      </w:r>
      <w:r w:rsidR="00CB72EA">
        <w:rPr>
          <w:rFonts w:eastAsiaTheme="minorHAnsi"/>
          <w:kern w:val="2"/>
          <w:lang w:eastAsia="en-US"/>
          <w14:ligatures w14:val="standardContextual"/>
        </w:rPr>
        <w:t xml:space="preserve"> R$/habitante, enquanto a dos eficientes de </w:t>
      </w:r>
      <w:r w:rsidR="0079133A">
        <w:rPr>
          <w:rFonts w:eastAsiaTheme="minorHAnsi"/>
          <w:kern w:val="2"/>
          <w:lang w:eastAsia="en-US"/>
          <w14:ligatures w14:val="standardContextual"/>
        </w:rPr>
        <w:t>4.632,69</w:t>
      </w:r>
      <w:r w:rsidR="00CB72EA">
        <w:rPr>
          <w:rFonts w:eastAsiaTheme="minorHAnsi"/>
          <w:kern w:val="2"/>
          <w:lang w:eastAsia="en-US"/>
          <w14:ligatures w14:val="standardContextual"/>
        </w:rPr>
        <w:t xml:space="preserve"> </w:t>
      </w:r>
      <w:r w:rsidR="003500F5">
        <w:rPr>
          <w:rFonts w:eastAsiaTheme="minorHAnsi"/>
          <w:kern w:val="2"/>
          <w:lang w:eastAsia="en-US"/>
          <w14:ligatures w14:val="standardContextual"/>
        </w:rPr>
        <w:t>R</w:t>
      </w:r>
      <w:r w:rsidR="00CB72EA">
        <w:rPr>
          <w:rFonts w:eastAsiaTheme="minorHAnsi"/>
          <w:kern w:val="2"/>
          <w:lang w:eastAsia="en-US"/>
          <w14:ligatures w14:val="standardContextual"/>
        </w:rPr>
        <w:t>$/habitante</w:t>
      </w:r>
      <w:r w:rsidR="002477C3">
        <w:rPr>
          <w:rFonts w:eastAsiaTheme="minorHAnsi"/>
          <w:kern w:val="2"/>
          <w:lang w:eastAsia="en-US"/>
          <w14:ligatures w14:val="standardContextual"/>
        </w:rPr>
        <w:t xml:space="preserve">. Em relação a nota média dos ODS, não se verificou grande diferença entre eficientes e ineficientes, sendo este valor igual a </w:t>
      </w:r>
      <w:r w:rsidR="0079133A">
        <w:rPr>
          <w:rFonts w:eastAsiaTheme="minorHAnsi"/>
          <w:kern w:val="2"/>
          <w:lang w:eastAsia="en-US"/>
          <w14:ligatures w14:val="standardContextual"/>
        </w:rPr>
        <w:t>51,61</w:t>
      </w:r>
      <w:r w:rsidR="003C529C">
        <w:rPr>
          <w:rFonts w:eastAsiaTheme="minorHAnsi"/>
          <w:kern w:val="2"/>
          <w:lang w:eastAsia="en-US"/>
          <w14:ligatures w14:val="standardContextual"/>
        </w:rPr>
        <w:t xml:space="preserve"> e 51,74</w:t>
      </w:r>
      <w:r w:rsidR="002477C3">
        <w:rPr>
          <w:rFonts w:eastAsiaTheme="minorHAnsi"/>
          <w:kern w:val="2"/>
          <w:lang w:eastAsia="en-US"/>
          <w14:ligatures w14:val="standardContextual"/>
        </w:rPr>
        <w:t xml:space="preserve"> respectivamente. </w:t>
      </w:r>
      <w:r w:rsidR="00CD4B2C">
        <w:rPr>
          <w:rFonts w:eastAsiaTheme="minorHAnsi"/>
          <w:kern w:val="2"/>
          <w:lang w:eastAsia="en-US"/>
          <w14:ligatures w14:val="standardContextual"/>
        </w:rPr>
        <w:t>Ou seja,</w:t>
      </w:r>
      <w:r w:rsidR="003500F5">
        <w:rPr>
          <w:rFonts w:eastAsiaTheme="minorHAnsi"/>
          <w:kern w:val="2"/>
          <w:lang w:eastAsia="en-US"/>
          <w14:ligatures w14:val="standardContextual"/>
        </w:rPr>
        <w:t xml:space="preserve"> o</w:t>
      </w:r>
      <w:r w:rsidR="002477C3">
        <w:rPr>
          <w:rFonts w:eastAsiaTheme="minorHAnsi"/>
          <w:kern w:val="2"/>
          <w:lang w:eastAsia="en-US"/>
          <w14:ligatures w14:val="standardContextual"/>
        </w:rPr>
        <w:t xml:space="preserve"> orçamento </w:t>
      </w:r>
      <w:r w:rsidR="003500F5">
        <w:rPr>
          <w:rFonts w:eastAsiaTheme="minorHAnsi"/>
          <w:kern w:val="2"/>
          <w:lang w:eastAsia="en-US"/>
          <w14:ligatures w14:val="standardContextual"/>
        </w:rPr>
        <w:t xml:space="preserve">das metrópoles ineficientes foi </w:t>
      </w:r>
      <w:r w:rsidR="0079133A">
        <w:rPr>
          <w:rFonts w:eastAsiaTheme="minorHAnsi"/>
          <w:kern w:val="2"/>
          <w:lang w:eastAsia="en-US"/>
          <w14:ligatures w14:val="standardContextual"/>
        </w:rPr>
        <w:t>67</w:t>
      </w:r>
      <w:r w:rsidR="002477C3">
        <w:rPr>
          <w:rFonts w:eastAsiaTheme="minorHAnsi"/>
          <w:kern w:val="2"/>
          <w:lang w:eastAsia="en-US"/>
          <w14:ligatures w14:val="standardContextual"/>
        </w:rPr>
        <w:t xml:space="preserve">% </w:t>
      </w:r>
      <w:r w:rsidR="00CD4B2C">
        <w:rPr>
          <w:rFonts w:eastAsiaTheme="minorHAnsi"/>
          <w:kern w:val="2"/>
          <w:lang w:eastAsia="en-US"/>
          <w14:ligatures w14:val="standardContextual"/>
        </w:rPr>
        <w:t xml:space="preserve">em média </w:t>
      </w:r>
      <w:r w:rsidR="002477C3">
        <w:rPr>
          <w:rFonts w:eastAsiaTheme="minorHAnsi"/>
          <w:kern w:val="2"/>
          <w:lang w:eastAsia="en-US"/>
          <w14:ligatures w14:val="standardContextual"/>
        </w:rPr>
        <w:t>superior aos municípios considerados eficientes, e esse aumento de recursos não refleti</w:t>
      </w:r>
      <w:r w:rsidR="003500F5">
        <w:rPr>
          <w:rFonts w:eastAsiaTheme="minorHAnsi"/>
          <w:kern w:val="2"/>
          <w:lang w:eastAsia="en-US"/>
          <w14:ligatures w14:val="standardContextual"/>
        </w:rPr>
        <w:t>u</w:t>
      </w:r>
      <w:r w:rsidR="002477C3">
        <w:rPr>
          <w:rFonts w:eastAsiaTheme="minorHAnsi"/>
          <w:kern w:val="2"/>
          <w:lang w:eastAsia="en-US"/>
          <w14:ligatures w14:val="standardContextual"/>
        </w:rPr>
        <w:t xml:space="preserve"> em melhoria nos ODS</w:t>
      </w:r>
      <w:r w:rsidR="003500F5">
        <w:rPr>
          <w:rFonts w:eastAsiaTheme="minorHAnsi"/>
          <w:kern w:val="2"/>
          <w:lang w:eastAsia="en-US"/>
          <w14:ligatures w14:val="standardContextual"/>
        </w:rPr>
        <w:t>, que para os</w:t>
      </w:r>
      <w:r w:rsidR="002477C3">
        <w:rPr>
          <w:rFonts w:eastAsiaTheme="minorHAnsi"/>
          <w:kern w:val="2"/>
          <w:lang w:eastAsia="en-US"/>
          <w14:ligatures w14:val="standardContextual"/>
        </w:rPr>
        <w:t xml:space="preserve"> municípios</w:t>
      </w:r>
      <w:r w:rsidR="003500F5">
        <w:rPr>
          <w:rFonts w:eastAsiaTheme="minorHAnsi"/>
          <w:kern w:val="2"/>
          <w:lang w:eastAsia="en-US"/>
          <w14:ligatures w14:val="standardContextual"/>
        </w:rPr>
        <w:t xml:space="preserve"> ineficientes foi </w:t>
      </w:r>
      <w:r w:rsidR="003C529C">
        <w:rPr>
          <w:rFonts w:eastAsiaTheme="minorHAnsi"/>
          <w:kern w:val="2"/>
          <w:lang w:eastAsia="en-US"/>
          <w14:ligatures w14:val="standardContextual"/>
        </w:rPr>
        <w:t>0,25</w:t>
      </w:r>
      <w:r w:rsidR="003500F5">
        <w:rPr>
          <w:rFonts w:eastAsiaTheme="minorHAnsi"/>
          <w:kern w:val="2"/>
          <w:lang w:eastAsia="en-US"/>
          <w14:ligatures w14:val="standardContextual"/>
        </w:rPr>
        <w:t xml:space="preserve">% </w:t>
      </w:r>
      <w:r w:rsidR="003C529C">
        <w:rPr>
          <w:rFonts w:eastAsiaTheme="minorHAnsi"/>
          <w:kern w:val="2"/>
          <w:lang w:eastAsia="en-US"/>
          <w14:ligatures w14:val="standardContextual"/>
        </w:rPr>
        <w:t>maior</w:t>
      </w:r>
      <w:r w:rsidR="003500F5">
        <w:rPr>
          <w:rFonts w:eastAsiaTheme="minorHAnsi"/>
          <w:kern w:val="2"/>
          <w:lang w:eastAsia="en-US"/>
          <w14:ligatures w14:val="standardContextual"/>
        </w:rPr>
        <w:t xml:space="preserve"> em média comparado aos eficientes.</w:t>
      </w:r>
      <w:r w:rsidR="002477C3">
        <w:rPr>
          <w:rFonts w:eastAsiaTheme="minorHAnsi"/>
          <w:kern w:val="2"/>
          <w:lang w:eastAsia="en-US"/>
          <w14:ligatures w14:val="standardContextual"/>
        </w:rPr>
        <w:t xml:space="preserve">     </w:t>
      </w:r>
      <w:r w:rsidR="00CB72EA">
        <w:rPr>
          <w:rFonts w:eastAsiaTheme="minorHAnsi"/>
          <w:kern w:val="2"/>
          <w:lang w:eastAsia="en-US"/>
          <w14:ligatures w14:val="standardContextual"/>
        </w:rPr>
        <w:t xml:space="preserve"> </w:t>
      </w:r>
    </w:p>
    <w:p w14:paraId="7F423111" w14:textId="3A167310" w:rsidR="0068524C" w:rsidRDefault="002477C3" w:rsidP="0068524C">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A Figura 1 apresenta o histograma dos scores de eficiência dos </w:t>
      </w:r>
      <w:r w:rsidR="0079133A">
        <w:rPr>
          <w:rFonts w:eastAsiaTheme="minorHAnsi"/>
          <w:kern w:val="2"/>
          <w:lang w:eastAsia="en-US"/>
          <w14:ligatures w14:val="standardContextual"/>
        </w:rPr>
        <w:t>28</w:t>
      </w:r>
      <w:r>
        <w:rPr>
          <w:rFonts w:eastAsiaTheme="minorHAnsi"/>
          <w:kern w:val="2"/>
          <w:lang w:eastAsia="en-US"/>
          <w14:ligatures w14:val="standardContextual"/>
        </w:rPr>
        <w:t xml:space="preserve"> municípios considerados ineficientes, bem como suas principais estatísticas. </w:t>
      </w:r>
    </w:p>
    <w:p w14:paraId="169D98CC" w14:textId="6F1F0B35" w:rsidR="00655E23" w:rsidRPr="00655E23" w:rsidRDefault="00655E23" w:rsidP="00655E23">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FA6D63">
        <w:rPr>
          <w:rFonts w:eastAsiaTheme="minorHAnsi"/>
          <w:kern w:val="2"/>
          <w:sz w:val="20"/>
          <w:szCs w:val="20"/>
          <w:lang w:eastAsia="en-US"/>
          <w14:ligatures w14:val="standardContextual"/>
        </w:rPr>
        <w:t>Figura 1 – Histograma e Principais estatísticas para as Metrópoles Ineficientes</w:t>
      </w:r>
    </w:p>
    <w:p w14:paraId="62AF3BE6" w14:textId="4FE89514" w:rsidR="0049446A" w:rsidRPr="00DC27B7" w:rsidRDefault="00FA6D63" w:rsidP="0068524C">
      <w:pPr>
        <w:pStyle w:val="standard"/>
        <w:spacing w:before="0" w:beforeAutospacing="0" w:after="120" w:afterAutospacing="0" w:line="360" w:lineRule="auto"/>
        <w:ind w:right="-1"/>
        <w:jc w:val="center"/>
        <w:rPr>
          <w:rFonts w:eastAsiaTheme="minorHAnsi"/>
          <w:kern w:val="2"/>
          <w:lang w:eastAsia="en-US"/>
          <w14:ligatures w14:val="standardContextual"/>
        </w:rPr>
      </w:pPr>
      <w:r w:rsidRPr="00FA6D63">
        <w:rPr>
          <w:noProof/>
        </w:rPr>
        <w:drawing>
          <wp:inline distT="0" distB="0" distL="0" distR="0" wp14:anchorId="28AC0F16" wp14:editId="0F6C1AC7">
            <wp:extent cx="5026660" cy="2529840"/>
            <wp:effectExtent l="0" t="0" r="2540" b="3810"/>
            <wp:docPr id="96464360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43603" name="Imagem 1" descr="Gráfico&#10;&#10;Descrição gerada automaticamente"/>
                    <pic:cNvPicPr/>
                  </pic:nvPicPr>
                  <pic:blipFill rotWithShape="1">
                    <a:blip r:embed="rId10"/>
                    <a:srcRect l="6914" t="4139" b="33396"/>
                    <a:stretch/>
                  </pic:blipFill>
                  <pic:spPr bwMode="auto">
                    <a:xfrm>
                      <a:off x="0" y="0"/>
                      <a:ext cx="5026660" cy="2529840"/>
                    </a:xfrm>
                    <a:prstGeom prst="rect">
                      <a:avLst/>
                    </a:prstGeom>
                    <a:ln>
                      <a:noFill/>
                    </a:ln>
                    <a:extLst>
                      <a:ext uri="{53640926-AAD7-44D8-BBD7-CCE9431645EC}">
                        <a14:shadowObscured xmlns:a14="http://schemas.microsoft.com/office/drawing/2010/main"/>
                      </a:ext>
                    </a:extLst>
                  </pic:spPr>
                </pic:pic>
              </a:graphicData>
            </a:graphic>
          </wp:inline>
        </w:drawing>
      </w:r>
    </w:p>
    <w:p w14:paraId="751B3A3F" w14:textId="4FD24F37" w:rsidR="00655E23" w:rsidRPr="00FA6D63" w:rsidRDefault="00655E23" w:rsidP="00655E23">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FA6D63">
        <w:rPr>
          <w:rFonts w:eastAsiaTheme="minorHAnsi"/>
          <w:kern w:val="2"/>
          <w:lang w:eastAsia="en-US"/>
          <w14:ligatures w14:val="standardContextual"/>
        </w:rPr>
        <w:t>Para estes municípios</w:t>
      </w:r>
      <w:r w:rsidR="000D3C5C" w:rsidRPr="00FA6D63">
        <w:rPr>
          <w:rFonts w:eastAsiaTheme="minorHAnsi"/>
          <w:kern w:val="2"/>
          <w:lang w:eastAsia="en-US"/>
          <w14:ligatures w14:val="standardContextual"/>
        </w:rPr>
        <w:t>,</w:t>
      </w:r>
      <w:r w:rsidRPr="00FA6D63">
        <w:rPr>
          <w:rFonts w:eastAsiaTheme="minorHAnsi"/>
          <w:kern w:val="2"/>
          <w:lang w:eastAsia="en-US"/>
          <w14:ligatures w14:val="standardContextual"/>
        </w:rPr>
        <w:t xml:space="preserve"> o valor médio da ineficiência foi de 0,7</w:t>
      </w:r>
      <w:r w:rsidR="00FA6D63" w:rsidRPr="00FA6D63">
        <w:rPr>
          <w:rFonts w:eastAsiaTheme="minorHAnsi"/>
          <w:kern w:val="2"/>
          <w:lang w:eastAsia="en-US"/>
          <w14:ligatures w14:val="standardContextual"/>
        </w:rPr>
        <w:t>73</w:t>
      </w:r>
      <w:r w:rsidRPr="00FA6D63">
        <w:rPr>
          <w:rFonts w:eastAsiaTheme="minorHAnsi"/>
          <w:kern w:val="2"/>
          <w:lang w:eastAsia="en-US"/>
          <w14:ligatures w14:val="standardContextual"/>
        </w:rPr>
        <w:t>, com valor mínimo de 0,279 e máximo de 0,99</w:t>
      </w:r>
      <w:r w:rsidR="00FA6D63" w:rsidRPr="00FA6D63">
        <w:rPr>
          <w:rFonts w:eastAsiaTheme="minorHAnsi"/>
          <w:kern w:val="2"/>
          <w:lang w:eastAsia="en-US"/>
          <w14:ligatures w14:val="standardContextual"/>
        </w:rPr>
        <w:t>9</w:t>
      </w:r>
      <w:r w:rsidRPr="00FA6D63">
        <w:rPr>
          <w:rFonts w:eastAsiaTheme="minorHAnsi"/>
          <w:kern w:val="2"/>
          <w:lang w:eastAsia="en-US"/>
          <w14:ligatures w14:val="standardContextual"/>
        </w:rPr>
        <w:t>. Considerando o modelo CCR, há em média uma necessidade de aumento de aproximadamente 30% nos ODS, ou redução média de 2</w:t>
      </w:r>
      <w:r w:rsidR="00FA6D63" w:rsidRPr="00FA6D63">
        <w:rPr>
          <w:rFonts w:eastAsiaTheme="minorHAnsi"/>
          <w:kern w:val="2"/>
          <w:lang w:eastAsia="en-US"/>
          <w14:ligatures w14:val="standardContextual"/>
        </w:rPr>
        <w:t>2</w:t>
      </w:r>
      <w:r w:rsidRPr="00FA6D63">
        <w:rPr>
          <w:rFonts w:eastAsiaTheme="minorHAnsi"/>
          <w:kern w:val="2"/>
          <w:lang w:eastAsia="en-US"/>
          <w14:ligatures w14:val="standardContextual"/>
        </w:rPr>
        <w:t>,</w:t>
      </w:r>
      <w:r w:rsidR="00FA6D63" w:rsidRPr="00FA6D63">
        <w:rPr>
          <w:rFonts w:eastAsiaTheme="minorHAnsi"/>
          <w:kern w:val="2"/>
          <w:lang w:eastAsia="en-US"/>
          <w14:ligatures w14:val="standardContextual"/>
        </w:rPr>
        <w:t>7</w:t>
      </w:r>
      <w:r w:rsidRPr="00FA6D63">
        <w:rPr>
          <w:rFonts w:eastAsiaTheme="minorHAnsi"/>
          <w:kern w:val="2"/>
          <w:lang w:eastAsia="en-US"/>
          <w14:ligatures w14:val="standardContextual"/>
        </w:rPr>
        <w:t xml:space="preserve">% nos orçamentos para que estes municípios possam alcançar a fronteira de eficiência. </w:t>
      </w:r>
    </w:p>
    <w:p w14:paraId="7990ECBA" w14:textId="2A6880E1" w:rsidR="00565A16" w:rsidRDefault="00565A16" w:rsidP="00655E23">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297A57">
        <w:rPr>
          <w:rFonts w:eastAsiaTheme="minorHAnsi"/>
          <w:kern w:val="2"/>
          <w:lang w:eastAsia="en-US"/>
          <w14:ligatures w14:val="standardContextual"/>
        </w:rPr>
        <w:t>Dos 18</w:t>
      </w:r>
      <w:r w:rsidR="00FA6D63" w:rsidRPr="00297A57">
        <w:rPr>
          <w:rFonts w:eastAsiaTheme="minorHAnsi"/>
          <w:kern w:val="2"/>
          <w:lang w:eastAsia="en-US"/>
          <w14:ligatures w14:val="standardContextual"/>
        </w:rPr>
        <w:t>3</w:t>
      </w:r>
      <w:r w:rsidRPr="00297A57">
        <w:rPr>
          <w:rFonts w:eastAsiaTheme="minorHAnsi"/>
          <w:kern w:val="2"/>
          <w:lang w:eastAsia="en-US"/>
          <w14:ligatures w14:val="standardContextual"/>
        </w:rPr>
        <w:t xml:space="preserve"> municípios considerados eficientes, </w:t>
      </w:r>
      <w:r w:rsidR="00297A57" w:rsidRPr="00297A57">
        <w:rPr>
          <w:rFonts w:eastAsiaTheme="minorHAnsi"/>
          <w:kern w:val="2"/>
          <w:lang w:eastAsia="en-US"/>
          <w14:ligatures w14:val="standardContextual"/>
        </w:rPr>
        <w:t>67</w:t>
      </w:r>
      <w:r w:rsidRPr="00297A57">
        <w:rPr>
          <w:rFonts w:eastAsiaTheme="minorHAnsi"/>
          <w:kern w:val="2"/>
          <w:lang w:eastAsia="en-US"/>
          <w14:ligatures w14:val="standardContextual"/>
        </w:rPr>
        <w:t xml:space="preserve"> foram </w:t>
      </w:r>
      <w:r w:rsidRPr="00297A57">
        <w:rPr>
          <w:rFonts w:eastAsiaTheme="minorHAnsi"/>
          <w:i/>
          <w:iCs/>
          <w:kern w:val="2"/>
          <w:lang w:eastAsia="en-US"/>
          <w14:ligatures w14:val="standardContextual"/>
        </w:rPr>
        <w:t xml:space="preserve">benchmarks </w:t>
      </w:r>
      <w:r w:rsidRPr="00297A57">
        <w:rPr>
          <w:rFonts w:eastAsiaTheme="minorHAnsi"/>
          <w:kern w:val="2"/>
          <w:lang w:eastAsia="en-US"/>
          <w14:ligatures w14:val="standardContextual"/>
        </w:rPr>
        <w:t xml:space="preserve">para os municípios ineficientes, e como tal auxiliaram na composição de suas metas, para alcançarem a fronteira de eficiência. </w:t>
      </w:r>
      <w:r w:rsidR="00BA279B" w:rsidRPr="00297A57">
        <w:rPr>
          <w:rFonts w:eastAsiaTheme="minorHAnsi"/>
          <w:kern w:val="2"/>
          <w:lang w:eastAsia="en-US"/>
          <w14:ligatures w14:val="standardContextual"/>
        </w:rPr>
        <w:t>Os 10 principais benchmarks estiverem presentes como referência em aproximadamente 4</w:t>
      </w:r>
      <w:r w:rsidR="00297A57" w:rsidRPr="00297A57">
        <w:rPr>
          <w:rFonts w:eastAsiaTheme="minorHAnsi"/>
          <w:kern w:val="2"/>
          <w:lang w:eastAsia="en-US"/>
          <w14:ligatures w14:val="standardContextual"/>
        </w:rPr>
        <w:t>1</w:t>
      </w:r>
      <w:r w:rsidR="00BA279B" w:rsidRPr="00297A57">
        <w:rPr>
          <w:rFonts w:eastAsiaTheme="minorHAnsi"/>
          <w:kern w:val="2"/>
          <w:lang w:eastAsia="en-US"/>
          <w14:ligatures w14:val="standardContextual"/>
        </w:rPr>
        <w:t>% das DMUs ineficientes.</w:t>
      </w:r>
      <w:r w:rsidR="00BA279B">
        <w:rPr>
          <w:rFonts w:eastAsiaTheme="minorHAnsi"/>
          <w:kern w:val="2"/>
          <w:lang w:eastAsia="en-US"/>
          <w14:ligatures w14:val="standardContextual"/>
        </w:rPr>
        <w:t xml:space="preserve"> </w:t>
      </w:r>
    </w:p>
    <w:p w14:paraId="15350C3B" w14:textId="3FCEE7AA" w:rsidR="000D3C5C" w:rsidRDefault="000D3C5C" w:rsidP="000D3C5C">
      <w:pPr>
        <w:pStyle w:val="standard"/>
        <w:spacing w:before="0" w:beforeAutospacing="0" w:after="120" w:afterAutospacing="0" w:line="360" w:lineRule="auto"/>
        <w:ind w:right="-1"/>
        <w:jc w:val="both"/>
        <w:rPr>
          <w:rFonts w:eastAsiaTheme="minorHAnsi"/>
          <w:b/>
          <w:bCs/>
          <w:kern w:val="2"/>
          <w:lang w:eastAsia="en-US"/>
          <w14:ligatures w14:val="standardContextual"/>
        </w:rPr>
      </w:pPr>
      <w:r w:rsidRPr="00D1484A">
        <w:rPr>
          <w:rFonts w:eastAsiaTheme="minorHAnsi"/>
          <w:b/>
          <w:bCs/>
          <w:kern w:val="2"/>
          <w:lang w:eastAsia="en-US"/>
          <w14:ligatures w14:val="standardContextual"/>
        </w:rPr>
        <w:t>4.2.</w:t>
      </w:r>
      <w:r w:rsidR="00CF3534">
        <w:rPr>
          <w:rFonts w:eastAsiaTheme="minorHAnsi"/>
          <w:b/>
          <w:bCs/>
          <w:kern w:val="2"/>
          <w:lang w:eastAsia="en-US"/>
          <w14:ligatures w14:val="standardContextual"/>
        </w:rPr>
        <w:t>2</w:t>
      </w:r>
      <w:r w:rsidRPr="00D1484A">
        <w:rPr>
          <w:rFonts w:eastAsiaTheme="minorHAnsi"/>
          <w:b/>
          <w:bCs/>
          <w:kern w:val="2"/>
          <w:lang w:eastAsia="en-US"/>
          <w14:ligatures w14:val="standardContextual"/>
        </w:rPr>
        <w:t xml:space="preserve"> </w:t>
      </w:r>
      <w:r>
        <w:rPr>
          <w:rFonts w:eastAsiaTheme="minorHAnsi"/>
          <w:b/>
          <w:bCs/>
          <w:kern w:val="2"/>
          <w:lang w:eastAsia="en-US"/>
          <w14:ligatures w14:val="standardContextual"/>
        </w:rPr>
        <w:t>Capitais Regionais</w:t>
      </w:r>
      <w:r w:rsidRPr="00D1484A">
        <w:rPr>
          <w:rFonts w:eastAsiaTheme="minorHAnsi"/>
          <w:b/>
          <w:bCs/>
          <w:kern w:val="2"/>
          <w:lang w:eastAsia="en-US"/>
          <w14:ligatures w14:val="standardContextual"/>
        </w:rPr>
        <w:t xml:space="preserve"> </w:t>
      </w:r>
    </w:p>
    <w:p w14:paraId="7240F7D2" w14:textId="025B54B0" w:rsidR="00F1059A" w:rsidRDefault="00F1059A" w:rsidP="00F1059A">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lastRenderedPageBreak/>
        <w:t xml:space="preserve">Logo após as metrópoles na hierarquia das cidades, destacam-se as Capitais Regionais. Estas agrupam cidades de grande importância nacional, capazes de influenciarem de modo significativo as cidades em seu entorno, tanto econômica como em gestão.  </w:t>
      </w:r>
      <w:r w:rsidR="00022C63">
        <w:rPr>
          <w:rFonts w:eastAsiaTheme="minorHAnsi"/>
          <w:kern w:val="2"/>
          <w:lang w:eastAsia="en-US"/>
          <w14:ligatures w14:val="standardContextual"/>
        </w:rPr>
        <w:t>Dos 29</w:t>
      </w:r>
      <w:r w:rsidR="00A03729">
        <w:rPr>
          <w:rFonts w:eastAsiaTheme="minorHAnsi"/>
          <w:kern w:val="2"/>
          <w:lang w:eastAsia="en-US"/>
          <w14:ligatures w14:val="standardContextual"/>
        </w:rPr>
        <w:t>8</w:t>
      </w:r>
      <w:r w:rsidR="00022C63">
        <w:rPr>
          <w:rFonts w:eastAsiaTheme="minorHAnsi"/>
          <w:kern w:val="2"/>
          <w:lang w:eastAsia="en-US"/>
          <w14:ligatures w14:val="standardContextual"/>
        </w:rPr>
        <w:t xml:space="preserve"> municípios classificados como </w:t>
      </w:r>
      <w:r w:rsidR="008466AE">
        <w:rPr>
          <w:rFonts w:eastAsiaTheme="minorHAnsi"/>
          <w:kern w:val="2"/>
          <w:lang w:eastAsia="en-US"/>
          <w14:ligatures w14:val="standardContextual"/>
        </w:rPr>
        <w:t>Capitais Regionais</w:t>
      </w:r>
      <w:r w:rsidR="00022C63">
        <w:rPr>
          <w:rFonts w:eastAsiaTheme="minorHAnsi"/>
          <w:kern w:val="2"/>
          <w:lang w:eastAsia="en-US"/>
          <w14:ligatures w14:val="standardContextual"/>
        </w:rPr>
        <w:t>, 2</w:t>
      </w:r>
      <w:r w:rsidR="00A03729">
        <w:rPr>
          <w:rFonts w:eastAsiaTheme="minorHAnsi"/>
          <w:kern w:val="2"/>
          <w:lang w:eastAsia="en-US"/>
          <w14:ligatures w14:val="standardContextual"/>
        </w:rPr>
        <w:t>04</w:t>
      </w:r>
      <w:r w:rsidR="00022C63" w:rsidRPr="002A493D">
        <w:rPr>
          <w:rFonts w:eastAsiaTheme="minorHAnsi"/>
          <w:kern w:val="2"/>
          <w:lang w:eastAsia="en-US"/>
          <w14:ligatures w14:val="standardContextual"/>
        </w:rPr>
        <w:t xml:space="preserve"> apresenta</w:t>
      </w:r>
      <w:r w:rsidR="00022C63">
        <w:rPr>
          <w:rFonts w:eastAsiaTheme="minorHAnsi"/>
          <w:kern w:val="2"/>
          <w:lang w:eastAsia="en-US"/>
          <w14:ligatures w14:val="standardContextual"/>
        </w:rPr>
        <w:t>ram</w:t>
      </w:r>
      <w:r w:rsidR="00022C63" w:rsidRPr="002A493D">
        <w:rPr>
          <w:rFonts w:eastAsiaTheme="minorHAnsi"/>
          <w:kern w:val="2"/>
          <w:lang w:eastAsia="en-US"/>
          <w14:ligatures w14:val="standardContextual"/>
        </w:rPr>
        <w:t xml:space="preserve"> </w:t>
      </w:r>
      <w:r w:rsidR="00022C63">
        <w:rPr>
          <w:rFonts w:eastAsiaTheme="minorHAnsi"/>
          <w:kern w:val="2"/>
          <w:lang w:eastAsia="en-US"/>
          <w14:ligatures w14:val="standardContextual"/>
        </w:rPr>
        <w:t>score de</w:t>
      </w:r>
      <w:r w:rsidR="00022C63" w:rsidRPr="002A493D">
        <w:rPr>
          <w:rFonts w:eastAsiaTheme="minorHAnsi"/>
          <w:kern w:val="2"/>
          <w:lang w:eastAsia="en-US"/>
          <w14:ligatures w14:val="standardContextual"/>
        </w:rPr>
        <w:t xml:space="preserve"> eficiência </w:t>
      </w:r>
      <w:r w:rsidR="00022C63">
        <w:rPr>
          <w:rFonts w:eastAsiaTheme="minorHAnsi"/>
          <w:kern w:val="2"/>
          <w:lang w:eastAsia="en-US"/>
          <w14:ligatures w14:val="standardContextual"/>
        </w:rPr>
        <w:t>igual</w:t>
      </w:r>
      <w:r w:rsidR="00022C63" w:rsidRPr="002A493D">
        <w:rPr>
          <w:rFonts w:eastAsiaTheme="minorHAnsi"/>
          <w:kern w:val="2"/>
          <w:lang w:eastAsia="en-US"/>
          <w14:ligatures w14:val="standardContextual"/>
        </w:rPr>
        <w:t xml:space="preserve"> 1</w:t>
      </w:r>
      <w:r w:rsidR="00022C63">
        <w:rPr>
          <w:rFonts w:eastAsiaTheme="minorHAnsi"/>
          <w:kern w:val="2"/>
          <w:lang w:eastAsia="en-US"/>
          <w14:ligatures w14:val="standardContextual"/>
        </w:rPr>
        <w:t xml:space="preserve"> (</w:t>
      </w:r>
      <w:r w:rsidR="00A03729">
        <w:rPr>
          <w:rFonts w:eastAsiaTheme="minorHAnsi"/>
          <w:kern w:val="2"/>
          <w:lang w:eastAsia="en-US"/>
          <w14:ligatures w14:val="standardContextual"/>
        </w:rPr>
        <w:t>68,46</w:t>
      </w:r>
      <w:r w:rsidR="00022C63">
        <w:rPr>
          <w:rFonts w:eastAsiaTheme="minorHAnsi"/>
          <w:kern w:val="2"/>
          <w:lang w:eastAsia="en-US"/>
          <w14:ligatures w14:val="standardContextual"/>
        </w:rPr>
        <w:t>% do total)</w:t>
      </w:r>
      <w:r w:rsidR="00022C63" w:rsidRPr="002A493D">
        <w:rPr>
          <w:rFonts w:eastAsiaTheme="minorHAnsi"/>
          <w:kern w:val="2"/>
          <w:lang w:eastAsia="en-US"/>
          <w14:ligatures w14:val="standardContextual"/>
        </w:rPr>
        <w:t>, o que indica que elas estão utilizando eficazmente o orçamento municipal per capita para alcançar os ODS.</w:t>
      </w:r>
      <w:r w:rsidR="00022C63">
        <w:rPr>
          <w:rFonts w:eastAsiaTheme="minorHAnsi"/>
          <w:kern w:val="2"/>
          <w:lang w:eastAsia="en-US"/>
          <w14:ligatures w14:val="standardContextual"/>
        </w:rPr>
        <w:t xml:space="preserve"> </w:t>
      </w:r>
      <w:r w:rsidR="00022C63" w:rsidRPr="000C10DD">
        <w:rPr>
          <w:rFonts w:eastAsiaTheme="minorHAnsi"/>
          <w:kern w:val="2"/>
          <w:lang w:eastAsia="en-US"/>
          <w14:ligatures w14:val="standardContextual"/>
        </w:rPr>
        <w:t xml:space="preserve">No entanto, </w:t>
      </w:r>
      <w:r w:rsidR="00A03729">
        <w:rPr>
          <w:rFonts w:eastAsiaTheme="minorHAnsi"/>
          <w:kern w:val="2"/>
          <w:lang w:eastAsia="en-US"/>
          <w14:ligatures w14:val="standardContextual"/>
        </w:rPr>
        <w:t>94</w:t>
      </w:r>
      <w:r w:rsidR="00022C63">
        <w:rPr>
          <w:rFonts w:eastAsiaTheme="minorHAnsi"/>
          <w:kern w:val="2"/>
          <w:lang w:eastAsia="en-US"/>
          <w14:ligatures w14:val="standardContextual"/>
        </w:rPr>
        <w:t xml:space="preserve"> municípios alcançaram scores de</w:t>
      </w:r>
      <w:r w:rsidR="00022C63" w:rsidRPr="000C10DD">
        <w:rPr>
          <w:rFonts w:eastAsiaTheme="minorHAnsi"/>
          <w:kern w:val="2"/>
          <w:lang w:eastAsia="en-US"/>
          <w14:ligatures w14:val="standardContextual"/>
        </w:rPr>
        <w:t xml:space="preserve"> eficiência menor</w:t>
      </w:r>
      <w:r w:rsidR="00022C63">
        <w:rPr>
          <w:rFonts w:eastAsiaTheme="minorHAnsi"/>
          <w:kern w:val="2"/>
          <w:lang w:eastAsia="en-US"/>
          <w14:ligatures w14:val="standardContextual"/>
        </w:rPr>
        <w:t>es</w:t>
      </w:r>
      <w:r w:rsidR="00022C63" w:rsidRPr="000C10DD">
        <w:rPr>
          <w:rFonts w:eastAsiaTheme="minorHAnsi"/>
          <w:kern w:val="2"/>
          <w:lang w:eastAsia="en-US"/>
          <w14:ligatures w14:val="standardContextual"/>
        </w:rPr>
        <w:t xml:space="preserve"> que 1</w:t>
      </w:r>
      <w:r w:rsidR="00022C63">
        <w:rPr>
          <w:rFonts w:eastAsiaTheme="minorHAnsi"/>
          <w:kern w:val="2"/>
          <w:lang w:eastAsia="en-US"/>
          <w14:ligatures w14:val="standardContextual"/>
        </w:rPr>
        <w:t xml:space="preserve"> (</w:t>
      </w:r>
      <w:r w:rsidR="00A03729">
        <w:rPr>
          <w:rFonts w:eastAsiaTheme="minorHAnsi"/>
          <w:kern w:val="2"/>
          <w:lang w:eastAsia="en-US"/>
          <w14:ligatures w14:val="standardContextual"/>
        </w:rPr>
        <w:t>31,54</w:t>
      </w:r>
      <w:r w:rsidR="00022C63">
        <w:rPr>
          <w:rFonts w:eastAsiaTheme="minorHAnsi"/>
          <w:kern w:val="2"/>
          <w:lang w:eastAsia="en-US"/>
          <w14:ligatures w14:val="standardContextual"/>
        </w:rPr>
        <w:t>% do total)</w:t>
      </w:r>
      <w:r w:rsidR="00022C63" w:rsidRPr="000C10DD">
        <w:rPr>
          <w:rFonts w:eastAsiaTheme="minorHAnsi"/>
          <w:kern w:val="2"/>
          <w:lang w:eastAsia="en-US"/>
          <w14:ligatures w14:val="standardContextual"/>
        </w:rPr>
        <w:t>, indicando que el</w:t>
      </w:r>
      <w:r w:rsidR="00022C63">
        <w:rPr>
          <w:rFonts w:eastAsiaTheme="minorHAnsi"/>
          <w:kern w:val="2"/>
          <w:lang w:eastAsia="en-US"/>
          <w14:ligatures w14:val="standardContextual"/>
        </w:rPr>
        <w:t>es</w:t>
      </w:r>
      <w:r w:rsidR="00022C63" w:rsidRPr="000C10DD">
        <w:rPr>
          <w:rFonts w:eastAsiaTheme="minorHAnsi"/>
          <w:kern w:val="2"/>
          <w:lang w:eastAsia="en-US"/>
          <w14:ligatures w14:val="standardContextual"/>
        </w:rPr>
        <w:t xml:space="preserve"> podem melhorar a forma como utilizam os recursos para alcançar os ODS. </w:t>
      </w:r>
      <w:r>
        <w:rPr>
          <w:rFonts w:eastAsiaTheme="minorHAnsi"/>
          <w:kern w:val="2"/>
          <w:lang w:eastAsia="en-US"/>
          <w14:ligatures w14:val="standardContextual"/>
        </w:rPr>
        <w:t xml:space="preserve">A Tabela 8 apresenta um panorama dos </w:t>
      </w:r>
      <w:r w:rsidR="00A03729">
        <w:rPr>
          <w:rFonts w:eastAsiaTheme="minorHAnsi"/>
          <w:kern w:val="2"/>
          <w:lang w:eastAsia="en-US"/>
          <w14:ligatures w14:val="standardContextual"/>
        </w:rPr>
        <w:t>298</w:t>
      </w:r>
      <w:r>
        <w:rPr>
          <w:rFonts w:eastAsiaTheme="minorHAnsi"/>
          <w:kern w:val="2"/>
          <w:lang w:eastAsia="en-US"/>
          <w14:ligatures w14:val="standardContextual"/>
        </w:rPr>
        <w:t xml:space="preserve"> municípios classificados como </w:t>
      </w:r>
      <w:r w:rsidR="00086741">
        <w:rPr>
          <w:rFonts w:eastAsiaTheme="minorHAnsi"/>
          <w:kern w:val="2"/>
          <w:lang w:eastAsia="en-US"/>
          <w14:ligatures w14:val="standardContextual"/>
        </w:rPr>
        <w:t>C</w:t>
      </w:r>
      <w:r w:rsidR="00894151">
        <w:rPr>
          <w:rFonts w:eastAsiaTheme="minorHAnsi"/>
          <w:kern w:val="2"/>
          <w:lang w:eastAsia="en-US"/>
          <w14:ligatures w14:val="standardContextual"/>
        </w:rPr>
        <w:t xml:space="preserve">apitais </w:t>
      </w:r>
      <w:r w:rsidR="00086741">
        <w:rPr>
          <w:rFonts w:eastAsiaTheme="minorHAnsi"/>
          <w:kern w:val="2"/>
          <w:lang w:eastAsia="en-US"/>
          <w14:ligatures w14:val="standardContextual"/>
        </w:rPr>
        <w:t>R</w:t>
      </w:r>
      <w:r w:rsidR="00894151">
        <w:rPr>
          <w:rFonts w:eastAsiaTheme="minorHAnsi"/>
          <w:kern w:val="2"/>
          <w:lang w:eastAsia="en-US"/>
          <w14:ligatures w14:val="standardContextual"/>
        </w:rPr>
        <w:t>egionais</w:t>
      </w:r>
      <w:r>
        <w:rPr>
          <w:rFonts w:eastAsiaTheme="minorHAnsi"/>
          <w:kern w:val="2"/>
          <w:lang w:eastAsia="en-US"/>
          <w14:ligatures w14:val="standardContextual"/>
        </w:rPr>
        <w:t>.</w:t>
      </w:r>
    </w:p>
    <w:p w14:paraId="44E9D215" w14:textId="40104934" w:rsidR="00E43763" w:rsidRPr="00F1059A" w:rsidRDefault="00E43763" w:rsidP="00E43763">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F1059A">
        <w:rPr>
          <w:rFonts w:eastAsiaTheme="minorHAnsi"/>
          <w:kern w:val="2"/>
          <w:sz w:val="20"/>
          <w:szCs w:val="20"/>
          <w:lang w:eastAsia="en-US"/>
          <w14:ligatures w14:val="standardContextual"/>
        </w:rPr>
        <w:t xml:space="preserve">Tabela </w:t>
      </w:r>
      <w:r>
        <w:rPr>
          <w:rFonts w:eastAsiaTheme="minorHAnsi"/>
          <w:kern w:val="2"/>
          <w:sz w:val="20"/>
          <w:szCs w:val="20"/>
          <w:lang w:eastAsia="en-US"/>
          <w14:ligatures w14:val="standardContextual"/>
        </w:rPr>
        <w:t>8</w:t>
      </w:r>
      <w:r w:rsidRPr="00F1059A">
        <w:rPr>
          <w:rFonts w:eastAsiaTheme="minorHAnsi"/>
          <w:kern w:val="2"/>
          <w:sz w:val="20"/>
          <w:szCs w:val="20"/>
          <w:lang w:eastAsia="en-US"/>
          <w14:ligatures w14:val="standardContextual"/>
        </w:rPr>
        <w:t xml:space="preserve"> – Dados </w:t>
      </w:r>
      <w:r>
        <w:rPr>
          <w:rFonts w:eastAsiaTheme="minorHAnsi"/>
          <w:kern w:val="2"/>
          <w:sz w:val="20"/>
          <w:szCs w:val="20"/>
          <w:lang w:eastAsia="en-US"/>
          <w14:ligatures w14:val="standardContextual"/>
        </w:rPr>
        <w:t xml:space="preserve">gerais </w:t>
      </w:r>
      <w:r w:rsidRPr="00F1059A">
        <w:rPr>
          <w:rFonts w:eastAsiaTheme="minorHAnsi"/>
          <w:kern w:val="2"/>
          <w:sz w:val="20"/>
          <w:szCs w:val="20"/>
          <w:lang w:eastAsia="en-US"/>
          <w14:ligatures w14:val="standardContextual"/>
        </w:rPr>
        <w:t xml:space="preserve">das cidades classificadas como </w:t>
      </w:r>
      <w:r>
        <w:rPr>
          <w:rFonts w:eastAsiaTheme="minorHAnsi"/>
          <w:kern w:val="2"/>
          <w:sz w:val="20"/>
          <w:szCs w:val="20"/>
          <w:lang w:eastAsia="en-US"/>
          <w14:ligatures w14:val="standardContextual"/>
        </w:rPr>
        <w:t>Capitais Regionais</w:t>
      </w:r>
    </w:p>
    <w:tbl>
      <w:tblPr>
        <w:tblStyle w:val="Tabelacomgrade"/>
        <w:tblW w:w="5000" w:type="pct"/>
        <w:jc w:val="center"/>
        <w:tblLook w:val="04A0" w:firstRow="1" w:lastRow="0" w:firstColumn="1" w:lastColumn="0" w:noHBand="0" w:noVBand="1"/>
      </w:tblPr>
      <w:tblGrid>
        <w:gridCol w:w="927"/>
        <w:gridCol w:w="1391"/>
        <w:gridCol w:w="1903"/>
        <w:gridCol w:w="1932"/>
        <w:gridCol w:w="1084"/>
        <w:gridCol w:w="1257"/>
      </w:tblGrid>
      <w:tr w:rsidR="00E43763" w:rsidRPr="00412BF7" w14:paraId="33BDC32D" w14:textId="77777777" w:rsidTr="00A03729">
        <w:trPr>
          <w:trHeight w:val="396"/>
          <w:jc w:val="center"/>
        </w:trPr>
        <w:tc>
          <w:tcPr>
            <w:tcW w:w="546" w:type="pct"/>
          </w:tcPr>
          <w:p w14:paraId="592D505C" w14:textId="77777777" w:rsidR="00E43763" w:rsidRPr="00412BF7" w:rsidRDefault="00E43763" w:rsidP="00B150EC">
            <w:pPr>
              <w:pStyle w:val="standard"/>
              <w:spacing w:before="0" w:beforeAutospacing="0" w:after="0" w:afterAutospacing="0"/>
              <w:jc w:val="both"/>
              <w:rPr>
                <w:rFonts w:eastAsiaTheme="minorHAnsi"/>
                <w:kern w:val="2"/>
                <w:sz w:val="20"/>
                <w:szCs w:val="20"/>
                <w:lang w:eastAsia="en-US"/>
                <w14:ligatures w14:val="standardContextual"/>
              </w:rPr>
            </w:pPr>
          </w:p>
        </w:tc>
        <w:tc>
          <w:tcPr>
            <w:tcW w:w="819" w:type="pct"/>
            <w:vAlign w:val="center"/>
          </w:tcPr>
          <w:p w14:paraId="3A70C65E" w14:textId="77777777" w:rsidR="00E43763" w:rsidRPr="00F1059A" w:rsidRDefault="00E43763" w:rsidP="00F01650">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População</w:t>
            </w:r>
          </w:p>
        </w:tc>
        <w:tc>
          <w:tcPr>
            <w:tcW w:w="1120" w:type="pct"/>
            <w:vAlign w:val="center"/>
          </w:tcPr>
          <w:p w14:paraId="1376E209" w14:textId="77777777" w:rsidR="00E43763" w:rsidRPr="00F1059A" w:rsidRDefault="00E43763" w:rsidP="00F01650">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w:t>
            </w:r>
          </w:p>
        </w:tc>
        <w:tc>
          <w:tcPr>
            <w:tcW w:w="1137" w:type="pct"/>
            <w:vAlign w:val="center"/>
          </w:tcPr>
          <w:p w14:paraId="52CA3D99" w14:textId="77777777" w:rsidR="00E43763" w:rsidRPr="00F1059A" w:rsidRDefault="00E43763" w:rsidP="00F01650">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 per capita</w:t>
            </w:r>
          </w:p>
        </w:tc>
        <w:tc>
          <w:tcPr>
            <w:tcW w:w="638" w:type="pct"/>
            <w:vAlign w:val="center"/>
          </w:tcPr>
          <w:p w14:paraId="33A9F79E" w14:textId="77777777" w:rsidR="00E43763" w:rsidRPr="00F1059A" w:rsidRDefault="00E43763" w:rsidP="00F01650">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ODS Agrupado</w:t>
            </w:r>
          </w:p>
        </w:tc>
        <w:tc>
          <w:tcPr>
            <w:tcW w:w="740" w:type="pct"/>
            <w:vAlign w:val="center"/>
          </w:tcPr>
          <w:p w14:paraId="1A8D247E" w14:textId="77777777" w:rsidR="00E43763" w:rsidRPr="00F1059A" w:rsidRDefault="00E43763" w:rsidP="00F01650">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Eficiência</w:t>
            </w:r>
          </w:p>
        </w:tc>
      </w:tr>
      <w:tr w:rsidR="00A03729" w:rsidRPr="00412BF7" w14:paraId="612FF0F0" w14:textId="77777777" w:rsidTr="00A03729">
        <w:trPr>
          <w:trHeight w:val="396"/>
          <w:jc w:val="center"/>
        </w:trPr>
        <w:tc>
          <w:tcPr>
            <w:tcW w:w="546" w:type="pct"/>
            <w:vAlign w:val="center"/>
          </w:tcPr>
          <w:p w14:paraId="11F5612E" w14:textId="77777777" w:rsidR="00A03729" w:rsidRPr="00F1059A" w:rsidRDefault="00A03729" w:rsidP="00A03729">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Média</w:t>
            </w:r>
          </w:p>
        </w:tc>
        <w:tc>
          <w:tcPr>
            <w:tcW w:w="819" w:type="pct"/>
            <w:vAlign w:val="center"/>
          </w:tcPr>
          <w:p w14:paraId="0D9DCE4C" w14:textId="4982F9F9"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140.02</w:t>
            </w:r>
            <w:r w:rsidR="001C5CF8">
              <w:rPr>
                <w:rFonts w:ascii="Times New Roman" w:hAnsi="Times New Roman" w:cs="Times New Roman"/>
                <w:color w:val="000000"/>
                <w:sz w:val="20"/>
                <w:szCs w:val="20"/>
              </w:rPr>
              <w:t>8</w:t>
            </w:r>
          </w:p>
        </w:tc>
        <w:tc>
          <w:tcPr>
            <w:tcW w:w="1120" w:type="pct"/>
            <w:vAlign w:val="center"/>
          </w:tcPr>
          <w:p w14:paraId="79FFF001" w14:textId="6591982D"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R$ 648.483.377,69</w:t>
            </w:r>
          </w:p>
        </w:tc>
        <w:tc>
          <w:tcPr>
            <w:tcW w:w="1137" w:type="pct"/>
            <w:vAlign w:val="center"/>
          </w:tcPr>
          <w:p w14:paraId="6AA7519E" w14:textId="3C351E29"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R$</w:t>
            </w:r>
            <w:r>
              <w:rPr>
                <w:rFonts w:ascii="Times New Roman" w:hAnsi="Times New Roman" w:cs="Times New Roman"/>
                <w:color w:val="000000"/>
                <w:sz w:val="20"/>
                <w:szCs w:val="20"/>
              </w:rPr>
              <w:t xml:space="preserve"> </w:t>
            </w:r>
            <w:r w:rsidRPr="00A03729">
              <w:rPr>
                <w:rFonts w:ascii="Times New Roman" w:hAnsi="Times New Roman" w:cs="Times New Roman"/>
                <w:color w:val="000000"/>
                <w:sz w:val="20"/>
                <w:szCs w:val="20"/>
              </w:rPr>
              <w:t>5.548,09</w:t>
            </w:r>
          </w:p>
        </w:tc>
        <w:tc>
          <w:tcPr>
            <w:tcW w:w="638" w:type="pct"/>
            <w:vAlign w:val="center"/>
          </w:tcPr>
          <w:p w14:paraId="2FF312F6" w14:textId="5A3C709B"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52,25</w:t>
            </w:r>
          </w:p>
        </w:tc>
        <w:tc>
          <w:tcPr>
            <w:tcW w:w="740" w:type="pct"/>
            <w:vAlign w:val="center"/>
          </w:tcPr>
          <w:p w14:paraId="1B2B24D0" w14:textId="30AC496E"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0,9</w:t>
            </w:r>
            <w:r w:rsidR="001C5CF8">
              <w:rPr>
                <w:rFonts w:ascii="Times New Roman" w:hAnsi="Times New Roman" w:cs="Times New Roman"/>
                <w:color w:val="000000"/>
                <w:sz w:val="20"/>
                <w:szCs w:val="20"/>
              </w:rPr>
              <w:t>48</w:t>
            </w:r>
          </w:p>
        </w:tc>
      </w:tr>
      <w:tr w:rsidR="00A03729" w:rsidRPr="00412BF7" w14:paraId="469945D0" w14:textId="77777777" w:rsidTr="00A03729">
        <w:trPr>
          <w:trHeight w:val="396"/>
          <w:jc w:val="center"/>
        </w:trPr>
        <w:tc>
          <w:tcPr>
            <w:tcW w:w="546" w:type="pct"/>
            <w:vAlign w:val="center"/>
          </w:tcPr>
          <w:p w14:paraId="073B1BEE" w14:textId="77777777" w:rsidR="00A03729" w:rsidRPr="00F1059A" w:rsidRDefault="00A03729" w:rsidP="00A03729">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Mínimo</w:t>
            </w:r>
          </w:p>
        </w:tc>
        <w:tc>
          <w:tcPr>
            <w:tcW w:w="819" w:type="pct"/>
            <w:vAlign w:val="center"/>
          </w:tcPr>
          <w:p w14:paraId="01AB2CCA" w14:textId="39820E2F" w:rsidR="00A03729" w:rsidRPr="00A03729" w:rsidRDefault="00A03729" w:rsidP="00A03729">
            <w:pPr>
              <w:pStyle w:val="standard"/>
              <w:spacing w:before="0" w:beforeAutospacing="0" w:after="0" w:afterAutospacing="0"/>
              <w:jc w:val="center"/>
              <w:rPr>
                <w:rFonts w:eastAsiaTheme="minorHAnsi"/>
                <w:kern w:val="2"/>
                <w:sz w:val="20"/>
                <w:szCs w:val="20"/>
                <w:lang w:eastAsia="en-US"/>
                <w14:ligatures w14:val="standardContextual"/>
              </w:rPr>
            </w:pPr>
            <w:r w:rsidRPr="00A03729">
              <w:rPr>
                <w:color w:val="000000"/>
                <w:sz w:val="20"/>
                <w:szCs w:val="20"/>
              </w:rPr>
              <w:t>2.116</w:t>
            </w:r>
          </w:p>
        </w:tc>
        <w:tc>
          <w:tcPr>
            <w:tcW w:w="1120" w:type="pct"/>
            <w:vAlign w:val="center"/>
          </w:tcPr>
          <w:p w14:paraId="1EE2051F" w14:textId="6F6E9C89" w:rsidR="00A03729" w:rsidRPr="00A03729" w:rsidRDefault="00A03729" w:rsidP="00A03729">
            <w:pPr>
              <w:pStyle w:val="standard"/>
              <w:spacing w:before="0" w:beforeAutospacing="0" w:after="0" w:afterAutospacing="0"/>
              <w:jc w:val="center"/>
              <w:rPr>
                <w:rFonts w:eastAsiaTheme="minorHAnsi"/>
                <w:kern w:val="2"/>
                <w:sz w:val="20"/>
                <w:szCs w:val="20"/>
                <w:lang w:eastAsia="en-US"/>
                <w14:ligatures w14:val="standardContextual"/>
              </w:rPr>
            </w:pPr>
            <w:r w:rsidRPr="00A03729">
              <w:rPr>
                <w:color w:val="000000"/>
                <w:sz w:val="20"/>
                <w:szCs w:val="20"/>
              </w:rPr>
              <w:t>R$ 20.266.252,92</w:t>
            </w:r>
          </w:p>
        </w:tc>
        <w:tc>
          <w:tcPr>
            <w:tcW w:w="1137" w:type="pct"/>
            <w:vAlign w:val="center"/>
          </w:tcPr>
          <w:p w14:paraId="5FEB3188" w14:textId="50C5648C" w:rsidR="00A03729" w:rsidRPr="00A03729" w:rsidRDefault="00A03729" w:rsidP="00A03729">
            <w:pPr>
              <w:pStyle w:val="standard"/>
              <w:spacing w:before="0" w:beforeAutospacing="0" w:after="0" w:afterAutospacing="0"/>
              <w:jc w:val="center"/>
              <w:rPr>
                <w:rFonts w:eastAsiaTheme="minorHAnsi"/>
                <w:kern w:val="2"/>
                <w:sz w:val="20"/>
                <w:szCs w:val="20"/>
                <w:lang w:eastAsia="en-US"/>
                <w14:ligatures w14:val="standardContextual"/>
              </w:rPr>
            </w:pPr>
            <w:r w:rsidRPr="00A03729">
              <w:rPr>
                <w:color w:val="000000"/>
                <w:sz w:val="20"/>
                <w:szCs w:val="20"/>
              </w:rPr>
              <w:t>R$ 2.360,52</w:t>
            </w:r>
          </w:p>
        </w:tc>
        <w:tc>
          <w:tcPr>
            <w:tcW w:w="638" w:type="pct"/>
            <w:vAlign w:val="center"/>
          </w:tcPr>
          <w:p w14:paraId="5CD812E2" w14:textId="2534A116"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36,59</w:t>
            </w:r>
          </w:p>
        </w:tc>
        <w:tc>
          <w:tcPr>
            <w:tcW w:w="740" w:type="pct"/>
            <w:vAlign w:val="center"/>
          </w:tcPr>
          <w:p w14:paraId="68595831" w14:textId="5C89DC99"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0,44</w:t>
            </w:r>
            <w:r w:rsidR="001C5CF8">
              <w:rPr>
                <w:rFonts w:ascii="Times New Roman" w:hAnsi="Times New Roman" w:cs="Times New Roman"/>
                <w:color w:val="000000"/>
                <w:sz w:val="20"/>
                <w:szCs w:val="20"/>
              </w:rPr>
              <w:t>1</w:t>
            </w:r>
          </w:p>
        </w:tc>
      </w:tr>
      <w:tr w:rsidR="00A03729" w:rsidRPr="00412BF7" w14:paraId="2EC57B18" w14:textId="77777777" w:rsidTr="00A03729">
        <w:trPr>
          <w:trHeight w:val="396"/>
          <w:jc w:val="center"/>
        </w:trPr>
        <w:tc>
          <w:tcPr>
            <w:tcW w:w="546" w:type="pct"/>
            <w:vAlign w:val="center"/>
          </w:tcPr>
          <w:p w14:paraId="011819A1" w14:textId="77777777" w:rsidR="00A03729" w:rsidRPr="00F1059A" w:rsidRDefault="00A03729" w:rsidP="00A03729">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Máximo</w:t>
            </w:r>
          </w:p>
        </w:tc>
        <w:tc>
          <w:tcPr>
            <w:tcW w:w="819" w:type="pct"/>
            <w:vAlign w:val="center"/>
          </w:tcPr>
          <w:p w14:paraId="149BD988" w14:textId="0B1098C2" w:rsidR="00A03729" w:rsidRPr="00A03729" w:rsidRDefault="00A03729" w:rsidP="00A03729">
            <w:pPr>
              <w:pStyle w:val="standard"/>
              <w:spacing w:before="0" w:beforeAutospacing="0" w:after="0" w:afterAutospacing="0"/>
              <w:jc w:val="center"/>
              <w:rPr>
                <w:rFonts w:eastAsiaTheme="minorHAnsi"/>
                <w:kern w:val="2"/>
                <w:sz w:val="20"/>
                <w:szCs w:val="20"/>
                <w:lang w:eastAsia="en-US"/>
                <w14:ligatures w14:val="standardContextual"/>
              </w:rPr>
            </w:pPr>
            <w:r w:rsidRPr="00A03729">
              <w:rPr>
                <w:color w:val="000000"/>
                <w:sz w:val="20"/>
                <w:szCs w:val="20"/>
              </w:rPr>
              <w:t>1.037.775</w:t>
            </w:r>
          </w:p>
        </w:tc>
        <w:tc>
          <w:tcPr>
            <w:tcW w:w="1120" w:type="pct"/>
            <w:vAlign w:val="center"/>
          </w:tcPr>
          <w:p w14:paraId="39F4F80C" w14:textId="3818A324" w:rsidR="00A03729" w:rsidRPr="00A03729" w:rsidRDefault="00A03729" w:rsidP="00A03729">
            <w:pPr>
              <w:pStyle w:val="standard"/>
              <w:spacing w:before="0" w:beforeAutospacing="0" w:after="0" w:afterAutospacing="0"/>
              <w:jc w:val="center"/>
              <w:rPr>
                <w:rFonts w:eastAsiaTheme="minorHAnsi"/>
                <w:kern w:val="2"/>
                <w:sz w:val="20"/>
                <w:szCs w:val="20"/>
                <w:lang w:eastAsia="en-US"/>
                <w14:ligatures w14:val="standardContextual"/>
              </w:rPr>
            </w:pPr>
            <w:r w:rsidRPr="00A03729">
              <w:rPr>
                <w:color w:val="000000"/>
                <w:sz w:val="20"/>
                <w:szCs w:val="20"/>
              </w:rPr>
              <w:t>R$ 5.192.114.973,70</w:t>
            </w:r>
          </w:p>
        </w:tc>
        <w:tc>
          <w:tcPr>
            <w:tcW w:w="1137" w:type="pct"/>
            <w:vAlign w:val="center"/>
          </w:tcPr>
          <w:p w14:paraId="05DCA7D6" w14:textId="5EEF1F37" w:rsidR="00A03729" w:rsidRPr="00A03729" w:rsidRDefault="00A03729" w:rsidP="00A03729">
            <w:pPr>
              <w:pStyle w:val="standard"/>
              <w:spacing w:before="0" w:beforeAutospacing="0" w:after="0" w:afterAutospacing="0"/>
              <w:jc w:val="center"/>
              <w:rPr>
                <w:rFonts w:eastAsiaTheme="minorHAnsi"/>
                <w:kern w:val="2"/>
                <w:sz w:val="20"/>
                <w:szCs w:val="20"/>
                <w:lang w:eastAsia="en-US"/>
                <w14:ligatures w14:val="standardContextual"/>
              </w:rPr>
            </w:pPr>
            <w:r w:rsidRPr="00A03729">
              <w:rPr>
                <w:color w:val="000000"/>
                <w:sz w:val="20"/>
                <w:szCs w:val="20"/>
              </w:rPr>
              <w:t>R$</w:t>
            </w:r>
            <w:r>
              <w:rPr>
                <w:color w:val="000000"/>
                <w:sz w:val="20"/>
                <w:szCs w:val="20"/>
              </w:rPr>
              <w:t xml:space="preserve"> </w:t>
            </w:r>
            <w:r w:rsidRPr="00A03729">
              <w:rPr>
                <w:color w:val="000000"/>
                <w:sz w:val="20"/>
                <w:szCs w:val="20"/>
              </w:rPr>
              <w:t>16.865,96</w:t>
            </w:r>
          </w:p>
        </w:tc>
        <w:tc>
          <w:tcPr>
            <w:tcW w:w="638" w:type="pct"/>
            <w:vAlign w:val="center"/>
          </w:tcPr>
          <w:p w14:paraId="7D1F72D6" w14:textId="2ADB87EF"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64,65</w:t>
            </w:r>
          </w:p>
        </w:tc>
        <w:tc>
          <w:tcPr>
            <w:tcW w:w="740" w:type="pct"/>
            <w:vAlign w:val="center"/>
          </w:tcPr>
          <w:p w14:paraId="3A85817D" w14:textId="2FE0B90B" w:rsidR="00A03729" w:rsidRPr="00A03729" w:rsidRDefault="00A03729" w:rsidP="00A03729">
            <w:pPr>
              <w:jc w:val="center"/>
              <w:rPr>
                <w:rFonts w:ascii="Times New Roman" w:hAnsi="Times New Roman" w:cs="Times New Roman"/>
                <w:color w:val="000000"/>
                <w:sz w:val="20"/>
                <w:szCs w:val="20"/>
              </w:rPr>
            </w:pPr>
            <w:r w:rsidRPr="00A03729">
              <w:rPr>
                <w:rFonts w:ascii="Times New Roman" w:hAnsi="Times New Roman" w:cs="Times New Roman"/>
                <w:color w:val="000000"/>
                <w:sz w:val="20"/>
                <w:szCs w:val="20"/>
              </w:rPr>
              <w:t>1,00</w:t>
            </w:r>
            <w:r w:rsidR="001C5CF8">
              <w:rPr>
                <w:rFonts w:ascii="Times New Roman" w:hAnsi="Times New Roman" w:cs="Times New Roman"/>
                <w:color w:val="000000"/>
                <w:sz w:val="20"/>
                <w:szCs w:val="20"/>
              </w:rPr>
              <w:t>0</w:t>
            </w:r>
          </w:p>
        </w:tc>
      </w:tr>
    </w:tbl>
    <w:p w14:paraId="2E0206D0" w14:textId="41702E79" w:rsidR="00022C63" w:rsidRDefault="00022C63" w:rsidP="00022C63">
      <w:pPr>
        <w:pStyle w:val="standard"/>
        <w:spacing w:before="0" w:beforeAutospacing="0" w:after="120" w:afterAutospacing="0" w:line="360" w:lineRule="auto"/>
        <w:ind w:right="-1" w:firstLine="708"/>
        <w:jc w:val="both"/>
        <w:rPr>
          <w:rFonts w:eastAsiaTheme="minorHAnsi"/>
          <w:kern w:val="2"/>
          <w:lang w:eastAsia="en-US"/>
          <w14:ligatures w14:val="standardContextual"/>
        </w:rPr>
      </w:pPr>
    </w:p>
    <w:p w14:paraId="78F5017A" w14:textId="54FEFE1E" w:rsidR="008466AE" w:rsidRDefault="00E960E5" w:rsidP="00531CA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Assim como no caso da Metrópoles, d</w:t>
      </w:r>
      <w:r w:rsidR="00531CA4">
        <w:rPr>
          <w:rFonts w:eastAsiaTheme="minorHAnsi"/>
          <w:kern w:val="2"/>
          <w:lang w:eastAsia="en-US"/>
          <w14:ligatures w14:val="standardContextual"/>
        </w:rPr>
        <w:t>estacam-se principalmente entre as DMUs ineficientes</w:t>
      </w:r>
      <w:r>
        <w:rPr>
          <w:rFonts w:eastAsiaTheme="minorHAnsi"/>
          <w:kern w:val="2"/>
          <w:lang w:eastAsia="en-US"/>
          <w14:ligatures w14:val="standardContextual"/>
        </w:rPr>
        <w:t xml:space="preserve"> das Capitais Regionais</w:t>
      </w:r>
      <w:r w:rsidR="00531CA4">
        <w:rPr>
          <w:rFonts w:eastAsiaTheme="minorHAnsi"/>
          <w:kern w:val="2"/>
          <w:lang w:eastAsia="en-US"/>
          <w14:ligatures w14:val="standardContextual"/>
        </w:rPr>
        <w:t xml:space="preserve"> aqueles municípios que possuem orçamento per capita elevado quando comparado aos eficientes. </w:t>
      </w:r>
      <w:r>
        <w:rPr>
          <w:rFonts w:eastAsiaTheme="minorHAnsi"/>
          <w:kern w:val="2"/>
          <w:lang w:eastAsia="en-US"/>
          <w14:ligatures w14:val="standardContextual"/>
        </w:rPr>
        <w:t xml:space="preserve">Esse mesmo comportamento foi observado na análise das demais hierarquias. </w:t>
      </w:r>
      <w:r w:rsidR="00531CA4">
        <w:rPr>
          <w:rFonts w:eastAsiaTheme="minorHAnsi"/>
          <w:kern w:val="2"/>
          <w:lang w:eastAsia="en-US"/>
          <w14:ligatures w14:val="standardContextual"/>
        </w:rPr>
        <w:t xml:space="preserve">A média do orçamento per capita dos municípios per capita ineficientes </w:t>
      </w:r>
      <w:r>
        <w:rPr>
          <w:rFonts w:eastAsiaTheme="minorHAnsi"/>
          <w:kern w:val="2"/>
          <w:lang w:eastAsia="en-US"/>
          <w14:ligatures w14:val="standardContextual"/>
        </w:rPr>
        <w:t xml:space="preserve">entre as Capitais Regionais </w:t>
      </w:r>
      <w:r w:rsidR="00531CA4">
        <w:rPr>
          <w:rFonts w:eastAsiaTheme="minorHAnsi"/>
          <w:kern w:val="2"/>
          <w:lang w:eastAsia="en-US"/>
          <w14:ligatures w14:val="standardContextual"/>
        </w:rPr>
        <w:t xml:space="preserve">foi </w:t>
      </w:r>
      <w:r w:rsidR="008466AE">
        <w:rPr>
          <w:rFonts w:eastAsiaTheme="minorHAnsi"/>
          <w:kern w:val="2"/>
          <w:lang w:eastAsia="en-US"/>
          <w14:ligatures w14:val="standardContextual"/>
        </w:rPr>
        <w:t>de</w:t>
      </w:r>
      <w:r w:rsidR="00531CA4">
        <w:rPr>
          <w:rFonts w:eastAsiaTheme="minorHAnsi"/>
          <w:kern w:val="2"/>
          <w:lang w:eastAsia="en-US"/>
          <w14:ligatures w14:val="standardContextual"/>
        </w:rPr>
        <w:t xml:space="preserve"> </w:t>
      </w:r>
      <w:r w:rsidR="00F6642B">
        <w:rPr>
          <w:rFonts w:eastAsiaTheme="minorHAnsi"/>
          <w:kern w:val="2"/>
          <w:lang w:eastAsia="en-US"/>
          <w14:ligatures w14:val="standardContextual"/>
        </w:rPr>
        <w:t>7.259,23</w:t>
      </w:r>
      <w:r w:rsidR="00531CA4" w:rsidRPr="00531CA4">
        <w:rPr>
          <w:rFonts w:eastAsiaTheme="minorHAnsi"/>
          <w:kern w:val="2"/>
          <w:lang w:eastAsia="en-US"/>
          <w14:ligatures w14:val="standardContextual"/>
        </w:rPr>
        <w:t xml:space="preserve"> </w:t>
      </w:r>
      <w:r w:rsidR="00531CA4">
        <w:rPr>
          <w:rFonts w:eastAsiaTheme="minorHAnsi"/>
          <w:kern w:val="2"/>
          <w:lang w:eastAsia="en-US"/>
          <w14:ligatures w14:val="standardContextual"/>
        </w:rPr>
        <w:t xml:space="preserve">R$/habitante, enquanto a dos eficientes </w:t>
      </w:r>
      <w:r w:rsidR="008466AE">
        <w:rPr>
          <w:rFonts w:eastAsiaTheme="minorHAnsi"/>
          <w:kern w:val="2"/>
          <w:lang w:eastAsia="en-US"/>
          <w14:ligatures w14:val="standardContextual"/>
        </w:rPr>
        <w:t>foi de</w:t>
      </w:r>
      <w:r w:rsidR="00531CA4">
        <w:rPr>
          <w:rFonts w:eastAsiaTheme="minorHAnsi"/>
          <w:kern w:val="2"/>
          <w:lang w:eastAsia="en-US"/>
          <w14:ligatures w14:val="standardContextual"/>
        </w:rPr>
        <w:t xml:space="preserve"> </w:t>
      </w:r>
      <w:r w:rsidR="00531CA4" w:rsidRPr="00531CA4">
        <w:rPr>
          <w:rFonts w:eastAsiaTheme="minorHAnsi"/>
          <w:kern w:val="2"/>
          <w:lang w:eastAsia="en-US"/>
          <w14:ligatures w14:val="standardContextual"/>
        </w:rPr>
        <w:t>4.75</w:t>
      </w:r>
      <w:r w:rsidR="00F6642B">
        <w:rPr>
          <w:rFonts w:eastAsiaTheme="minorHAnsi"/>
          <w:kern w:val="2"/>
          <w:lang w:eastAsia="en-US"/>
          <w14:ligatures w14:val="standardContextual"/>
        </w:rPr>
        <w:t xml:space="preserve">9,62 </w:t>
      </w:r>
      <w:r w:rsidR="008466AE">
        <w:rPr>
          <w:rFonts w:eastAsiaTheme="minorHAnsi"/>
          <w:kern w:val="2"/>
          <w:lang w:eastAsia="en-US"/>
          <w14:ligatures w14:val="standardContextual"/>
        </w:rPr>
        <w:t>R</w:t>
      </w:r>
      <w:r w:rsidR="00531CA4">
        <w:rPr>
          <w:rFonts w:eastAsiaTheme="minorHAnsi"/>
          <w:kern w:val="2"/>
          <w:lang w:eastAsia="en-US"/>
          <w14:ligatures w14:val="standardContextual"/>
        </w:rPr>
        <w:t xml:space="preserve">$/habitante. </w:t>
      </w:r>
      <w:r w:rsidR="008466AE">
        <w:rPr>
          <w:rFonts w:eastAsiaTheme="minorHAnsi"/>
          <w:kern w:val="2"/>
          <w:lang w:eastAsia="en-US"/>
          <w14:ligatures w14:val="standardContextual"/>
        </w:rPr>
        <w:t xml:space="preserve">Ou seja, o orçamento dos municípios ineficientes foi </w:t>
      </w:r>
      <w:r w:rsidR="00F6642B">
        <w:rPr>
          <w:rFonts w:eastAsiaTheme="minorHAnsi"/>
          <w:kern w:val="2"/>
          <w:lang w:eastAsia="en-US"/>
          <w14:ligatures w14:val="standardContextual"/>
        </w:rPr>
        <w:t>52,5</w:t>
      </w:r>
      <w:r w:rsidR="008466AE">
        <w:rPr>
          <w:rFonts w:eastAsiaTheme="minorHAnsi"/>
          <w:kern w:val="2"/>
          <w:lang w:eastAsia="en-US"/>
          <w14:ligatures w14:val="standardContextual"/>
        </w:rPr>
        <w:t>% superior em média que o dos municípios eficientes.</w:t>
      </w:r>
    </w:p>
    <w:p w14:paraId="23F04CD0" w14:textId="63791229" w:rsidR="00531CA4" w:rsidRPr="00531CA4" w:rsidRDefault="00531CA4" w:rsidP="00531CA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Em relação a nota média dos ODS, não se verificou grande diferença entre </w:t>
      </w:r>
      <w:r w:rsidR="008466AE">
        <w:rPr>
          <w:rFonts w:eastAsiaTheme="minorHAnsi"/>
          <w:kern w:val="2"/>
          <w:lang w:eastAsia="en-US"/>
          <w14:ligatures w14:val="standardContextual"/>
        </w:rPr>
        <w:t xml:space="preserve">municípios </w:t>
      </w:r>
      <w:r>
        <w:rPr>
          <w:rFonts w:eastAsiaTheme="minorHAnsi"/>
          <w:kern w:val="2"/>
          <w:lang w:eastAsia="en-US"/>
          <w14:ligatures w14:val="standardContextual"/>
        </w:rPr>
        <w:t>eficientes e ineficientes, sendo este valor</w:t>
      </w:r>
      <w:r w:rsidR="00E960E5">
        <w:rPr>
          <w:rFonts w:eastAsiaTheme="minorHAnsi"/>
          <w:kern w:val="2"/>
          <w:lang w:eastAsia="en-US"/>
          <w14:ligatures w14:val="standardContextual"/>
        </w:rPr>
        <w:t>, em média,</w:t>
      </w:r>
      <w:r>
        <w:rPr>
          <w:rFonts w:eastAsiaTheme="minorHAnsi"/>
          <w:kern w:val="2"/>
          <w:lang w:eastAsia="en-US"/>
          <w14:ligatures w14:val="standardContextual"/>
        </w:rPr>
        <w:t xml:space="preserve"> igual </w:t>
      </w:r>
      <w:r w:rsidRPr="00F6642B">
        <w:rPr>
          <w:rFonts w:eastAsiaTheme="minorHAnsi"/>
          <w:kern w:val="2"/>
          <w:lang w:eastAsia="en-US"/>
          <w14:ligatures w14:val="standardContextual"/>
        </w:rPr>
        <w:t>a 52,</w:t>
      </w:r>
      <w:r w:rsidR="00F6642B" w:rsidRPr="00F6642B">
        <w:rPr>
          <w:rFonts w:eastAsiaTheme="minorHAnsi"/>
          <w:kern w:val="2"/>
          <w:lang w:eastAsia="en-US"/>
          <w14:ligatures w14:val="standardContextual"/>
        </w:rPr>
        <w:t>19</w:t>
      </w:r>
      <w:r w:rsidRPr="00531CA4">
        <w:rPr>
          <w:rFonts w:eastAsiaTheme="minorHAnsi"/>
          <w:kern w:val="2"/>
          <w:lang w:eastAsia="en-US"/>
          <w14:ligatures w14:val="standardContextual"/>
        </w:rPr>
        <w:t xml:space="preserve"> </w:t>
      </w:r>
      <w:r>
        <w:rPr>
          <w:rFonts w:eastAsiaTheme="minorHAnsi"/>
          <w:kern w:val="2"/>
          <w:lang w:eastAsia="en-US"/>
          <w14:ligatures w14:val="standardContextual"/>
        </w:rPr>
        <w:t xml:space="preserve">e </w:t>
      </w:r>
      <w:r w:rsidR="00F6642B">
        <w:rPr>
          <w:rFonts w:eastAsiaTheme="minorHAnsi"/>
          <w:kern w:val="2"/>
          <w:lang w:eastAsia="en-US"/>
          <w14:ligatures w14:val="standardContextual"/>
        </w:rPr>
        <w:t>52,37</w:t>
      </w:r>
      <w:r>
        <w:rPr>
          <w:rFonts w:eastAsiaTheme="minorHAnsi"/>
          <w:kern w:val="2"/>
          <w:lang w:eastAsia="en-US"/>
          <w14:ligatures w14:val="standardContextual"/>
        </w:rPr>
        <w:t xml:space="preserve"> respectivamente. </w:t>
      </w:r>
      <w:r w:rsidR="008466AE">
        <w:rPr>
          <w:rFonts w:eastAsiaTheme="minorHAnsi"/>
          <w:kern w:val="2"/>
          <w:lang w:eastAsia="en-US"/>
          <w14:ligatures w14:val="standardContextual"/>
        </w:rPr>
        <w:t xml:space="preserve">Além de possuírem orçamentos consideravelmente maiores, a média geral dos ODS dos municípios ineficientes foi </w:t>
      </w:r>
      <w:r w:rsidR="00F6642B">
        <w:rPr>
          <w:rFonts w:eastAsiaTheme="minorHAnsi"/>
          <w:kern w:val="2"/>
          <w:lang w:eastAsia="en-US"/>
          <w14:ligatures w14:val="standardContextual"/>
        </w:rPr>
        <w:t>maior</w:t>
      </w:r>
      <w:r w:rsidR="00E960E5">
        <w:rPr>
          <w:rFonts w:eastAsiaTheme="minorHAnsi"/>
          <w:kern w:val="2"/>
          <w:lang w:eastAsia="en-US"/>
          <w14:ligatures w14:val="standardContextual"/>
        </w:rPr>
        <w:t>,</w:t>
      </w:r>
      <w:r w:rsidR="008466AE">
        <w:rPr>
          <w:rFonts w:eastAsiaTheme="minorHAnsi"/>
          <w:kern w:val="2"/>
          <w:lang w:eastAsia="en-US"/>
          <w14:ligatures w14:val="standardContextual"/>
        </w:rPr>
        <w:t xml:space="preserve"> em média</w:t>
      </w:r>
      <w:r w:rsidR="00E960E5">
        <w:rPr>
          <w:rFonts w:eastAsiaTheme="minorHAnsi"/>
          <w:kern w:val="2"/>
          <w:lang w:eastAsia="en-US"/>
          <w14:ligatures w14:val="standardContextual"/>
        </w:rPr>
        <w:t>,</w:t>
      </w:r>
      <w:r w:rsidR="008466AE">
        <w:rPr>
          <w:rFonts w:eastAsiaTheme="minorHAnsi"/>
          <w:kern w:val="2"/>
          <w:lang w:eastAsia="en-US"/>
          <w14:ligatures w14:val="standardContextual"/>
        </w:rPr>
        <w:t xml:space="preserve"> </w:t>
      </w:r>
      <w:r w:rsidR="00F6642B">
        <w:rPr>
          <w:rFonts w:eastAsiaTheme="minorHAnsi"/>
          <w:kern w:val="2"/>
          <w:lang w:eastAsia="en-US"/>
          <w14:ligatures w14:val="standardContextual"/>
        </w:rPr>
        <w:t xml:space="preserve">apenas </w:t>
      </w:r>
      <w:r w:rsidR="008466AE">
        <w:rPr>
          <w:rFonts w:eastAsiaTheme="minorHAnsi"/>
          <w:kern w:val="2"/>
          <w:lang w:eastAsia="en-US"/>
          <w14:ligatures w14:val="standardContextual"/>
        </w:rPr>
        <w:t>0,</w:t>
      </w:r>
      <w:r w:rsidR="00F6642B">
        <w:rPr>
          <w:rFonts w:eastAsiaTheme="minorHAnsi"/>
          <w:kern w:val="2"/>
          <w:lang w:eastAsia="en-US"/>
          <w14:ligatures w14:val="standardContextual"/>
        </w:rPr>
        <w:t>34</w:t>
      </w:r>
      <w:r w:rsidR="008466AE">
        <w:rPr>
          <w:rFonts w:eastAsiaTheme="minorHAnsi"/>
          <w:kern w:val="2"/>
          <w:lang w:eastAsia="en-US"/>
          <w14:ligatures w14:val="standardContextual"/>
        </w:rPr>
        <w:t xml:space="preserve">%, explicando assim possivelmente sua ineficiência.   </w:t>
      </w:r>
      <w:r>
        <w:rPr>
          <w:rFonts w:eastAsiaTheme="minorHAnsi"/>
          <w:kern w:val="2"/>
          <w:lang w:eastAsia="en-US"/>
          <w14:ligatures w14:val="standardContextual"/>
        </w:rPr>
        <w:t xml:space="preserve">      </w:t>
      </w:r>
    </w:p>
    <w:p w14:paraId="54BF8899" w14:textId="68AB8AE2" w:rsidR="00531CA4" w:rsidRDefault="00531CA4" w:rsidP="00531CA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A Figura </w:t>
      </w:r>
      <w:r w:rsidR="0056051D">
        <w:rPr>
          <w:rFonts w:eastAsiaTheme="minorHAnsi"/>
          <w:kern w:val="2"/>
          <w:lang w:eastAsia="en-US"/>
          <w14:ligatures w14:val="standardContextual"/>
        </w:rPr>
        <w:t>2</w:t>
      </w:r>
      <w:r>
        <w:rPr>
          <w:rFonts w:eastAsiaTheme="minorHAnsi"/>
          <w:kern w:val="2"/>
          <w:lang w:eastAsia="en-US"/>
          <w14:ligatures w14:val="standardContextual"/>
        </w:rPr>
        <w:t xml:space="preserve"> apresenta o histograma dos scores de eficiência dos </w:t>
      </w:r>
      <w:r w:rsidR="00912B23">
        <w:rPr>
          <w:rFonts w:eastAsiaTheme="minorHAnsi"/>
          <w:kern w:val="2"/>
          <w:lang w:eastAsia="en-US"/>
          <w14:ligatures w14:val="standardContextual"/>
        </w:rPr>
        <w:t>94</w:t>
      </w:r>
      <w:r>
        <w:rPr>
          <w:rFonts w:eastAsiaTheme="minorHAnsi"/>
          <w:kern w:val="2"/>
          <w:lang w:eastAsia="en-US"/>
          <w14:ligatures w14:val="standardContextual"/>
        </w:rPr>
        <w:t xml:space="preserve"> municípios considerados ineficientes, bem como suas principais estatísticas. </w:t>
      </w:r>
    </w:p>
    <w:p w14:paraId="68BC0EC1" w14:textId="31349F05" w:rsidR="0056051D" w:rsidRPr="00655E23" w:rsidRDefault="0056051D" w:rsidP="0056051D">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655E23">
        <w:rPr>
          <w:rFonts w:eastAsiaTheme="minorHAnsi"/>
          <w:kern w:val="2"/>
          <w:sz w:val="20"/>
          <w:szCs w:val="20"/>
          <w:lang w:eastAsia="en-US"/>
          <w14:ligatures w14:val="standardContextual"/>
        </w:rPr>
        <w:t xml:space="preserve">Figura </w:t>
      </w:r>
      <w:r>
        <w:rPr>
          <w:rFonts w:eastAsiaTheme="minorHAnsi"/>
          <w:kern w:val="2"/>
          <w:sz w:val="20"/>
          <w:szCs w:val="20"/>
          <w:lang w:eastAsia="en-US"/>
          <w14:ligatures w14:val="standardContextual"/>
        </w:rPr>
        <w:t>2</w:t>
      </w:r>
      <w:r w:rsidRPr="00655E23">
        <w:rPr>
          <w:rFonts w:eastAsiaTheme="minorHAnsi"/>
          <w:kern w:val="2"/>
          <w:sz w:val="20"/>
          <w:szCs w:val="20"/>
          <w:lang w:eastAsia="en-US"/>
          <w14:ligatures w14:val="standardContextual"/>
        </w:rPr>
        <w:t xml:space="preserve"> – Histograma e Principais estatísticas para as </w:t>
      </w:r>
      <w:r>
        <w:rPr>
          <w:rFonts w:eastAsiaTheme="minorHAnsi"/>
          <w:kern w:val="2"/>
          <w:sz w:val="20"/>
          <w:szCs w:val="20"/>
          <w:lang w:eastAsia="en-US"/>
          <w14:ligatures w14:val="standardContextual"/>
        </w:rPr>
        <w:t>Capitais Regionais</w:t>
      </w:r>
      <w:r w:rsidRPr="00655E23">
        <w:rPr>
          <w:rFonts w:eastAsiaTheme="minorHAnsi"/>
          <w:kern w:val="2"/>
          <w:sz w:val="20"/>
          <w:szCs w:val="20"/>
          <w:lang w:eastAsia="en-US"/>
          <w14:ligatures w14:val="standardContextual"/>
        </w:rPr>
        <w:t xml:space="preserve"> Ineficientes</w:t>
      </w:r>
    </w:p>
    <w:p w14:paraId="0FDD36E2" w14:textId="035A6AA1" w:rsidR="008577EA" w:rsidRDefault="00912B23" w:rsidP="00531CA4">
      <w:pPr>
        <w:pStyle w:val="standard"/>
        <w:spacing w:before="0" w:beforeAutospacing="0" w:after="120" w:afterAutospacing="0" w:line="360" w:lineRule="auto"/>
        <w:ind w:right="-1"/>
        <w:jc w:val="center"/>
        <w:rPr>
          <w:rFonts w:eastAsiaTheme="minorHAnsi"/>
          <w:kern w:val="2"/>
          <w:lang w:eastAsia="en-US"/>
          <w14:ligatures w14:val="standardContextual"/>
        </w:rPr>
      </w:pPr>
      <w:r w:rsidRPr="00912B23">
        <w:rPr>
          <w:rFonts w:eastAsiaTheme="minorHAnsi"/>
          <w:noProof/>
          <w:kern w:val="2"/>
          <w:lang w:eastAsia="en-US"/>
          <w14:ligatures w14:val="standardContextual"/>
        </w:rPr>
        <w:lastRenderedPageBreak/>
        <w:drawing>
          <wp:inline distT="0" distB="0" distL="0" distR="0" wp14:anchorId="05389DA0" wp14:editId="13E38DA1">
            <wp:extent cx="5021580" cy="2560320"/>
            <wp:effectExtent l="0" t="0" r="7620" b="0"/>
            <wp:docPr id="3370065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351" t="4140" r="658" b="32643"/>
                    <a:stretch/>
                  </pic:blipFill>
                  <pic:spPr bwMode="auto">
                    <a:xfrm>
                      <a:off x="0" y="0"/>
                      <a:ext cx="5021580" cy="2560320"/>
                    </a:xfrm>
                    <a:prstGeom prst="rect">
                      <a:avLst/>
                    </a:prstGeom>
                    <a:noFill/>
                    <a:ln>
                      <a:noFill/>
                    </a:ln>
                    <a:extLst>
                      <a:ext uri="{53640926-AAD7-44D8-BBD7-CCE9431645EC}">
                        <a14:shadowObscured xmlns:a14="http://schemas.microsoft.com/office/drawing/2010/main"/>
                      </a:ext>
                    </a:extLst>
                  </pic:spPr>
                </pic:pic>
              </a:graphicData>
            </a:graphic>
          </wp:inline>
        </w:drawing>
      </w:r>
    </w:p>
    <w:p w14:paraId="2A1BB432" w14:textId="3A96C356" w:rsidR="00531CA4" w:rsidRDefault="00531CA4" w:rsidP="00531CA4">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Para estes municípios, o valor médio da ineficiência foi de </w:t>
      </w:r>
      <w:r w:rsidR="0056051D">
        <w:rPr>
          <w:rFonts w:eastAsiaTheme="minorHAnsi"/>
          <w:kern w:val="2"/>
          <w:lang w:eastAsia="en-US"/>
          <w14:ligatures w14:val="standardContextual"/>
        </w:rPr>
        <w:t xml:space="preserve">aproximadamente </w:t>
      </w:r>
      <w:r>
        <w:rPr>
          <w:rFonts w:eastAsiaTheme="minorHAnsi"/>
          <w:kern w:val="2"/>
          <w:lang w:eastAsia="en-US"/>
          <w14:ligatures w14:val="standardContextual"/>
        </w:rPr>
        <w:t>0,</w:t>
      </w:r>
      <w:r w:rsidR="0056051D">
        <w:rPr>
          <w:rFonts w:eastAsiaTheme="minorHAnsi"/>
          <w:kern w:val="2"/>
          <w:lang w:eastAsia="en-US"/>
          <w14:ligatures w14:val="standardContextual"/>
        </w:rPr>
        <w:t>8</w:t>
      </w:r>
      <w:r w:rsidR="00912B23">
        <w:rPr>
          <w:rFonts w:eastAsiaTheme="minorHAnsi"/>
          <w:kern w:val="2"/>
          <w:lang w:eastAsia="en-US"/>
          <w14:ligatures w14:val="standardContextual"/>
        </w:rPr>
        <w:t>36</w:t>
      </w:r>
      <w:r>
        <w:rPr>
          <w:rFonts w:eastAsiaTheme="minorHAnsi"/>
          <w:kern w:val="2"/>
          <w:lang w:eastAsia="en-US"/>
          <w14:ligatures w14:val="standardContextual"/>
        </w:rPr>
        <w:t>, com valor mínimo de 0,</w:t>
      </w:r>
      <w:r w:rsidR="00912B23">
        <w:rPr>
          <w:rFonts w:eastAsiaTheme="minorHAnsi"/>
          <w:kern w:val="2"/>
          <w:lang w:eastAsia="en-US"/>
          <w14:ligatures w14:val="standardContextual"/>
        </w:rPr>
        <w:t>441</w:t>
      </w:r>
      <w:r>
        <w:rPr>
          <w:rFonts w:eastAsiaTheme="minorHAnsi"/>
          <w:kern w:val="2"/>
          <w:lang w:eastAsia="en-US"/>
          <w14:ligatures w14:val="standardContextual"/>
        </w:rPr>
        <w:t xml:space="preserve"> e máximo de 0,</w:t>
      </w:r>
      <w:r w:rsidR="00912B23">
        <w:rPr>
          <w:rFonts w:eastAsiaTheme="minorHAnsi"/>
          <w:kern w:val="2"/>
          <w:lang w:eastAsia="en-US"/>
          <w14:ligatures w14:val="standardContextual"/>
        </w:rPr>
        <w:t>999</w:t>
      </w:r>
      <w:r>
        <w:rPr>
          <w:rFonts w:eastAsiaTheme="minorHAnsi"/>
          <w:kern w:val="2"/>
          <w:lang w:eastAsia="en-US"/>
          <w14:ligatures w14:val="standardContextual"/>
        </w:rPr>
        <w:t xml:space="preserve">. Considerando o modelo CCR, há em média uma necessidade de aumento de aproximadamente </w:t>
      </w:r>
      <w:r w:rsidR="00912B23">
        <w:rPr>
          <w:rFonts w:eastAsiaTheme="minorHAnsi"/>
          <w:kern w:val="2"/>
          <w:lang w:eastAsia="en-US"/>
          <w14:ligatures w14:val="standardContextual"/>
        </w:rPr>
        <w:t>19,6</w:t>
      </w:r>
      <w:r>
        <w:rPr>
          <w:rFonts w:eastAsiaTheme="minorHAnsi"/>
          <w:kern w:val="2"/>
          <w:lang w:eastAsia="en-US"/>
          <w14:ligatures w14:val="standardContextual"/>
        </w:rPr>
        <w:t xml:space="preserve">% nos ODS, ou redução média de </w:t>
      </w:r>
      <w:r w:rsidR="00912B23">
        <w:rPr>
          <w:rFonts w:eastAsiaTheme="minorHAnsi"/>
          <w:kern w:val="2"/>
          <w:lang w:eastAsia="en-US"/>
          <w14:ligatures w14:val="standardContextual"/>
        </w:rPr>
        <w:t>16,4</w:t>
      </w:r>
      <w:r>
        <w:rPr>
          <w:rFonts w:eastAsiaTheme="minorHAnsi"/>
          <w:kern w:val="2"/>
          <w:lang w:eastAsia="en-US"/>
          <w14:ligatures w14:val="standardContextual"/>
        </w:rPr>
        <w:t xml:space="preserve">% nos orçamentos </w:t>
      </w:r>
      <w:r w:rsidR="008466AE">
        <w:rPr>
          <w:rFonts w:eastAsiaTheme="minorHAnsi"/>
          <w:kern w:val="2"/>
          <w:lang w:eastAsia="en-US"/>
          <w14:ligatures w14:val="standardContextual"/>
        </w:rPr>
        <w:t xml:space="preserve">municipais per capitas </w:t>
      </w:r>
      <w:r>
        <w:rPr>
          <w:rFonts w:eastAsiaTheme="minorHAnsi"/>
          <w:kern w:val="2"/>
          <w:lang w:eastAsia="en-US"/>
          <w14:ligatures w14:val="standardContextual"/>
        </w:rPr>
        <w:t xml:space="preserve">para que estes municípios possam alcançar a fronteira de eficiência. </w:t>
      </w:r>
    </w:p>
    <w:p w14:paraId="0000F50F" w14:textId="25CC3B07" w:rsidR="00BA279B" w:rsidRDefault="00BA279B" w:rsidP="00BA279B">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297A57">
        <w:rPr>
          <w:rFonts w:eastAsiaTheme="minorHAnsi"/>
          <w:kern w:val="2"/>
          <w:lang w:eastAsia="en-US"/>
          <w14:ligatures w14:val="standardContextual"/>
        </w:rPr>
        <w:t>Dos 2</w:t>
      </w:r>
      <w:r w:rsidR="00297A57" w:rsidRPr="00297A57">
        <w:rPr>
          <w:rFonts w:eastAsiaTheme="minorHAnsi"/>
          <w:kern w:val="2"/>
          <w:lang w:eastAsia="en-US"/>
          <w14:ligatures w14:val="standardContextual"/>
        </w:rPr>
        <w:t>04</w:t>
      </w:r>
      <w:r w:rsidRPr="00297A57">
        <w:rPr>
          <w:rFonts w:eastAsiaTheme="minorHAnsi"/>
          <w:kern w:val="2"/>
          <w:lang w:eastAsia="en-US"/>
          <w14:ligatures w14:val="standardContextual"/>
        </w:rPr>
        <w:t xml:space="preserve"> municípios considerados eficientes, 12</w:t>
      </w:r>
      <w:r w:rsidR="00297A57" w:rsidRPr="00297A57">
        <w:rPr>
          <w:rFonts w:eastAsiaTheme="minorHAnsi"/>
          <w:kern w:val="2"/>
          <w:lang w:eastAsia="en-US"/>
          <w14:ligatures w14:val="standardContextual"/>
        </w:rPr>
        <w:t>4</w:t>
      </w:r>
      <w:r w:rsidRPr="00297A57">
        <w:rPr>
          <w:rFonts w:eastAsiaTheme="minorHAnsi"/>
          <w:kern w:val="2"/>
          <w:lang w:eastAsia="en-US"/>
          <w14:ligatures w14:val="standardContextual"/>
        </w:rPr>
        <w:t xml:space="preserve"> foram </w:t>
      </w:r>
      <w:r w:rsidRPr="00297A57">
        <w:rPr>
          <w:rFonts w:eastAsiaTheme="minorHAnsi"/>
          <w:i/>
          <w:iCs/>
          <w:kern w:val="2"/>
          <w:lang w:eastAsia="en-US"/>
          <w14:ligatures w14:val="standardContextual"/>
        </w:rPr>
        <w:t xml:space="preserve">benchmarks </w:t>
      </w:r>
      <w:r w:rsidRPr="00297A57">
        <w:rPr>
          <w:rFonts w:eastAsiaTheme="minorHAnsi"/>
          <w:kern w:val="2"/>
          <w:lang w:eastAsia="en-US"/>
          <w14:ligatures w14:val="standardContextual"/>
        </w:rPr>
        <w:t>para os municípios ineficientes. Os 10 principais benchmarks estiverem presentes como referência em aproximadamente 35% das DMUs ineficientes.</w:t>
      </w:r>
      <w:r>
        <w:rPr>
          <w:rFonts w:eastAsiaTheme="minorHAnsi"/>
          <w:kern w:val="2"/>
          <w:lang w:eastAsia="en-US"/>
          <w14:ligatures w14:val="standardContextual"/>
        </w:rPr>
        <w:t xml:space="preserve"> </w:t>
      </w:r>
    </w:p>
    <w:p w14:paraId="12667771" w14:textId="77777777" w:rsidR="00BA279B" w:rsidRDefault="00BA279B" w:rsidP="00531CA4">
      <w:pPr>
        <w:pStyle w:val="standard"/>
        <w:spacing w:before="0" w:beforeAutospacing="0" w:after="120" w:afterAutospacing="0" w:line="360" w:lineRule="auto"/>
        <w:ind w:right="-1" w:firstLine="708"/>
        <w:jc w:val="both"/>
        <w:rPr>
          <w:rFonts w:eastAsiaTheme="minorHAnsi"/>
          <w:kern w:val="2"/>
          <w:lang w:eastAsia="en-US"/>
          <w14:ligatures w14:val="standardContextual"/>
        </w:rPr>
      </w:pPr>
    </w:p>
    <w:p w14:paraId="2E05A871" w14:textId="7003BCB5" w:rsidR="00531CA4" w:rsidRPr="00CF3534" w:rsidRDefault="00CF3534" w:rsidP="00CF3534">
      <w:pPr>
        <w:pStyle w:val="standard"/>
        <w:spacing w:before="0" w:beforeAutospacing="0" w:after="120" w:afterAutospacing="0" w:line="360" w:lineRule="auto"/>
        <w:ind w:right="-1"/>
        <w:rPr>
          <w:rFonts w:eastAsiaTheme="minorHAnsi"/>
          <w:b/>
          <w:bCs/>
          <w:kern w:val="2"/>
          <w:lang w:eastAsia="en-US"/>
          <w14:ligatures w14:val="standardContextual"/>
        </w:rPr>
      </w:pPr>
      <w:r w:rsidRPr="00CF3534">
        <w:rPr>
          <w:rFonts w:eastAsiaTheme="minorHAnsi"/>
          <w:b/>
          <w:bCs/>
          <w:kern w:val="2"/>
          <w:lang w:eastAsia="en-US"/>
          <w14:ligatures w14:val="standardContextual"/>
        </w:rPr>
        <w:t xml:space="preserve">4.2.3 Centros </w:t>
      </w:r>
      <w:proofErr w:type="gramStart"/>
      <w:r w:rsidRPr="00CF3534">
        <w:rPr>
          <w:rFonts w:eastAsiaTheme="minorHAnsi"/>
          <w:b/>
          <w:bCs/>
          <w:kern w:val="2"/>
          <w:lang w:eastAsia="en-US"/>
          <w14:ligatures w14:val="standardContextual"/>
        </w:rPr>
        <w:t>Sub-Regionais</w:t>
      </w:r>
      <w:proofErr w:type="gramEnd"/>
    </w:p>
    <w:p w14:paraId="13D5419E" w14:textId="36B3B970" w:rsidR="00672867" w:rsidRDefault="00672867" w:rsidP="00672867">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Os </w:t>
      </w:r>
      <w:r w:rsidRPr="00E27B3E">
        <w:rPr>
          <w:rFonts w:eastAsiaTheme="minorHAnsi"/>
          <w:kern w:val="2"/>
          <w:lang w:eastAsia="en-US"/>
          <w14:ligatures w14:val="standardContextual"/>
        </w:rPr>
        <w:t xml:space="preserve">Centros </w:t>
      </w:r>
      <w:proofErr w:type="gramStart"/>
      <w:r w:rsidRPr="00E27B3E">
        <w:rPr>
          <w:rFonts w:eastAsiaTheme="minorHAnsi"/>
          <w:kern w:val="2"/>
          <w:lang w:eastAsia="en-US"/>
          <w14:ligatures w14:val="standardContextual"/>
        </w:rPr>
        <w:t>Sub-Regionais</w:t>
      </w:r>
      <w:proofErr w:type="gramEnd"/>
      <w:r w:rsidRPr="00E27B3E">
        <w:rPr>
          <w:rFonts w:eastAsiaTheme="minorHAnsi"/>
          <w:kern w:val="2"/>
          <w:lang w:eastAsia="en-US"/>
          <w14:ligatures w14:val="standardContextual"/>
        </w:rPr>
        <w:t xml:space="preserve"> compreendem</w:t>
      </w:r>
      <w:r>
        <w:rPr>
          <w:rFonts w:eastAsiaTheme="minorHAnsi"/>
          <w:kern w:val="2"/>
          <w:lang w:eastAsia="en-US"/>
          <w14:ligatures w14:val="standardContextual"/>
        </w:rPr>
        <w:t xml:space="preserve"> os municípios pertencentes a camada média das hierarquias, ocupando a </w:t>
      </w:r>
      <w:r w:rsidR="006526D8">
        <w:rPr>
          <w:rFonts w:eastAsiaTheme="minorHAnsi"/>
          <w:kern w:val="2"/>
          <w:lang w:eastAsia="en-US"/>
          <w14:ligatures w14:val="standardContextual"/>
        </w:rPr>
        <w:t>terceira</w:t>
      </w:r>
      <w:r>
        <w:rPr>
          <w:rFonts w:eastAsiaTheme="minorHAnsi"/>
          <w:kern w:val="2"/>
          <w:lang w:eastAsia="en-US"/>
          <w14:ligatures w14:val="standardContextual"/>
        </w:rPr>
        <w:t xml:space="preserve"> classificação. </w:t>
      </w:r>
      <w:r w:rsidR="00E27B3E">
        <w:rPr>
          <w:rFonts w:eastAsiaTheme="minorHAnsi"/>
          <w:kern w:val="2"/>
          <w:lang w:eastAsia="en-US"/>
          <w14:ligatures w14:val="standardContextual"/>
        </w:rPr>
        <w:t xml:space="preserve">É composto por municípios com atividades de gestão menos complexas, e com influência inferior as Capitais Regionais. </w:t>
      </w:r>
      <w:r w:rsidR="00487783">
        <w:rPr>
          <w:rFonts w:eastAsiaTheme="minorHAnsi"/>
          <w:kern w:val="2"/>
          <w:lang w:eastAsia="en-US"/>
          <w14:ligatures w14:val="standardContextual"/>
        </w:rPr>
        <w:t xml:space="preserve">Dos </w:t>
      </w:r>
      <w:r w:rsidR="00227253">
        <w:rPr>
          <w:rFonts w:eastAsiaTheme="minorHAnsi"/>
          <w:kern w:val="2"/>
          <w:lang w:eastAsia="en-US"/>
          <w14:ligatures w14:val="standardContextual"/>
        </w:rPr>
        <w:t>487</w:t>
      </w:r>
      <w:r w:rsidR="00487783">
        <w:rPr>
          <w:rFonts w:eastAsiaTheme="minorHAnsi"/>
          <w:kern w:val="2"/>
          <w:lang w:eastAsia="en-US"/>
          <w14:ligatures w14:val="standardContextual"/>
        </w:rPr>
        <w:t xml:space="preserve"> municípios classificados como Centros </w:t>
      </w:r>
      <w:proofErr w:type="gramStart"/>
      <w:r w:rsidR="00487783">
        <w:rPr>
          <w:rFonts w:eastAsiaTheme="minorHAnsi"/>
          <w:kern w:val="2"/>
          <w:lang w:eastAsia="en-US"/>
          <w14:ligatures w14:val="standardContextual"/>
        </w:rPr>
        <w:t>Sub-Regionais</w:t>
      </w:r>
      <w:proofErr w:type="gramEnd"/>
      <w:r w:rsidR="00487783">
        <w:rPr>
          <w:rFonts w:eastAsiaTheme="minorHAnsi"/>
          <w:kern w:val="2"/>
          <w:lang w:eastAsia="en-US"/>
          <w14:ligatures w14:val="standardContextual"/>
        </w:rPr>
        <w:t xml:space="preserve">, </w:t>
      </w:r>
      <w:r w:rsidR="00227253">
        <w:rPr>
          <w:rFonts w:eastAsiaTheme="minorHAnsi"/>
          <w:kern w:val="2"/>
          <w:lang w:eastAsia="en-US"/>
          <w14:ligatures w14:val="standardContextual"/>
        </w:rPr>
        <w:t>370</w:t>
      </w:r>
      <w:r w:rsidR="00487783" w:rsidRPr="002A493D">
        <w:rPr>
          <w:rFonts w:eastAsiaTheme="minorHAnsi"/>
          <w:kern w:val="2"/>
          <w:lang w:eastAsia="en-US"/>
          <w14:ligatures w14:val="standardContextual"/>
        </w:rPr>
        <w:t xml:space="preserve"> apresenta</w:t>
      </w:r>
      <w:r w:rsidR="00487783">
        <w:rPr>
          <w:rFonts w:eastAsiaTheme="minorHAnsi"/>
          <w:kern w:val="2"/>
          <w:lang w:eastAsia="en-US"/>
          <w14:ligatures w14:val="standardContextual"/>
        </w:rPr>
        <w:t>ram</w:t>
      </w:r>
      <w:r w:rsidR="00487783" w:rsidRPr="002A493D">
        <w:rPr>
          <w:rFonts w:eastAsiaTheme="minorHAnsi"/>
          <w:kern w:val="2"/>
          <w:lang w:eastAsia="en-US"/>
          <w14:ligatures w14:val="standardContextual"/>
        </w:rPr>
        <w:t xml:space="preserve"> </w:t>
      </w:r>
      <w:r w:rsidR="00487783">
        <w:rPr>
          <w:rFonts w:eastAsiaTheme="minorHAnsi"/>
          <w:kern w:val="2"/>
          <w:lang w:eastAsia="en-US"/>
          <w14:ligatures w14:val="standardContextual"/>
        </w:rPr>
        <w:t>score de</w:t>
      </w:r>
      <w:r w:rsidR="00487783" w:rsidRPr="002A493D">
        <w:rPr>
          <w:rFonts w:eastAsiaTheme="minorHAnsi"/>
          <w:kern w:val="2"/>
          <w:lang w:eastAsia="en-US"/>
          <w14:ligatures w14:val="standardContextual"/>
        </w:rPr>
        <w:t xml:space="preserve"> eficiência </w:t>
      </w:r>
      <w:r w:rsidR="00487783">
        <w:rPr>
          <w:rFonts w:eastAsiaTheme="minorHAnsi"/>
          <w:kern w:val="2"/>
          <w:lang w:eastAsia="en-US"/>
          <w14:ligatures w14:val="standardContextual"/>
        </w:rPr>
        <w:t>igual</w:t>
      </w:r>
      <w:r w:rsidR="00487783" w:rsidRPr="002A493D">
        <w:rPr>
          <w:rFonts w:eastAsiaTheme="minorHAnsi"/>
          <w:kern w:val="2"/>
          <w:lang w:eastAsia="en-US"/>
          <w14:ligatures w14:val="standardContextual"/>
        </w:rPr>
        <w:t xml:space="preserve"> 1</w:t>
      </w:r>
      <w:r w:rsidR="00E27B3E">
        <w:rPr>
          <w:rFonts w:eastAsiaTheme="minorHAnsi"/>
          <w:kern w:val="2"/>
          <w:lang w:eastAsia="en-US"/>
          <w14:ligatures w14:val="standardContextual"/>
        </w:rPr>
        <w:t>, o que representa</w:t>
      </w:r>
      <w:r w:rsidR="00487783">
        <w:rPr>
          <w:rFonts w:eastAsiaTheme="minorHAnsi"/>
          <w:kern w:val="2"/>
          <w:lang w:eastAsia="en-US"/>
          <w14:ligatures w14:val="standardContextual"/>
        </w:rPr>
        <w:t xml:space="preserve"> </w:t>
      </w:r>
      <w:r w:rsidR="00227253">
        <w:rPr>
          <w:rFonts w:eastAsiaTheme="minorHAnsi"/>
          <w:kern w:val="2"/>
          <w:lang w:eastAsia="en-US"/>
          <w14:ligatures w14:val="standardContextual"/>
        </w:rPr>
        <w:t>75,98</w:t>
      </w:r>
      <w:r w:rsidR="00487783">
        <w:rPr>
          <w:rFonts w:eastAsiaTheme="minorHAnsi"/>
          <w:kern w:val="2"/>
          <w:lang w:eastAsia="en-US"/>
          <w14:ligatures w14:val="standardContextual"/>
        </w:rPr>
        <w:t>% do total</w:t>
      </w:r>
      <w:r w:rsidR="00E27B3E">
        <w:rPr>
          <w:rFonts w:eastAsiaTheme="minorHAnsi"/>
          <w:kern w:val="2"/>
          <w:lang w:eastAsia="en-US"/>
          <w14:ligatures w14:val="standardContextual"/>
        </w:rPr>
        <w:t xml:space="preserve"> de municípios</w:t>
      </w:r>
      <w:r w:rsidR="00487783" w:rsidRPr="002A493D">
        <w:rPr>
          <w:rFonts w:eastAsiaTheme="minorHAnsi"/>
          <w:kern w:val="2"/>
          <w:lang w:eastAsia="en-US"/>
          <w14:ligatures w14:val="standardContextual"/>
        </w:rPr>
        <w:t>.</w:t>
      </w:r>
      <w:r w:rsidR="00487783">
        <w:rPr>
          <w:rFonts w:eastAsiaTheme="minorHAnsi"/>
          <w:kern w:val="2"/>
          <w:lang w:eastAsia="en-US"/>
          <w14:ligatures w14:val="standardContextual"/>
        </w:rPr>
        <w:t xml:space="preserve"> </w:t>
      </w:r>
      <w:r w:rsidR="00E27B3E">
        <w:rPr>
          <w:rFonts w:eastAsiaTheme="minorHAnsi"/>
          <w:kern w:val="2"/>
          <w:lang w:eastAsia="en-US"/>
          <w14:ligatures w14:val="standardContextual"/>
        </w:rPr>
        <w:t>Já</w:t>
      </w:r>
      <w:r w:rsidR="00487783" w:rsidRPr="000C10DD">
        <w:rPr>
          <w:rFonts w:eastAsiaTheme="minorHAnsi"/>
          <w:kern w:val="2"/>
          <w:lang w:eastAsia="en-US"/>
          <w14:ligatures w14:val="standardContextual"/>
        </w:rPr>
        <w:t xml:space="preserve"> </w:t>
      </w:r>
      <w:r w:rsidR="00227253">
        <w:rPr>
          <w:rFonts w:eastAsiaTheme="minorHAnsi"/>
          <w:kern w:val="2"/>
          <w:lang w:eastAsia="en-US"/>
          <w14:ligatures w14:val="standardContextual"/>
        </w:rPr>
        <w:t>117</w:t>
      </w:r>
      <w:r w:rsidR="00487783">
        <w:rPr>
          <w:rFonts w:eastAsiaTheme="minorHAnsi"/>
          <w:kern w:val="2"/>
          <w:lang w:eastAsia="en-US"/>
          <w14:ligatures w14:val="standardContextual"/>
        </w:rPr>
        <w:t xml:space="preserve"> municípios alcançaram scores de</w:t>
      </w:r>
      <w:r w:rsidR="00487783" w:rsidRPr="000C10DD">
        <w:rPr>
          <w:rFonts w:eastAsiaTheme="minorHAnsi"/>
          <w:kern w:val="2"/>
          <w:lang w:eastAsia="en-US"/>
          <w14:ligatures w14:val="standardContextual"/>
        </w:rPr>
        <w:t xml:space="preserve"> eficiência menor</w:t>
      </w:r>
      <w:r w:rsidR="00487783">
        <w:rPr>
          <w:rFonts w:eastAsiaTheme="minorHAnsi"/>
          <w:kern w:val="2"/>
          <w:lang w:eastAsia="en-US"/>
          <w14:ligatures w14:val="standardContextual"/>
        </w:rPr>
        <w:t>es</w:t>
      </w:r>
      <w:r w:rsidR="00487783" w:rsidRPr="000C10DD">
        <w:rPr>
          <w:rFonts w:eastAsiaTheme="minorHAnsi"/>
          <w:kern w:val="2"/>
          <w:lang w:eastAsia="en-US"/>
          <w14:ligatures w14:val="standardContextual"/>
        </w:rPr>
        <w:t xml:space="preserve"> que 1</w:t>
      </w:r>
      <w:r w:rsidR="00487783">
        <w:rPr>
          <w:rFonts w:eastAsiaTheme="minorHAnsi"/>
          <w:kern w:val="2"/>
          <w:lang w:eastAsia="en-US"/>
          <w14:ligatures w14:val="standardContextual"/>
        </w:rPr>
        <w:t xml:space="preserve"> (</w:t>
      </w:r>
      <w:r w:rsidR="00227253">
        <w:rPr>
          <w:rFonts w:eastAsiaTheme="minorHAnsi"/>
          <w:kern w:val="2"/>
          <w:lang w:eastAsia="en-US"/>
          <w14:ligatures w14:val="standardContextual"/>
        </w:rPr>
        <w:t>24,02</w:t>
      </w:r>
      <w:r w:rsidR="00487783">
        <w:rPr>
          <w:rFonts w:eastAsiaTheme="minorHAnsi"/>
          <w:kern w:val="2"/>
          <w:lang w:eastAsia="en-US"/>
          <w14:ligatures w14:val="standardContextual"/>
        </w:rPr>
        <w:t>% do total)</w:t>
      </w:r>
      <w:r w:rsidR="00487783" w:rsidRPr="000C10DD">
        <w:rPr>
          <w:rFonts w:eastAsiaTheme="minorHAnsi"/>
          <w:kern w:val="2"/>
          <w:lang w:eastAsia="en-US"/>
          <w14:ligatures w14:val="standardContextual"/>
        </w:rPr>
        <w:t xml:space="preserve">, indicando </w:t>
      </w:r>
      <w:r>
        <w:rPr>
          <w:rFonts w:eastAsiaTheme="minorHAnsi"/>
          <w:kern w:val="2"/>
          <w:lang w:eastAsia="en-US"/>
          <w14:ligatures w14:val="standardContextual"/>
        </w:rPr>
        <w:t>ineficiência na utilização de seus insumos</w:t>
      </w:r>
      <w:r w:rsidR="00E27B3E">
        <w:rPr>
          <w:rFonts w:eastAsiaTheme="minorHAnsi"/>
          <w:kern w:val="2"/>
          <w:lang w:eastAsia="en-US"/>
          <w14:ligatures w14:val="standardContextual"/>
        </w:rPr>
        <w:t xml:space="preserve">. </w:t>
      </w:r>
      <w:r>
        <w:rPr>
          <w:rFonts w:eastAsiaTheme="minorHAnsi"/>
          <w:kern w:val="2"/>
          <w:lang w:eastAsia="en-US"/>
          <w14:ligatures w14:val="standardContextual"/>
        </w:rPr>
        <w:t>A Tabela 9 apresenta um panorama dos 4</w:t>
      </w:r>
      <w:r w:rsidR="00227253">
        <w:rPr>
          <w:rFonts w:eastAsiaTheme="minorHAnsi"/>
          <w:kern w:val="2"/>
          <w:lang w:eastAsia="en-US"/>
          <w14:ligatures w14:val="standardContextual"/>
        </w:rPr>
        <w:t>87</w:t>
      </w:r>
      <w:r>
        <w:rPr>
          <w:rFonts w:eastAsiaTheme="minorHAnsi"/>
          <w:kern w:val="2"/>
          <w:lang w:eastAsia="en-US"/>
          <w14:ligatures w14:val="standardContextual"/>
        </w:rPr>
        <w:t xml:space="preserve"> municípios classificados como Centros </w:t>
      </w:r>
      <w:proofErr w:type="gramStart"/>
      <w:r>
        <w:rPr>
          <w:rFonts w:eastAsiaTheme="minorHAnsi"/>
          <w:kern w:val="2"/>
          <w:lang w:eastAsia="en-US"/>
          <w14:ligatures w14:val="standardContextual"/>
        </w:rPr>
        <w:t>Sub-Regionais</w:t>
      </w:r>
      <w:proofErr w:type="gramEnd"/>
      <w:r>
        <w:rPr>
          <w:rFonts w:eastAsiaTheme="minorHAnsi"/>
          <w:kern w:val="2"/>
          <w:lang w:eastAsia="en-US"/>
          <w14:ligatures w14:val="standardContextual"/>
        </w:rPr>
        <w:t>.</w:t>
      </w:r>
    </w:p>
    <w:p w14:paraId="2A6876C1" w14:textId="3CE1EAF2" w:rsidR="00672867" w:rsidRPr="00F1059A" w:rsidRDefault="00672867" w:rsidP="00672867">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F1059A">
        <w:rPr>
          <w:rFonts w:eastAsiaTheme="minorHAnsi"/>
          <w:kern w:val="2"/>
          <w:sz w:val="20"/>
          <w:szCs w:val="20"/>
          <w:lang w:eastAsia="en-US"/>
          <w14:ligatures w14:val="standardContextual"/>
        </w:rPr>
        <w:t xml:space="preserve">Tabela </w:t>
      </w:r>
      <w:r w:rsidR="00E27B3E">
        <w:rPr>
          <w:rFonts w:eastAsiaTheme="minorHAnsi"/>
          <w:kern w:val="2"/>
          <w:sz w:val="20"/>
          <w:szCs w:val="20"/>
          <w:lang w:eastAsia="en-US"/>
          <w14:ligatures w14:val="standardContextual"/>
        </w:rPr>
        <w:t>9</w:t>
      </w:r>
      <w:r w:rsidRPr="00F1059A">
        <w:rPr>
          <w:rFonts w:eastAsiaTheme="minorHAnsi"/>
          <w:kern w:val="2"/>
          <w:sz w:val="20"/>
          <w:szCs w:val="20"/>
          <w:lang w:eastAsia="en-US"/>
          <w14:ligatures w14:val="standardContextual"/>
        </w:rPr>
        <w:t xml:space="preserve"> – Dados </w:t>
      </w:r>
      <w:r>
        <w:rPr>
          <w:rFonts w:eastAsiaTheme="minorHAnsi"/>
          <w:kern w:val="2"/>
          <w:sz w:val="20"/>
          <w:szCs w:val="20"/>
          <w:lang w:eastAsia="en-US"/>
          <w14:ligatures w14:val="standardContextual"/>
        </w:rPr>
        <w:t xml:space="preserve">gerais </w:t>
      </w:r>
      <w:r w:rsidRPr="00F1059A">
        <w:rPr>
          <w:rFonts w:eastAsiaTheme="minorHAnsi"/>
          <w:kern w:val="2"/>
          <w:sz w:val="20"/>
          <w:szCs w:val="20"/>
          <w:lang w:eastAsia="en-US"/>
          <w14:ligatures w14:val="standardContextual"/>
        </w:rPr>
        <w:t xml:space="preserve">das cidades classificadas como </w:t>
      </w:r>
      <w:r w:rsidR="00E27B3E">
        <w:rPr>
          <w:rFonts w:eastAsiaTheme="minorHAnsi"/>
          <w:kern w:val="2"/>
          <w:sz w:val="20"/>
          <w:szCs w:val="20"/>
          <w:lang w:eastAsia="en-US"/>
          <w14:ligatures w14:val="standardContextual"/>
        </w:rPr>
        <w:t xml:space="preserve">Centros </w:t>
      </w:r>
      <w:proofErr w:type="gramStart"/>
      <w:r w:rsidR="00E27B3E">
        <w:rPr>
          <w:rFonts w:eastAsiaTheme="minorHAnsi"/>
          <w:kern w:val="2"/>
          <w:sz w:val="20"/>
          <w:szCs w:val="20"/>
          <w:lang w:eastAsia="en-US"/>
          <w14:ligatures w14:val="standardContextual"/>
        </w:rPr>
        <w:t>Sub-Regionais</w:t>
      </w:r>
      <w:proofErr w:type="gramEnd"/>
    </w:p>
    <w:tbl>
      <w:tblPr>
        <w:tblStyle w:val="Tabelacomgrade"/>
        <w:tblW w:w="5000" w:type="pct"/>
        <w:jc w:val="center"/>
        <w:tblLook w:val="04A0" w:firstRow="1" w:lastRow="0" w:firstColumn="1" w:lastColumn="0" w:noHBand="0" w:noVBand="1"/>
      </w:tblPr>
      <w:tblGrid>
        <w:gridCol w:w="927"/>
        <w:gridCol w:w="1223"/>
        <w:gridCol w:w="1971"/>
        <w:gridCol w:w="1966"/>
        <w:gridCol w:w="1084"/>
        <w:gridCol w:w="1323"/>
      </w:tblGrid>
      <w:tr w:rsidR="00672867" w:rsidRPr="00412BF7" w14:paraId="0177E500" w14:textId="77777777" w:rsidTr="00227253">
        <w:trPr>
          <w:trHeight w:val="396"/>
          <w:jc w:val="center"/>
        </w:trPr>
        <w:tc>
          <w:tcPr>
            <w:tcW w:w="546" w:type="pct"/>
          </w:tcPr>
          <w:p w14:paraId="04A09173" w14:textId="77777777" w:rsidR="00672867" w:rsidRPr="00412BF7" w:rsidRDefault="00672867" w:rsidP="00B150EC">
            <w:pPr>
              <w:pStyle w:val="standard"/>
              <w:spacing w:before="0" w:beforeAutospacing="0" w:after="0" w:afterAutospacing="0"/>
              <w:jc w:val="both"/>
              <w:rPr>
                <w:rFonts w:eastAsiaTheme="minorHAnsi"/>
                <w:kern w:val="2"/>
                <w:sz w:val="20"/>
                <w:szCs w:val="20"/>
                <w:lang w:eastAsia="en-US"/>
                <w14:ligatures w14:val="standardContextual"/>
              </w:rPr>
            </w:pPr>
          </w:p>
        </w:tc>
        <w:tc>
          <w:tcPr>
            <w:tcW w:w="720" w:type="pct"/>
            <w:vAlign w:val="center"/>
          </w:tcPr>
          <w:p w14:paraId="1EF89942" w14:textId="77777777" w:rsidR="00672867" w:rsidRPr="00F1059A" w:rsidRDefault="00672867"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População</w:t>
            </w:r>
          </w:p>
        </w:tc>
        <w:tc>
          <w:tcPr>
            <w:tcW w:w="1160" w:type="pct"/>
            <w:vAlign w:val="center"/>
          </w:tcPr>
          <w:p w14:paraId="421C4075" w14:textId="77777777" w:rsidR="00672867" w:rsidRPr="00F1059A" w:rsidRDefault="00672867"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w:t>
            </w:r>
          </w:p>
        </w:tc>
        <w:tc>
          <w:tcPr>
            <w:tcW w:w="1157" w:type="pct"/>
            <w:vAlign w:val="center"/>
          </w:tcPr>
          <w:p w14:paraId="50E1AD48" w14:textId="77777777" w:rsidR="00672867" w:rsidRPr="00F1059A" w:rsidRDefault="00672867"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 per capita</w:t>
            </w:r>
          </w:p>
        </w:tc>
        <w:tc>
          <w:tcPr>
            <w:tcW w:w="638" w:type="pct"/>
            <w:vAlign w:val="center"/>
          </w:tcPr>
          <w:p w14:paraId="7CC188C1" w14:textId="77777777" w:rsidR="00672867" w:rsidRPr="00F1059A" w:rsidRDefault="00672867"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ODS Agrupado</w:t>
            </w:r>
          </w:p>
        </w:tc>
        <w:tc>
          <w:tcPr>
            <w:tcW w:w="779" w:type="pct"/>
            <w:vAlign w:val="center"/>
          </w:tcPr>
          <w:p w14:paraId="27A86002" w14:textId="77777777" w:rsidR="00672867" w:rsidRPr="00F1059A" w:rsidRDefault="00672867"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Eficiência</w:t>
            </w:r>
          </w:p>
        </w:tc>
      </w:tr>
      <w:tr w:rsidR="00227253" w:rsidRPr="00412BF7" w14:paraId="2AD29AB0" w14:textId="77777777" w:rsidTr="00227253">
        <w:trPr>
          <w:trHeight w:val="396"/>
          <w:jc w:val="center"/>
        </w:trPr>
        <w:tc>
          <w:tcPr>
            <w:tcW w:w="546" w:type="pct"/>
            <w:vAlign w:val="center"/>
          </w:tcPr>
          <w:p w14:paraId="6F98F448" w14:textId="77777777" w:rsidR="00227253" w:rsidRPr="00F1059A" w:rsidRDefault="00227253" w:rsidP="00227253">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Média</w:t>
            </w:r>
          </w:p>
        </w:tc>
        <w:tc>
          <w:tcPr>
            <w:tcW w:w="720" w:type="pct"/>
            <w:vAlign w:val="center"/>
          </w:tcPr>
          <w:p w14:paraId="59E072B4" w14:textId="6E5B506F"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59.8</w:t>
            </w:r>
            <w:r w:rsidR="00E5775F">
              <w:rPr>
                <w:rFonts w:ascii="Times New Roman" w:hAnsi="Times New Roman" w:cs="Times New Roman"/>
                <w:color w:val="000000"/>
                <w:sz w:val="20"/>
                <w:szCs w:val="20"/>
              </w:rPr>
              <w:t>30</w:t>
            </w:r>
          </w:p>
        </w:tc>
        <w:tc>
          <w:tcPr>
            <w:tcW w:w="1160" w:type="pct"/>
            <w:vAlign w:val="center"/>
          </w:tcPr>
          <w:p w14:paraId="129D5536" w14:textId="79B37FA0"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R$ 288.512.286,54</w:t>
            </w:r>
          </w:p>
        </w:tc>
        <w:tc>
          <w:tcPr>
            <w:tcW w:w="1157" w:type="pct"/>
            <w:vAlign w:val="center"/>
          </w:tcPr>
          <w:p w14:paraId="38DAA8B9" w14:textId="48E2CADA"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R$ 5.483,79</w:t>
            </w:r>
          </w:p>
        </w:tc>
        <w:tc>
          <w:tcPr>
            <w:tcW w:w="638" w:type="pct"/>
            <w:vAlign w:val="center"/>
          </w:tcPr>
          <w:p w14:paraId="661AC6A3" w14:textId="19F5A80D"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51,61</w:t>
            </w:r>
          </w:p>
        </w:tc>
        <w:tc>
          <w:tcPr>
            <w:tcW w:w="779" w:type="pct"/>
            <w:vAlign w:val="center"/>
          </w:tcPr>
          <w:p w14:paraId="2C433EF2" w14:textId="21C78E50"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0,9</w:t>
            </w:r>
            <w:r w:rsidR="00E5775F">
              <w:rPr>
                <w:rFonts w:ascii="Times New Roman" w:hAnsi="Times New Roman" w:cs="Times New Roman"/>
                <w:color w:val="000000"/>
                <w:sz w:val="20"/>
                <w:szCs w:val="20"/>
              </w:rPr>
              <w:t>58</w:t>
            </w:r>
          </w:p>
        </w:tc>
      </w:tr>
      <w:tr w:rsidR="00227253" w:rsidRPr="00412BF7" w14:paraId="2CD76F8B" w14:textId="77777777" w:rsidTr="00227253">
        <w:trPr>
          <w:trHeight w:val="396"/>
          <w:jc w:val="center"/>
        </w:trPr>
        <w:tc>
          <w:tcPr>
            <w:tcW w:w="546" w:type="pct"/>
            <w:vAlign w:val="center"/>
          </w:tcPr>
          <w:p w14:paraId="6C85246E" w14:textId="77777777" w:rsidR="00227253" w:rsidRPr="00F1059A" w:rsidRDefault="00227253" w:rsidP="00227253">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lastRenderedPageBreak/>
              <w:t>Mínimo</w:t>
            </w:r>
          </w:p>
        </w:tc>
        <w:tc>
          <w:tcPr>
            <w:tcW w:w="720" w:type="pct"/>
            <w:vAlign w:val="center"/>
          </w:tcPr>
          <w:p w14:paraId="4AD38FA3" w14:textId="0AB65BE2" w:rsidR="00227253" w:rsidRPr="00227253" w:rsidRDefault="00227253" w:rsidP="00227253">
            <w:pPr>
              <w:pStyle w:val="standard"/>
              <w:spacing w:before="0" w:beforeAutospacing="0" w:after="0" w:afterAutospacing="0"/>
              <w:jc w:val="center"/>
              <w:rPr>
                <w:rFonts w:eastAsiaTheme="minorHAnsi"/>
                <w:kern w:val="2"/>
                <w:sz w:val="20"/>
                <w:szCs w:val="20"/>
                <w:lang w:eastAsia="en-US"/>
                <w14:ligatures w14:val="standardContextual"/>
              </w:rPr>
            </w:pPr>
            <w:r w:rsidRPr="00227253">
              <w:rPr>
                <w:color w:val="000000"/>
                <w:sz w:val="20"/>
                <w:szCs w:val="20"/>
              </w:rPr>
              <w:t>1.323</w:t>
            </w:r>
          </w:p>
        </w:tc>
        <w:tc>
          <w:tcPr>
            <w:tcW w:w="1160" w:type="pct"/>
            <w:vAlign w:val="center"/>
          </w:tcPr>
          <w:p w14:paraId="313A4DD6" w14:textId="2987C1EB" w:rsidR="00227253" w:rsidRPr="00227253" w:rsidRDefault="00227253" w:rsidP="00227253">
            <w:pPr>
              <w:pStyle w:val="standard"/>
              <w:spacing w:before="0" w:beforeAutospacing="0" w:after="0" w:afterAutospacing="0"/>
              <w:jc w:val="center"/>
              <w:rPr>
                <w:rFonts w:eastAsiaTheme="minorHAnsi"/>
                <w:kern w:val="2"/>
                <w:sz w:val="20"/>
                <w:szCs w:val="20"/>
                <w:lang w:eastAsia="en-US"/>
                <w14:ligatures w14:val="standardContextual"/>
              </w:rPr>
            </w:pPr>
            <w:r w:rsidRPr="00227253">
              <w:rPr>
                <w:color w:val="000000"/>
                <w:sz w:val="20"/>
                <w:szCs w:val="20"/>
              </w:rPr>
              <w:t>R$ 20.282.409,37</w:t>
            </w:r>
          </w:p>
        </w:tc>
        <w:tc>
          <w:tcPr>
            <w:tcW w:w="1157" w:type="pct"/>
            <w:vAlign w:val="center"/>
          </w:tcPr>
          <w:p w14:paraId="24C8DA9E" w14:textId="70A9305B" w:rsidR="00227253" w:rsidRPr="00227253" w:rsidRDefault="00227253" w:rsidP="00227253">
            <w:pPr>
              <w:pStyle w:val="standard"/>
              <w:spacing w:before="0" w:beforeAutospacing="0" w:after="0" w:afterAutospacing="0"/>
              <w:jc w:val="center"/>
              <w:rPr>
                <w:rFonts w:eastAsiaTheme="minorHAnsi"/>
                <w:kern w:val="2"/>
                <w:sz w:val="20"/>
                <w:szCs w:val="20"/>
                <w:lang w:eastAsia="en-US"/>
                <w14:ligatures w14:val="standardContextual"/>
              </w:rPr>
            </w:pPr>
            <w:r w:rsidRPr="00227253">
              <w:rPr>
                <w:color w:val="000000"/>
                <w:sz w:val="20"/>
                <w:szCs w:val="20"/>
              </w:rPr>
              <w:t>R$</w:t>
            </w:r>
            <w:r>
              <w:rPr>
                <w:color w:val="000000"/>
                <w:sz w:val="20"/>
                <w:szCs w:val="20"/>
              </w:rPr>
              <w:t xml:space="preserve"> </w:t>
            </w:r>
            <w:r w:rsidRPr="00227253">
              <w:rPr>
                <w:color w:val="000000"/>
                <w:sz w:val="20"/>
                <w:szCs w:val="20"/>
              </w:rPr>
              <w:t>2.683,77</w:t>
            </w:r>
          </w:p>
        </w:tc>
        <w:tc>
          <w:tcPr>
            <w:tcW w:w="638" w:type="pct"/>
            <w:vAlign w:val="center"/>
          </w:tcPr>
          <w:p w14:paraId="4877AB00" w14:textId="1633F7F8"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37,02</w:t>
            </w:r>
          </w:p>
        </w:tc>
        <w:tc>
          <w:tcPr>
            <w:tcW w:w="779" w:type="pct"/>
            <w:vAlign w:val="center"/>
          </w:tcPr>
          <w:p w14:paraId="31E80368" w14:textId="0BC4E3E5"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0,3</w:t>
            </w:r>
            <w:r w:rsidR="00E5775F">
              <w:rPr>
                <w:rFonts w:ascii="Times New Roman" w:hAnsi="Times New Roman" w:cs="Times New Roman"/>
                <w:color w:val="000000"/>
                <w:sz w:val="20"/>
                <w:szCs w:val="20"/>
              </w:rPr>
              <w:t>26</w:t>
            </w:r>
          </w:p>
        </w:tc>
      </w:tr>
      <w:tr w:rsidR="00227253" w:rsidRPr="00412BF7" w14:paraId="01CD3D36" w14:textId="77777777" w:rsidTr="00227253">
        <w:trPr>
          <w:trHeight w:val="396"/>
          <w:jc w:val="center"/>
        </w:trPr>
        <w:tc>
          <w:tcPr>
            <w:tcW w:w="546" w:type="pct"/>
            <w:vAlign w:val="center"/>
          </w:tcPr>
          <w:p w14:paraId="5FDEFB44" w14:textId="77777777" w:rsidR="00227253" w:rsidRPr="00F1059A" w:rsidRDefault="00227253" w:rsidP="00227253">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Máximo</w:t>
            </w:r>
          </w:p>
        </w:tc>
        <w:tc>
          <w:tcPr>
            <w:tcW w:w="720" w:type="pct"/>
            <w:vAlign w:val="center"/>
          </w:tcPr>
          <w:p w14:paraId="085A3C65" w14:textId="5BB1651A" w:rsidR="00227253" w:rsidRPr="00227253" w:rsidRDefault="00227253" w:rsidP="00227253">
            <w:pPr>
              <w:pStyle w:val="standard"/>
              <w:spacing w:before="0" w:beforeAutospacing="0" w:after="0" w:afterAutospacing="0"/>
              <w:jc w:val="center"/>
              <w:rPr>
                <w:rFonts w:eastAsiaTheme="minorHAnsi"/>
                <w:kern w:val="2"/>
                <w:sz w:val="20"/>
                <w:szCs w:val="20"/>
                <w:lang w:eastAsia="en-US"/>
                <w14:ligatures w14:val="standardContextual"/>
              </w:rPr>
            </w:pPr>
            <w:r w:rsidRPr="00227253">
              <w:rPr>
                <w:color w:val="000000"/>
                <w:sz w:val="20"/>
                <w:szCs w:val="20"/>
              </w:rPr>
              <w:t>267.836</w:t>
            </w:r>
          </w:p>
        </w:tc>
        <w:tc>
          <w:tcPr>
            <w:tcW w:w="1160" w:type="pct"/>
            <w:vAlign w:val="center"/>
          </w:tcPr>
          <w:p w14:paraId="08CB9642" w14:textId="01CE1A3B" w:rsidR="00227253" w:rsidRPr="00227253" w:rsidRDefault="00227253" w:rsidP="00227253">
            <w:pPr>
              <w:pStyle w:val="standard"/>
              <w:spacing w:before="0" w:beforeAutospacing="0" w:after="0" w:afterAutospacing="0"/>
              <w:jc w:val="center"/>
              <w:rPr>
                <w:rFonts w:eastAsiaTheme="minorHAnsi"/>
                <w:kern w:val="2"/>
                <w:sz w:val="20"/>
                <w:szCs w:val="20"/>
                <w:lang w:eastAsia="en-US"/>
                <w14:ligatures w14:val="standardContextual"/>
              </w:rPr>
            </w:pPr>
            <w:r w:rsidRPr="00227253">
              <w:rPr>
                <w:color w:val="000000"/>
                <w:sz w:val="20"/>
                <w:szCs w:val="20"/>
              </w:rPr>
              <w:t>R$</w:t>
            </w:r>
            <w:r>
              <w:rPr>
                <w:color w:val="000000"/>
                <w:sz w:val="20"/>
                <w:szCs w:val="20"/>
              </w:rPr>
              <w:t xml:space="preserve"> </w:t>
            </w:r>
            <w:r w:rsidRPr="00227253">
              <w:rPr>
                <w:color w:val="000000"/>
                <w:sz w:val="20"/>
                <w:szCs w:val="20"/>
              </w:rPr>
              <w:t>3.023.118.727,13</w:t>
            </w:r>
          </w:p>
        </w:tc>
        <w:tc>
          <w:tcPr>
            <w:tcW w:w="1157" w:type="pct"/>
            <w:vAlign w:val="center"/>
          </w:tcPr>
          <w:p w14:paraId="055011DC" w14:textId="1B9AC9D1" w:rsidR="00227253" w:rsidRPr="00227253" w:rsidRDefault="00227253" w:rsidP="00227253">
            <w:pPr>
              <w:pStyle w:val="standard"/>
              <w:spacing w:before="0" w:beforeAutospacing="0" w:after="0" w:afterAutospacing="0"/>
              <w:jc w:val="center"/>
              <w:rPr>
                <w:rFonts w:eastAsiaTheme="minorHAnsi"/>
                <w:kern w:val="2"/>
                <w:sz w:val="20"/>
                <w:szCs w:val="20"/>
                <w:lang w:eastAsia="en-US"/>
                <w14:ligatures w14:val="standardContextual"/>
              </w:rPr>
            </w:pPr>
            <w:r w:rsidRPr="00227253">
              <w:rPr>
                <w:color w:val="000000"/>
                <w:sz w:val="20"/>
                <w:szCs w:val="20"/>
              </w:rPr>
              <w:t>R$ 28.691,62</w:t>
            </w:r>
          </w:p>
        </w:tc>
        <w:tc>
          <w:tcPr>
            <w:tcW w:w="638" w:type="pct"/>
            <w:vAlign w:val="center"/>
          </w:tcPr>
          <w:p w14:paraId="6BC9DB05" w14:textId="6F2087EE"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64,53</w:t>
            </w:r>
          </w:p>
        </w:tc>
        <w:tc>
          <w:tcPr>
            <w:tcW w:w="779" w:type="pct"/>
            <w:vAlign w:val="center"/>
          </w:tcPr>
          <w:p w14:paraId="39E42E33" w14:textId="1B678077" w:rsidR="00227253" w:rsidRPr="00227253" w:rsidRDefault="00227253" w:rsidP="00227253">
            <w:pPr>
              <w:jc w:val="center"/>
              <w:rPr>
                <w:rFonts w:ascii="Times New Roman" w:hAnsi="Times New Roman" w:cs="Times New Roman"/>
                <w:color w:val="000000"/>
                <w:sz w:val="20"/>
                <w:szCs w:val="20"/>
              </w:rPr>
            </w:pPr>
            <w:r w:rsidRPr="00227253">
              <w:rPr>
                <w:rFonts w:ascii="Times New Roman" w:hAnsi="Times New Roman" w:cs="Times New Roman"/>
                <w:color w:val="000000"/>
                <w:sz w:val="20"/>
                <w:szCs w:val="20"/>
              </w:rPr>
              <w:t>1,00</w:t>
            </w:r>
            <w:r w:rsidR="00E5775F">
              <w:rPr>
                <w:rFonts w:ascii="Times New Roman" w:hAnsi="Times New Roman" w:cs="Times New Roman"/>
                <w:color w:val="000000"/>
                <w:sz w:val="20"/>
                <w:szCs w:val="20"/>
              </w:rPr>
              <w:t>0</w:t>
            </w:r>
          </w:p>
        </w:tc>
      </w:tr>
    </w:tbl>
    <w:p w14:paraId="5FAE4E2B" w14:textId="77430896" w:rsidR="00487783" w:rsidRDefault="00487783" w:rsidP="00487783">
      <w:pPr>
        <w:pStyle w:val="standard"/>
        <w:spacing w:before="0" w:beforeAutospacing="0" w:after="120" w:afterAutospacing="0" w:line="360" w:lineRule="auto"/>
        <w:ind w:right="-1" w:firstLine="708"/>
        <w:jc w:val="both"/>
        <w:rPr>
          <w:rFonts w:eastAsiaTheme="minorHAnsi"/>
          <w:kern w:val="2"/>
          <w:lang w:eastAsia="en-US"/>
          <w14:ligatures w14:val="standardContextual"/>
        </w:rPr>
      </w:pPr>
    </w:p>
    <w:p w14:paraId="3CF9BF48" w14:textId="6C7E50C6" w:rsidR="00487783" w:rsidRPr="00531CA4" w:rsidRDefault="00E960E5" w:rsidP="000B6466">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DA7A5D">
        <w:rPr>
          <w:rFonts w:eastAsiaTheme="minorHAnsi"/>
          <w:kern w:val="2"/>
          <w:lang w:eastAsia="en-US"/>
          <w14:ligatures w14:val="standardContextual"/>
        </w:rPr>
        <w:t>Novamente pode-se observar que os municípios ineficientes possuíam orçamento per capita consideravelmente elevado comp</w:t>
      </w:r>
      <w:r w:rsidR="00CA72F3" w:rsidRPr="00DA7A5D">
        <w:rPr>
          <w:rFonts w:eastAsiaTheme="minorHAnsi"/>
          <w:kern w:val="2"/>
          <w:lang w:eastAsia="en-US"/>
          <w14:ligatures w14:val="standardContextual"/>
        </w:rPr>
        <w:t>a</w:t>
      </w:r>
      <w:r w:rsidRPr="00DA7A5D">
        <w:rPr>
          <w:rFonts w:eastAsiaTheme="minorHAnsi"/>
          <w:kern w:val="2"/>
          <w:lang w:eastAsia="en-US"/>
          <w14:ligatures w14:val="standardContextual"/>
        </w:rPr>
        <w:t xml:space="preserve">rados aos eficientes, com baixa diferença entre os ODS.  Para os Centros </w:t>
      </w:r>
      <w:proofErr w:type="gramStart"/>
      <w:r w:rsidRPr="00DA7A5D">
        <w:rPr>
          <w:rFonts w:eastAsiaTheme="minorHAnsi"/>
          <w:kern w:val="2"/>
          <w:lang w:eastAsia="en-US"/>
          <w14:ligatures w14:val="standardContextual"/>
        </w:rPr>
        <w:t>Sub-Regionais</w:t>
      </w:r>
      <w:proofErr w:type="gramEnd"/>
      <w:r w:rsidRPr="00DA7A5D">
        <w:rPr>
          <w:rFonts w:eastAsiaTheme="minorHAnsi"/>
          <w:kern w:val="2"/>
          <w:lang w:eastAsia="en-US"/>
          <w14:ligatures w14:val="standardContextual"/>
        </w:rPr>
        <w:t>, a</w:t>
      </w:r>
      <w:r w:rsidR="00487783" w:rsidRPr="00DA7A5D">
        <w:rPr>
          <w:rFonts w:eastAsiaTheme="minorHAnsi"/>
          <w:kern w:val="2"/>
          <w:lang w:eastAsia="en-US"/>
          <w14:ligatures w14:val="standardContextual"/>
        </w:rPr>
        <w:t xml:space="preserve"> média do orçamento per capita dos municípios ineficientes foi em média, </w:t>
      </w:r>
      <w:r w:rsidR="0036740B" w:rsidRPr="00DA7A5D">
        <w:rPr>
          <w:rFonts w:eastAsiaTheme="minorHAnsi"/>
          <w:kern w:val="2"/>
          <w:lang w:eastAsia="en-US"/>
          <w14:ligatures w14:val="standardContextual"/>
        </w:rPr>
        <w:t>7959,35</w:t>
      </w:r>
      <w:r w:rsidR="000B6466" w:rsidRPr="00DA7A5D">
        <w:rPr>
          <w:rFonts w:eastAsiaTheme="minorHAnsi"/>
          <w:kern w:val="2"/>
          <w:lang w:eastAsia="en-US"/>
          <w14:ligatures w14:val="standardContextual"/>
        </w:rPr>
        <w:t xml:space="preserve"> </w:t>
      </w:r>
      <w:r w:rsidR="00487783" w:rsidRPr="00DA7A5D">
        <w:rPr>
          <w:rFonts w:eastAsiaTheme="minorHAnsi"/>
          <w:kern w:val="2"/>
          <w:lang w:eastAsia="en-US"/>
          <w14:ligatures w14:val="standardContextual"/>
        </w:rPr>
        <w:t xml:space="preserve">R$/habitante, enquanto a dos eficientes de </w:t>
      </w:r>
      <w:r w:rsidR="000B6466" w:rsidRPr="00DA7A5D">
        <w:rPr>
          <w:rFonts w:eastAsiaTheme="minorHAnsi"/>
          <w:kern w:val="2"/>
          <w:lang w:eastAsia="en-US"/>
          <w14:ligatures w14:val="standardContextual"/>
        </w:rPr>
        <w:t>4.</w:t>
      </w:r>
      <w:r w:rsidR="0036740B" w:rsidRPr="00DA7A5D">
        <w:rPr>
          <w:rFonts w:eastAsiaTheme="minorHAnsi"/>
          <w:kern w:val="2"/>
          <w:lang w:eastAsia="en-US"/>
          <w14:ligatures w14:val="standardContextual"/>
        </w:rPr>
        <w:t xml:space="preserve">700,97 </w:t>
      </w:r>
      <w:r w:rsidR="00827C60" w:rsidRPr="00DA7A5D">
        <w:rPr>
          <w:rFonts w:eastAsiaTheme="minorHAnsi"/>
          <w:kern w:val="2"/>
          <w:lang w:eastAsia="en-US"/>
          <w14:ligatures w14:val="standardContextual"/>
        </w:rPr>
        <w:t>R</w:t>
      </w:r>
      <w:r w:rsidR="00487783" w:rsidRPr="00DA7A5D">
        <w:rPr>
          <w:rFonts w:eastAsiaTheme="minorHAnsi"/>
          <w:kern w:val="2"/>
          <w:lang w:eastAsia="en-US"/>
          <w14:ligatures w14:val="standardContextual"/>
        </w:rPr>
        <w:t xml:space="preserve">$/habitante. Em relação a nota média dos ODS, não se verificou grande diferença entre eficientes e ineficientes, sendo este valor igual a </w:t>
      </w:r>
      <w:r w:rsidR="0036740B" w:rsidRPr="00DA7A5D">
        <w:rPr>
          <w:rFonts w:eastAsiaTheme="minorHAnsi"/>
          <w:kern w:val="2"/>
          <w:lang w:eastAsia="en-US"/>
          <w14:ligatures w14:val="standardContextual"/>
        </w:rPr>
        <w:t>51,39</w:t>
      </w:r>
      <w:r w:rsidR="00487783" w:rsidRPr="00DA7A5D">
        <w:rPr>
          <w:rFonts w:eastAsiaTheme="minorHAnsi"/>
          <w:kern w:val="2"/>
          <w:lang w:eastAsia="en-US"/>
          <w14:ligatures w14:val="standardContextual"/>
        </w:rPr>
        <w:t xml:space="preserve"> e 52,</w:t>
      </w:r>
      <w:r w:rsidR="0036740B" w:rsidRPr="00DA7A5D">
        <w:rPr>
          <w:rFonts w:eastAsiaTheme="minorHAnsi"/>
          <w:kern w:val="2"/>
          <w:lang w:eastAsia="en-US"/>
          <w14:ligatures w14:val="standardContextual"/>
        </w:rPr>
        <w:t>33</w:t>
      </w:r>
      <w:r w:rsidR="00487783" w:rsidRPr="00DA7A5D">
        <w:rPr>
          <w:rFonts w:eastAsiaTheme="minorHAnsi"/>
          <w:kern w:val="2"/>
          <w:lang w:eastAsia="en-US"/>
          <w14:ligatures w14:val="standardContextual"/>
        </w:rPr>
        <w:t xml:space="preserve"> respectivamente. Sendo sua ineficiência explicada principalmente devido ao orçamento </w:t>
      </w:r>
      <w:r w:rsidR="0036740B" w:rsidRPr="00DA7A5D">
        <w:rPr>
          <w:rFonts w:eastAsiaTheme="minorHAnsi"/>
          <w:kern w:val="2"/>
          <w:lang w:eastAsia="en-US"/>
          <w14:ligatures w14:val="standardContextual"/>
        </w:rPr>
        <w:t>69,31</w:t>
      </w:r>
      <w:r w:rsidR="00487783" w:rsidRPr="00DA7A5D">
        <w:rPr>
          <w:rFonts w:eastAsiaTheme="minorHAnsi"/>
          <w:kern w:val="2"/>
          <w:lang w:eastAsia="en-US"/>
          <w14:ligatures w14:val="standardContextual"/>
        </w:rPr>
        <w:t>% superior aos municípios considerados eficientes, e esse aumento de recursos não</w:t>
      </w:r>
      <w:r w:rsidR="00487783">
        <w:rPr>
          <w:rFonts w:eastAsiaTheme="minorHAnsi"/>
          <w:kern w:val="2"/>
          <w:lang w:eastAsia="en-US"/>
          <w14:ligatures w14:val="standardContextual"/>
        </w:rPr>
        <w:t xml:space="preserve"> refletir em melhoria proporcional nos ODS desses municípios</w:t>
      </w:r>
      <w:r w:rsidR="0036740B">
        <w:rPr>
          <w:rFonts w:eastAsiaTheme="minorHAnsi"/>
          <w:kern w:val="2"/>
          <w:lang w:eastAsia="en-US"/>
          <w14:ligatures w14:val="standardContextual"/>
        </w:rPr>
        <w:t>, com uma diferença de pouco mais 1,8%</w:t>
      </w:r>
      <w:r w:rsidR="00487783">
        <w:rPr>
          <w:rFonts w:eastAsiaTheme="minorHAnsi"/>
          <w:kern w:val="2"/>
          <w:lang w:eastAsia="en-US"/>
          <w14:ligatures w14:val="standardContextual"/>
        </w:rPr>
        <w:t xml:space="preserve">.      </w:t>
      </w:r>
    </w:p>
    <w:p w14:paraId="50F36197" w14:textId="5A223AC3" w:rsidR="00175D1B" w:rsidRDefault="00487783" w:rsidP="00175D1B">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A015AB">
        <w:rPr>
          <w:rFonts w:eastAsiaTheme="minorHAnsi"/>
          <w:kern w:val="2"/>
          <w:lang w:eastAsia="en-US"/>
          <w14:ligatures w14:val="standardContextual"/>
        </w:rPr>
        <w:t xml:space="preserve">A Figura </w:t>
      </w:r>
      <w:r w:rsidR="00805BF7" w:rsidRPr="00A015AB">
        <w:rPr>
          <w:rFonts w:eastAsiaTheme="minorHAnsi"/>
          <w:kern w:val="2"/>
          <w:lang w:eastAsia="en-US"/>
          <w14:ligatures w14:val="standardContextual"/>
        </w:rPr>
        <w:t>3</w:t>
      </w:r>
      <w:r w:rsidRPr="00A015AB">
        <w:rPr>
          <w:rFonts w:eastAsiaTheme="minorHAnsi"/>
          <w:kern w:val="2"/>
          <w:lang w:eastAsia="en-US"/>
          <w14:ligatures w14:val="standardContextual"/>
        </w:rPr>
        <w:t xml:space="preserve"> apresenta o histograma dos scores de eficiência dos </w:t>
      </w:r>
      <w:r w:rsidR="00DA7A5D" w:rsidRPr="00A015AB">
        <w:rPr>
          <w:rFonts w:eastAsiaTheme="minorHAnsi"/>
          <w:kern w:val="2"/>
          <w:lang w:eastAsia="en-US"/>
          <w14:ligatures w14:val="standardContextual"/>
        </w:rPr>
        <w:t>117</w:t>
      </w:r>
      <w:r w:rsidRPr="00A015AB">
        <w:rPr>
          <w:rFonts w:eastAsiaTheme="minorHAnsi"/>
          <w:kern w:val="2"/>
          <w:lang w:eastAsia="en-US"/>
          <w14:ligatures w14:val="standardContextual"/>
        </w:rPr>
        <w:t xml:space="preserve"> municípios considerados ineficientes, bem como suas principais estatísticas. </w:t>
      </w:r>
      <w:r w:rsidR="00175D1B" w:rsidRPr="00A015AB">
        <w:rPr>
          <w:rFonts w:eastAsiaTheme="minorHAnsi"/>
          <w:kern w:val="2"/>
          <w:lang w:eastAsia="en-US"/>
          <w14:ligatures w14:val="standardContextual"/>
        </w:rPr>
        <w:t xml:space="preserve">Para estes municípios, o valor médio da ineficiência foi de aproximadamente </w:t>
      </w:r>
      <w:r w:rsidR="00DA7A5D" w:rsidRPr="00A015AB">
        <w:rPr>
          <w:rFonts w:eastAsiaTheme="minorHAnsi"/>
          <w:kern w:val="2"/>
          <w:lang w:eastAsia="en-US"/>
          <w14:ligatures w14:val="standardContextual"/>
        </w:rPr>
        <w:t>0,827</w:t>
      </w:r>
      <w:r w:rsidR="00175D1B" w:rsidRPr="00A015AB">
        <w:rPr>
          <w:rFonts w:eastAsiaTheme="minorHAnsi"/>
          <w:kern w:val="2"/>
          <w:lang w:eastAsia="en-US"/>
          <w14:ligatures w14:val="standardContextual"/>
        </w:rPr>
        <w:t xml:space="preserve">, com valor mínimo de </w:t>
      </w:r>
      <w:r w:rsidR="00DA7A5D" w:rsidRPr="00A015AB">
        <w:rPr>
          <w:rFonts w:eastAsiaTheme="minorHAnsi"/>
          <w:kern w:val="2"/>
          <w:lang w:eastAsia="en-US"/>
          <w14:ligatures w14:val="standardContextual"/>
        </w:rPr>
        <w:t>0,3</w:t>
      </w:r>
      <w:r w:rsidR="00A015AB" w:rsidRPr="00A015AB">
        <w:rPr>
          <w:rFonts w:eastAsiaTheme="minorHAnsi"/>
          <w:kern w:val="2"/>
          <w:lang w:eastAsia="en-US"/>
          <w14:ligatures w14:val="standardContextual"/>
        </w:rPr>
        <w:t>26</w:t>
      </w:r>
      <w:r w:rsidR="00175D1B" w:rsidRPr="00A015AB">
        <w:rPr>
          <w:rFonts w:eastAsiaTheme="minorHAnsi"/>
          <w:kern w:val="2"/>
          <w:lang w:eastAsia="en-US"/>
          <w14:ligatures w14:val="standardContextual"/>
        </w:rPr>
        <w:t xml:space="preserve"> e máximo de 0,999. Considerando o modelo CCR, há em média uma necessidade de aumento de aproximadamente </w:t>
      </w:r>
      <w:r w:rsidR="00A015AB" w:rsidRPr="00A015AB">
        <w:rPr>
          <w:rFonts w:eastAsiaTheme="minorHAnsi"/>
          <w:kern w:val="2"/>
          <w:lang w:eastAsia="en-US"/>
          <w14:ligatures w14:val="standardContextual"/>
        </w:rPr>
        <w:t>20,9</w:t>
      </w:r>
      <w:r w:rsidR="00175D1B" w:rsidRPr="00A015AB">
        <w:rPr>
          <w:rFonts w:eastAsiaTheme="minorHAnsi"/>
          <w:kern w:val="2"/>
          <w:lang w:eastAsia="en-US"/>
          <w14:ligatures w14:val="standardContextual"/>
        </w:rPr>
        <w:t xml:space="preserve">% nos ODS, ou redução média de </w:t>
      </w:r>
      <w:r w:rsidR="00A015AB" w:rsidRPr="00A015AB">
        <w:rPr>
          <w:rFonts w:eastAsiaTheme="minorHAnsi"/>
          <w:kern w:val="2"/>
          <w:lang w:eastAsia="en-US"/>
          <w14:ligatures w14:val="standardContextual"/>
        </w:rPr>
        <w:t>17,3</w:t>
      </w:r>
      <w:r w:rsidR="00175D1B" w:rsidRPr="00A015AB">
        <w:rPr>
          <w:rFonts w:eastAsiaTheme="minorHAnsi"/>
          <w:kern w:val="2"/>
          <w:lang w:eastAsia="en-US"/>
          <w14:ligatures w14:val="standardContextual"/>
        </w:rPr>
        <w:t>% nos orçamentos para que estes municípios possam alcançar a fronteira de eficiência.</w:t>
      </w:r>
      <w:r w:rsidR="00175D1B">
        <w:rPr>
          <w:rFonts w:eastAsiaTheme="minorHAnsi"/>
          <w:kern w:val="2"/>
          <w:lang w:eastAsia="en-US"/>
          <w14:ligatures w14:val="standardContextual"/>
        </w:rPr>
        <w:t xml:space="preserve"> </w:t>
      </w:r>
    </w:p>
    <w:p w14:paraId="579702AE" w14:textId="6D68F614" w:rsidR="00175D1B" w:rsidRPr="00655E23" w:rsidRDefault="00175D1B" w:rsidP="00175D1B">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655E23">
        <w:rPr>
          <w:rFonts w:eastAsiaTheme="minorHAnsi"/>
          <w:kern w:val="2"/>
          <w:sz w:val="20"/>
          <w:szCs w:val="20"/>
          <w:lang w:eastAsia="en-US"/>
          <w14:ligatures w14:val="standardContextual"/>
        </w:rPr>
        <w:t xml:space="preserve">Figura </w:t>
      </w:r>
      <w:r>
        <w:rPr>
          <w:rFonts w:eastAsiaTheme="minorHAnsi"/>
          <w:kern w:val="2"/>
          <w:sz w:val="20"/>
          <w:szCs w:val="20"/>
          <w:lang w:eastAsia="en-US"/>
          <w14:ligatures w14:val="standardContextual"/>
        </w:rPr>
        <w:t>3</w:t>
      </w:r>
      <w:r w:rsidRPr="00655E23">
        <w:rPr>
          <w:rFonts w:eastAsiaTheme="minorHAnsi"/>
          <w:kern w:val="2"/>
          <w:sz w:val="20"/>
          <w:szCs w:val="20"/>
          <w:lang w:eastAsia="en-US"/>
          <w14:ligatures w14:val="standardContextual"/>
        </w:rPr>
        <w:t xml:space="preserve"> – Histograma e Principais estatísticas para </w:t>
      </w:r>
      <w:r>
        <w:rPr>
          <w:rFonts w:eastAsiaTheme="minorHAnsi"/>
          <w:kern w:val="2"/>
          <w:sz w:val="20"/>
          <w:szCs w:val="20"/>
          <w:lang w:eastAsia="en-US"/>
          <w14:ligatures w14:val="standardContextual"/>
        </w:rPr>
        <w:t xml:space="preserve">os Centros </w:t>
      </w:r>
      <w:proofErr w:type="gramStart"/>
      <w:r>
        <w:rPr>
          <w:rFonts w:eastAsiaTheme="minorHAnsi"/>
          <w:kern w:val="2"/>
          <w:sz w:val="20"/>
          <w:szCs w:val="20"/>
          <w:lang w:eastAsia="en-US"/>
          <w14:ligatures w14:val="standardContextual"/>
        </w:rPr>
        <w:t>Sub-Regionais</w:t>
      </w:r>
      <w:proofErr w:type="gramEnd"/>
      <w:r w:rsidRPr="00655E23">
        <w:rPr>
          <w:rFonts w:eastAsiaTheme="minorHAnsi"/>
          <w:kern w:val="2"/>
          <w:sz w:val="20"/>
          <w:szCs w:val="20"/>
          <w:lang w:eastAsia="en-US"/>
          <w14:ligatures w14:val="standardContextual"/>
        </w:rPr>
        <w:t xml:space="preserve"> Ineficientes</w:t>
      </w:r>
    </w:p>
    <w:p w14:paraId="61597E61" w14:textId="7018527B" w:rsidR="00CF3534" w:rsidRDefault="00DA7A5D" w:rsidP="00DA7A5D">
      <w:pPr>
        <w:pStyle w:val="standard"/>
        <w:spacing w:before="0" w:beforeAutospacing="0" w:after="120" w:afterAutospacing="0" w:line="360" w:lineRule="auto"/>
        <w:ind w:right="-1"/>
        <w:jc w:val="center"/>
        <w:rPr>
          <w:rFonts w:eastAsiaTheme="minorHAnsi"/>
          <w:kern w:val="2"/>
          <w:lang w:eastAsia="en-US"/>
          <w14:ligatures w14:val="standardContextual"/>
        </w:rPr>
      </w:pPr>
      <w:r w:rsidRPr="00DA7A5D">
        <w:rPr>
          <w:rFonts w:eastAsiaTheme="minorHAnsi"/>
          <w:noProof/>
          <w:kern w:val="2"/>
          <w:lang w:eastAsia="en-US"/>
          <w14:ligatures w14:val="standardContextual"/>
        </w:rPr>
        <w:drawing>
          <wp:inline distT="0" distB="0" distL="0" distR="0" wp14:anchorId="466B3BDE" wp14:editId="37299FB4">
            <wp:extent cx="4988560" cy="2522220"/>
            <wp:effectExtent l="0" t="0" r="2540" b="0"/>
            <wp:docPr id="15599244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620" t="3952" b="33772"/>
                    <a:stretch/>
                  </pic:blipFill>
                  <pic:spPr bwMode="auto">
                    <a:xfrm>
                      <a:off x="0" y="0"/>
                      <a:ext cx="4988560" cy="2522220"/>
                    </a:xfrm>
                    <a:prstGeom prst="rect">
                      <a:avLst/>
                    </a:prstGeom>
                    <a:noFill/>
                    <a:ln>
                      <a:noFill/>
                    </a:ln>
                    <a:extLst>
                      <a:ext uri="{53640926-AAD7-44D8-BBD7-CCE9431645EC}">
                        <a14:shadowObscured xmlns:a14="http://schemas.microsoft.com/office/drawing/2010/main"/>
                      </a:ext>
                    </a:extLst>
                  </pic:spPr>
                </pic:pic>
              </a:graphicData>
            </a:graphic>
          </wp:inline>
        </w:drawing>
      </w:r>
    </w:p>
    <w:p w14:paraId="25223B7D" w14:textId="6C4D6957" w:rsidR="00BA279B" w:rsidRDefault="00BA279B" w:rsidP="00BA279B">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FA567A">
        <w:rPr>
          <w:rFonts w:eastAsiaTheme="minorHAnsi"/>
          <w:kern w:val="2"/>
          <w:lang w:eastAsia="en-US"/>
          <w14:ligatures w14:val="standardContextual"/>
        </w:rPr>
        <w:lastRenderedPageBreak/>
        <w:t xml:space="preserve">Dos </w:t>
      </w:r>
      <w:r w:rsidR="00FA567A" w:rsidRPr="00FA567A">
        <w:rPr>
          <w:rFonts w:eastAsiaTheme="minorHAnsi"/>
          <w:kern w:val="2"/>
          <w:lang w:eastAsia="en-US"/>
          <w14:ligatures w14:val="standardContextual"/>
        </w:rPr>
        <w:t>370</w:t>
      </w:r>
      <w:r w:rsidRPr="00FA567A">
        <w:rPr>
          <w:rFonts w:eastAsiaTheme="minorHAnsi"/>
          <w:kern w:val="2"/>
          <w:lang w:eastAsia="en-US"/>
          <w14:ligatures w14:val="standardContextual"/>
        </w:rPr>
        <w:t xml:space="preserve"> municípios considerados eficientes, </w:t>
      </w:r>
      <w:r w:rsidR="00FA567A" w:rsidRPr="00FA567A">
        <w:rPr>
          <w:rFonts w:eastAsiaTheme="minorHAnsi"/>
          <w:kern w:val="2"/>
          <w:lang w:eastAsia="en-US"/>
          <w14:ligatures w14:val="standardContextual"/>
        </w:rPr>
        <w:t>174</w:t>
      </w:r>
      <w:r w:rsidRPr="00FA567A">
        <w:rPr>
          <w:rFonts w:eastAsiaTheme="minorHAnsi"/>
          <w:kern w:val="2"/>
          <w:lang w:eastAsia="en-US"/>
          <w14:ligatures w14:val="standardContextual"/>
        </w:rPr>
        <w:t xml:space="preserve"> foram </w:t>
      </w:r>
      <w:r w:rsidRPr="00FA567A">
        <w:rPr>
          <w:rFonts w:eastAsiaTheme="minorHAnsi"/>
          <w:i/>
          <w:iCs/>
          <w:kern w:val="2"/>
          <w:lang w:eastAsia="en-US"/>
          <w14:ligatures w14:val="standardContextual"/>
        </w:rPr>
        <w:t xml:space="preserve">benchmarks </w:t>
      </w:r>
      <w:r w:rsidRPr="00FA567A">
        <w:rPr>
          <w:rFonts w:eastAsiaTheme="minorHAnsi"/>
          <w:kern w:val="2"/>
          <w:lang w:eastAsia="en-US"/>
          <w14:ligatures w14:val="standardContextual"/>
        </w:rPr>
        <w:t xml:space="preserve">para os municípios ineficientes. Os 10 principais benchmarks estiverem presentes como referência em aproximadamente </w:t>
      </w:r>
      <w:r w:rsidR="00FA567A" w:rsidRPr="00FA567A">
        <w:rPr>
          <w:rFonts w:eastAsiaTheme="minorHAnsi"/>
          <w:kern w:val="2"/>
          <w:lang w:eastAsia="en-US"/>
          <w14:ligatures w14:val="standardContextual"/>
        </w:rPr>
        <w:t>27</w:t>
      </w:r>
      <w:r w:rsidRPr="00FA567A">
        <w:rPr>
          <w:rFonts w:eastAsiaTheme="minorHAnsi"/>
          <w:kern w:val="2"/>
          <w:lang w:eastAsia="en-US"/>
          <w14:ligatures w14:val="standardContextual"/>
        </w:rPr>
        <w:t>% das DMUs ineficientes.</w:t>
      </w:r>
      <w:r>
        <w:rPr>
          <w:rFonts w:eastAsiaTheme="minorHAnsi"/>
          <w:kern w:val="2"/>
          <w:lang w:eastAsia="en-US"/>
          <w14:ligatures w14:val="standardContextual"/>
        </w:rPr>
        <w:t xml:space="preserve"> </w:t>
      </w:r>
    </w:p>
    <w:p w14:paraId="7EABEFFA" w14:textId="77777777" w:rsidR="00BA279B" w:rsidRDefault="00BA279B" w:rsidP="000329FF">
      <w:pPr>
        <w:pStyle w:val="standard"/>
        <w:spacing w:before="0" w:beforeAutospacing="0" w:after="120" w:afterAutospacing="0" w:line="360" w:lineRule="auto"/>
        <w:ind w:right="-1"/>
        <w:jc w:val="both"/>
        <w:rPr>
          <w:rFonts w:eastAsiaTheme="minorHAnsi"/>
          <w:kern w:val="2"/>
          <w:lang w:eastAsia="en-US"/>
          <w14:ligatures w14:val="standardContextual"/>
        </w:rPr>
      </w:pPr>
    </w:p>
    <w:p w14:paraId="3EF7B024" w14:textId="440F2177" w:rsidR="00805BF7" w:rsidRDefault="00805BF7" w:rsidP="00805BF7">
      <w:pPr>
        <w:pStyle w:val="standard"/>
        <w:spacing w:before="0" w:beforeAutospacing="0" w:after="120" w:afterAutospacing="0" w:line="360" w:lineRule="auto"/>
        <w:ind w:right="-1"/>
        <w:jc w:val="both"/>
        <w:rPr>
          <w:rFonts w:eastAsiaTheme="minorHAnsi"/>
          <w:b/>
          <w:bCs/>
          <w:kern w:val="2"/>
          <w:lang w:eastAsia="en-US"/>
          <w14:ligatures w14:val="standardContextual"/>
        </w:rPr>
      </w:pPr>
      <w:r w:rsidRPr="00805BF7">
        <w:rPr>
          <w:rFonts w:eastAsiaTheme="minorHAnsi"/>
          <w:b/>
          <w:bCs/>
          <w:kern w:val="2"/>
          <w:lang w:eastAsia="en-US"/>
          <w14:ligatures w14:val="standardContextual"/>
        </w:rPr>
        <w:t>4.2.4 Centros de Zona</w:t>
      </w:r>
    </w:p>
    <w:p w14:paraId="7F5852A8" w14:textId="37DD8692" w:rsidR="00805BF7" w:rsidRDefault="00E7316A" w:rsidP="00805BF7">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Os Centros de Zona são compostos por municípios geralmente de pequeno porte, com baixo poder de influência entre suas proximidades. </w:t>
      </w:r>
      <w:r w:rsidR="00805BF7">
        <w:rPr>
          <w:rFonts w:eastAsiaTheme="minorHAnsi"/>
          <w:kern w:val="2"/>
          <w:lang w:eastAsia="en-US"/>
          <w14:ligatures w14:val="standardContextual"/>
        </w:rPr>
        <w:t xml:space="preserve">Dos </w:t>
      </w:r>
      <w:r w:rsidR="00711CB5">
        <w:rPr>
          <w:rFonts w:eastAsiaTheme="minorHAnsi"/>
          <w:kern w:val="2"/>
          <w:lang w:eastAsia="en-US"/>
          <w14:ligatures w14:val="standardContextual"/>
        </w:rPr>
        <w:t>42</w:t>
      </w:r>
      <w:r w:rsidR="001C1D40">
        <w:rPr>
          <w:rFonts w:eastAsiaTheme="minorHAnsi"/>
          <w:kern w:val="2"/>
          <w:lang w:eastAsia="en-US"/>
          <w14:ligatures w14:val="standardContextual"/>
        </w:rPr>
        <w:t>7</w:t>
      </w:r>
      <w:r w:rsidR="00805BF7">
        <w:rPr>
          <w:rFonts w:eastAsiaTheme="minorHAnsi"/>
          <w:kern w:val="2"/>
          <w:lang w:eastAsia="en-US"/>
          <w14:ligatures w14:val="standardContextual"/>
        </w:rPr>
        <w:t xml:space="preserve"> municípios classificados como Centros </w:t>
      </w:r>
      <w:r w:rsidR="00F82185">
        <w:rPr>
          <w:rFonts w:eastAsiaTheme="minorHAnsi"/>
          <w:kern w:val="2"/>
          <w:lang w:eastAsia="en-US"/>
          <w14:ligatures w14:val="standardContextual"/>
        </w:rPr>
        <w:t>de Zona</w:t>
      </w:r>
      <w:r w:rsidR="00805BF7">
        <w:rPr>
          <w:rFonts w:eastAsiaTheme="minorHAnsi"/>
          <w:kern w:val="2"/>
          <w:lang w:eastAsia="en-US"/>
          <w14:ligatures w14:val="standardContextual"/>
        </w:rPr>
        <w:t xml:space="preserve">, </w:t>
      </w:r>
      <w:r w:rsidR="001C1D40">
        <w:rPr>
          <w:rFonts w:eastAsiaTheme="minorHAnsi"/>
          <w:kern w:val="2"/>
          <w:lang w:eastAsia="en-US"/>
          <w14:ligatures w14:val="standardContextual"/>
        </w:rPr>
        <w:t>353</w:t>
      </w:r>
      <w:r w:rsidR="00805BF7" w:rsidRPr="002A493D">
        <w:rPr>
          <w:rFonts w:eastAsiaTheme="minorHAnsi"/>
          <w:kern w:val="2"/>
          <w:lang w:eastAsia="en-US"/>
          <w14:ligatures w14:val="standardContextual"/>
        </w:rPr>
        <w:t xml:space="preserve"> apresenta</w:t>
      </w:r>
      <w:r w:rsidR="00805BF7">
        <w:rPr>
          <w:rFonts w:eastAsiaTheme="minorHAnsi"/>
          <w:kern w:val="2"/>
          <w:lang w:eastAsia="en-US"/>
          <w14:ligatures w14:val="standardContextual"/>
        </w:rPr>
        <w:t>ram</w:t>
      </w:r>
      <w:r w:rsidR="00805BF7" w:rsidRPr="002A493D">
        <w:rPr>
          <w:rFonts w:eastAsiaTheme="minorHAnsi"/>
          <w:kern w:val="2"/>
          <w:lang w:eastAsia="en-US"/>
          <w14:ligatures w14:val="standardContextual"/>
        </w:rPr>
        <w:t xml:space="preserve"> </w:t>
      </w:r>
      <w:r w:rsidR="00805BF7">
        <w:rPr>
          <w:rFonts w:eastAsiaTheme="minorHAnsi"/>
          <w:kern w:val="2"/>
          <w:lang w:eastAsia="en-US"/>
          <w14:ligatures w14:val="standardContextual"/>
        </w:rPr>
        <w:t>score de</w:t>
      </w:r>
      <w:r w:rsidR="00805BF7" w:rsidRPr="002A493D">
        <w:rPr>
          <w:rFonts w:eastAsiaTheme="minorHAnsi"/>
          <w:kern w:val="2"/>
          <w:lang w:eastAsia="en-US"/>
          <w14:ligatures w14:val="standardContextual"/>
        </w:rPr>
        <w:t xml:space="preserve"> eficiência </w:t>
      </w:r>
      <w:r w:rsidR="00805BF7">
        <w:rPr>
          <w:rFonts w:eastAsiaTheme="minorHAnsi"/>
          <w:kern w:val="2"/>
          <w:lang w:eastAsia="en-US"/>
          <w14:ligatures w14:val="standardContextual"/>
        </w:rPr>
        <w:t>igual</w:t>
      </w:r>
      <w:r w:rsidR="00805BF7" w:rsidRPr="002A493D">
        <w:rPr>
          <w:rFonts w:eastAsiaTheme="minorHAnsi"/>
          <w:kern w:val="2"/>
          <w:lang w:eastAsia="en-US"/>
          <w14:ligatures w14:val="standardContextual"/>
        </w:rPr>
        <w:t xml:space="preserve"> 1</w:t>
      </w:r>
      <w:r w:rsidR="00805BF7">
        <w:rPr>
          <w:rFonts w:eastAsiaTheme="minorHAnsi"/>
          <w:kern w:val="2"/>
          <w:lang w:eastAsia="en-US"/>
          <w14:ligatures w14:val="standardContextual"/>
        </w:rPr>
        <w:t xml:space="preserve"> (</w:t>
      </w:r>
      <w:r w:rsidR="001C1D40">
        <w:rPr>
          <w:rFonts w:eastAsiaTheme="minorHAnsi"/>
          <w:kern w:val="2"/>
          <w:lang w:eastAsia="en-US"/>
          <w14:ligatures w14:val="standardContextual"/>
        </w:rPr>
        <w:t>82,67</w:t>
      </w:r>
      <w:r w:rsidR="00805BF7">
        <w:rPr>
          <w:rFonts w:eastAsiaTheme="minorHAnsi"/>
          <w:kern w:val="2"/>
          <w:lang w:eastAsia="en-US"/>
          <w14:ligatures w14:val="standardContextual"/>
        </w:rPr>
        <w:t>% do total</w:t>
      </w:r>
      <w:r>
        <w:rPr>
          <w:rFonts w:eastAsiaTheme="minorHAnsi"/>
          <w:kern w:val="2"/>
          <w:lang w:eastAsia="en-US"/>
          <w14:ligatures w14:val="standardContextual"/>
        </w:rPr>
        <w:t>)</w:t>
      </w:r>
      <w:r w:rsidR="00805BF7" w:rsidRPr="002A493D">
        <w:rPr>
          <w:rFonts w:eastAsiaTheme="minorHAnsi"/>
          <w:kern w:val="2"/>
          <w:lang w:eastAsia="en-US"/>
          <w14:ligatures w14:val="standardContextual"/>
        </w:rPr>
        <w:t>.</w:t>
      </w:r>
      <w:r w:rsidR="00805BF7">
        <w:rPr>
          <w:rFonts w:eastAsiaTheme="minorHAnsi"/>
          <w:kern w:val="2"/>
          <w:lang w:eastAsia="en-US"/>
          <w14:ligatures w14:val="standardContextual"/>
        </w:rPr>
        <w:t xml:space="preserve"> </w:t>
      </w:r>
      <w:r w:rsidR="00580DEF">
        <w:rPr>
          <w:rFonts w:eastAsiaTheme="minorHAnsi"/>
          <w:kern w:val="2"/>
          <w:lang w:eastAsia="en-US"/>
          <w14:ligatures w14:val="standardContextual"/>
        </w:rPr>
        <w:t>Do total</w:t>
      </w:r>
      <w:r w:rsidR="00805BF7" w:rsidRPr="000C10DD">
        <w:rPr>
          <w:rFonts w:eastAsiaTheme="minorHAnsi"/>
          <w:kern w:val="2"/>
          <w:lang w:eastAsia="en-US"/>
          <w14:ligatures w14:val="standardContextual"/>
        </w:rPr>
        <w:t xml:space="preserve">, </w:t>
      </w:r>
      <w:r w:rsidR="001C1D40">
        <w:rPr>
          <w:rFonts w:eastAsiaTheme="minorHAnsi"/>
          <w:kern w:val="2"/>
          <w:lang w:eastAsia="en-US"/>
          <w14:ligatures w14:val="standardContextual"/>
        </w:rPr>
        <w:t>74</w:t>
      </w:r>
      <w:r w:rsidR="00805BF7">
        <w:rPr>
          <w:rFonts w:eastAsiaTheme="minorHAnsi"/>
          <w:kern w:val="2"/>
          <w:lang w:eastAsia="en-US"/>
          <w14:ligatures w14:val="standardContextual"/>
        </w:rPr>
        <w:t xml:space="preserve"> municípios alcançaram scores de</w:t>
      </w:r>
      <w:r w:rsidR="00805BF7" w:rsidRPr="000C10DD">
        <w:rPr>
          <w:rFonts w:eastAsiaTheme="minorHAnsi"/>
          <w:kern w:val="2"/>
          <w:lang w:eastAsia="en-US"/>
          <w14:ligatures w14:val="standardContextual"/>
        </w:rPr>
        <w:t xml:space="preserve"> eficiência menor</w:t>
      </w:r>
      <w:r w:rsidR="00805BF7">
        <w:rPr>
          <w:rFonts w:eastAsiaTheme="minorHAnsi"/>
          <w:kern w:val="2"/>
          <w:lang w:eastAsia="en-US"/>
          <w14:ligatures w14:val="standardContextual"/>
        </w:rPr>
        <w:t>es</w:t>
      </w:r>
      <w:r w:rsidR="00805BF7" w:rsidRPr="000C10DD">
        <w:rPr>
          <w:rFonts w:eastAsiaTheme="minorHAnsi"/>
          <w:kern w:val="2"/>
          <w:lang w:eastAsia="en-US"/>
          <w14:ligatures w14:val="standardContextual"/>
        </w:rPr>
        <w:t xml:space="preserve"> que 1</w:t>
      </w:r>
      <w:r w:rsidR="00805BF7">
        <w:rPr>
          <w:rFonts w:eastAsiaTheme="minorHAnsi"/>
          <w:kern w:val="2"/>
          <w:lang w:eastAsia="en-US"/>
          <w14:ligatures w14:val="standardContextual"/>
        </w:rPr>
        <w:t xml:space="preserve"> (</w:t>
      </w:r>
      <w:r w:rsidR="00711CB5">
        <w:rPr>
          <w:rFonts w:eastAsiaTheme="minorHAnsi"/>
          <w:kern w:val="2"/>
          <w:lang w:eastAsia="en-US"/>
          <w14:ligatures w14:val="standardContextual"/>
        </w:rPr>
        <w:t>22,43</w:t>
      </w:r>
      <w:r w:rsidR="00805BF7">
        <w:rPr>
          <w:rFonts w:eastAsiaTheme="minorHAnsi"/>
          <w:kern w:val="2"/>
          <w:lang w:eastAsia="en-US"/>
          <w14:ligatures w14:val="standardContextual"/>
        </w:rPr>
        <w:t>% do total)</w:t>
      </w:r>
      <w:r w:rsidR="00805BF7" w:rsidRPr="000C10DD">
        <w:rPr>
          <w:rFonts w:eastAsiaTheme="minorHAnsi"/>
          <w:kern w:val="2"/>
          <w:lang w:eastAsia="en-US"/>
          <w14:ligatures w14:val="standardContextual"/>
        </w:rPr>
        <w:t xml:space="preserve">, indicando </w:t>
      </w:r>
      <w:r>
        <w:rPr>
          <w:rFonts w:eastAsiaTheme="minorHAnsi"/>
          <w:kern w:val="2"/>
          <w:lang w:eastAsia="en-US"/>
          <w14:ligatures w14:val="standardContextual"/>
        </w:rPr>
        <w:t>um certo grau de ineficiência na relação insumo produto</w:t>
      </w:r>
      <w:r w:rsidR="00805BF7" w:rsidRPr="000C10DD">
        <w:rPr>
          <w:rFonts w:eastAsiaTheme="minorHAnsi"/>
          <w:kern w:val="2"/>
          <w:lang w:eastAsia="en-US"/>
          <w14:ligatures w14:val="standardContextual"/>
        </w:rPr>
        <w:t xml:space="preserve">. </w:t>
      </w:r>
    </w:p>
    <w:p w14:paraId="1C7A792D" w14:textId="7A343C9A" w:rsidR="00580DEF" w:rsidRDefault="00580DEF" w:rsidP="00580DEF">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A Tabela 10 apresenta um panorama dos 42</w:t>
      </w:r>
      <w:r w:rsidR="001C1D40">
        <w:rPr>
          <w:rFonts w:eastAsiaTheme="minorHAnsi"/>
          <w:kern w:val="2"/>
          <w:lang w:eastAsia="en-US"/>
          <w14:ligatures w14:val="standardContextual"/>
        </w:rPr>
        <w:t>7</w:t>
      </w:r>
      <w:r>
        <w:rPr>
          <w:rFonts w:eastAsiaTheme="minorHAnsi"/>
          <w:kern w:val="2"/>
          <w:lang w:eastAsia="en-US"/>
          <w14:ligatures w14:val="standardContextual"/>
        </w:rPr>
        <w:t xml:space="preserve"> municípios classificados como Centros de Zona.</w:t>
      </w:r>
    </w:p>
    <w:p w14:paraId="21878565" w14:textId="77777777" w:rsidR="00580DEF" w:rsidRPr="00F1059A" w:rsidRDefault="00580DEF" w:rsidP="00580DEF">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F1059A">
        <w:rPr>
          <w:rFonts w:eastAsiaTheme="minorHAnsi"/>
          <w:kern w:val="2"/>
          <w:sz w:val="20"/>
          <w:szCs w:val="20"/>
          <w:lang w:eastAsia="en-US"/>
          <w14:ligatures w14:val="standardContextual"/>
        </w:rPr>
        <w:t xml:space="preserve">Tabela </w:t>
      </w:r>
      <w:r>
        <w:rPr>
          <w:rFonts w:eastAsiaTheme="minorHAnsi"/>
          <w:kern w:val="2"/>
          <w:sz w:val="20"/>
          <w:szCs w:val="20"/>
          <w:lang w:eastAsia="en-US"/>
          <w14:ligatures w14:val="standardContextual"/>
        </w:rPr>
        <w:t>10</w:t>
      </w:r>
      <w:r w:rsidRPr="00F1059A">
        <w:rPr>
          <w:rFonts w:eastAsiaTheme="minorHAnsi"/>
          <w:kern w:val="2"/>
          <w:sz w:val="20"/>
          <w:szCs w:val="20"/>
          <w:lang w:eastAsia="en-US"/>
          <w14:ligatures w14:val="standardContextual"/>
        </w:rPr>
        <w:t xml:space="preserve"> – Dados </w:t>
      </w:r>
      <w:r>
        <w:rPr>
          <w:rFonts w:eastAsiaTheme="minorHAnsi"/>
          <w:kern w:val="2"/>
          <w:sz w:val="20"/>
          <w:szCs w:val="20"/>
          <w:lang w:eastAsia="en-US"/>
          <w14:ligatures w14:val="standardContextual"/>
        </w:rPr>
        <w:t xml:space="preserve">gerais </w:t>
      </w:r>
      <w:r w:rsidRPr="00F1059A">
        <w:rPr>
          <w:rFonts w:eastAsiaTheme="minorHAnsi"/>
          <w:kern w:val="2"/>
          <w:sz w:val="20"/>
          <w:szCs w:val="20"/>
          <w:lang w:eastAsia="en-US"/>
          <w14:ligatures w14:val="standardContextual"/>
        </w:rPr>
        <w:t xml:space="preserve">das cidades classificadas como </w:t>
      </w:r>
      <w:r>
        <w:rPr>
          <w:rFonts w:eastAsiaTheme="minorHAnsi"/>
          <w:kern w:val="2"/>
          <w:sz w:val="20"/>
          <w:szCs w:val="20"/>
          <w:lang w:eastAsia="en-US"/>
          <w14:ligatures w14:val="standardContextual"/>
        </w:rPr>
        <w:t>Centros de Zona</w:t>
      </w:r>
    </w:p>
    <w:tbl>
      <w:tblPr>
        <w:tblStyle w:val="Tabelacomgrade"/>
        <w:tblW w:w="5000" w:type="pct"/>
        <w:jc w:val="center"/>
        <w:tblLook w:val="04A0" w:firstRow="1" w:lastRow="0" w:firstColumn="1" w:lastColumn="0" w:noHBand="0" w:noVBand="1"/>
      </w:tblPr>
      <w:tblGrid>
        <w:gridCol w:w="927"/>
        <w:gridCol w:w="1223"/>
        <w:gridCol w:w="1971"/>
        <w:gridCol w:w="1966"/>
        <w:gridCol w:w="1084"/>
        <w:gridCol w:w="1323"/>
      </w:tblGrid>
      <w:tr w:rsidR="00580DEF" w:rsidRPr="00412BF7" w14:paraId="38425257" w14:textId="77777777" w:rsidTr="00B150EC">
        <w:trPr>
          <w:trHeight w:val="396"/>
          <w:jc w:val="center"/>
        </w:trPr>
        <w:tc>
          <w:tcPr>
            <w:tcW w:w="546" w:type="pct"/>
          </w:tcPr>
          <w:p w14:paraId="6715498F" w14:textId="77777777" w:rsidR="00580DEF" w:rsidRPr="00412BF7" w:rsidRDefault="00580DEF" w:rsidP="00B150EC">
            <w:pPr>
              <w:pStyle w:val="standard"/>
              <w:spacing w:before="0" w:beforeAutospacing="0" w:after="0" w:afterAutospacing="0"/>
              <w:jc w:val="both"/>
              <w:rPr>
                <w:rFonts w:eastAsiaTheme="minorHAnsi"/>
                <w:kern w:val="2"/>
                <w:sz w:val="20"/>
                <w:szCs w:val="20"/>
                <w:lang w:eastAsia="en-US"/>
                <w14:ligatures w14:val="standardContextual"/>
              </w:rPr>
            </w:pPr>
          </w:p>
        </w:tc>
        <w:tc>
          <w:tcPr>
            <w:tcW w:w="720" w:type="pct"/>
            <w:vAlign w:val="center"/>
          </w:tcPr>
          <w:p w14:paraId="36B3D2EF" w14:textId="77777777" w:rsidR="00580DEF" w:rsidRPr="00F1059A" w:rsidRDefault="00580DEF"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População</w:t>
            </w:r>
          </w:p>
        </w:tc>
        <w:tc>
          <w:tcPr>
            <w:tcW w:w="1160" w:type="pct"/>
            <w:vAlign w:val="center"/>
          </w:tcPr>
          <w:p w14:paraId="2BAFE874" w14:textId="77777777" w:rsidR="00580DEF" w:rsidRPr="00F1059A" w:rsidRDefault="00580DEF"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w:t>
            </w:r>
          </w:p>
        </w:tc>
        <w:tc>
          <w:tcPr>
            <w:tcW w:w="1157" w:type="pct"/>
            <w:vAlign w:val="center"/>
          </w:tcPr>
          <w:p w14:paraId="16756483" w14:textId="77777777" w:rsidR="00580DEF" w:rsidRPr="00F1059A" w:rsidRDefault="00580DEF"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 per capita</w:t>
            </w:r>
          </w:p>
        </w:tc>
        <w:tc>
          <w:tcPr>
            <w:tcW w:w="638" w:type="pct"/>
            <w:vAlign w:val="center"/>
          </w:tcPr>
          <w:p w14:paraId="309DBC2C" w14:textId="77777777" w:rsidR="00580DEF" w:rsidRPr="00F1059A" w:rsidRDefault="00580DEF"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ODS Agrupado</w:t>
            </w:r>
          </w:p>
        </w:tc>
        <w:tc>
          <w:tcPr>
            <w:tcW w:w="779" w:type="pct"/>
            <w:vAlign w:val="center"/>
          </w:tcPr>
          <w:p w14:paraId="2E48C1DF" w14:textId="77777777" w:rsidR="00580DEF" w:rsidRPr="00F1059A" w:rsidRDefault="00580DEF"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Eficiência</w:t>
            </w:r>
          </w:p>
        </w:tc>
      </w:tr>
      <w:tr w:rsidR="001C1D40" w:rsidRPr="00412BF7" w14:paraId="18E7B4DD" w14:textId="77777777" w:rsidTr="001C1D40">
        <w:trPr>
          <w:trHeight w:val="396"/>
          <w:jc w:val="center"/>
        </w:trPr>
        <w:tc>
          <w:tcPr>
            <w:tcW w:w="546" w:type="pct"/>
            <w:vAlign w:val="center"/>
          </w:tcPr>
          <w:p w14:paraId="635DB4A3" w14:textId="77777777" w:rsidR="001C1D40" w:rsidRPr="00E7316A" w:rsidRDefault="001C1D40" w:rsidP="001C1D40">
            <w:pPr>
              <w:pStyle w:val="standard"/>
              <w:spacing w:before="0" w:beforeAutospacing="0" w:after="0" w:afterAutospacing="0"/>
              <w:jc w:val="center"/>
              <w:rPr>
                <w:rFonts w:eastAsiaTheme="minorHAnsi"/>
                <w:b/>
                <w:bCs/>
                <w:kern w:val="2"/>
                <w:sz w:val="20"/>
                <w:szCs w:val="20"/>
                <w:lang w:eastAsia="en-US"/>
                <w14:ligatures w14:val="standardContextual"/>
              </w:rPr>
            </w:pPr>
            <w:r w:rsidRPr="00E7316A">
              <w:rPr>
                <w:rFonts w:eastAsiaTheme="minorHAnsi"/>
                <w:b/>
                <w:bCs/>
                <w:kern w:val="2"/>
                <w:sz w:val="20"/>
                <w:szCs w:val="20"/>
                <w:lang w:eastAsia="en-US"/>
                <w14:ligatures w14:val="standardContextual"/>
              </w:rPr>
              <w:t>Média</w:t>
            </w:r>
          </w:p>
        </w:tc>
        <w:tc>
          <w:tcPr>
            <w:tcW w:w="720" w:type="pct"/>
            <w:vAlign w:val="center"/>
          </w:tcPr>
          <w:p w14:paraId="1CE7B3AC" w14:textId="2CC50B7B"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27.396</w:t>
            </w:r>
          </w:p>
        </w:tc>
        <w:tc>
          <w:tcPr>
            <w:tcW w:w="1160" w:type="pct"/>
            <w:vAlign w:val="center"/>
          </w:tcPr>
          <w:p w14:paraId="7FE49AE2" w14:textId="0032EFCA"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R$ 125.313.551,11</w:t>
            </w:r>
          </w:p>
        </w:tc>
        <w:tc>
          <w:tcPr>
            <w:tcW w:w="1157" w:type="pct"/>
            <w:vAlign w:val="center"/>
          </w:tcPr>
          <w:p w14:paraId="0016C24C" w14:textId="6B2AA9B3"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R</w:t>
            </w:r>
            <w:proofErr w:type="gramStart"/>
            <w:r w:rsidRPr="001C1D40">
              <w:rPr>
                <w:rFonts w:ascii="Times New Roman" w:hAnsi="Times New Roman" w:cs="Times New Roman"/>
                <w:color w:val="000000"/>
                <w:sz w:val="20"/>
                <w:szCs w:val="20"/>
              </w:rPr>
              <w:t>$  4.934</w:t>
            </w:r>
            <w:proofErr w:type="gramEnd"/>
            <w:r w:rsidRPr="001C1D40">
              <w:rPr>
                <w:rFonts w:ascii="Times New Roman" w:hAnsi="Times New Roman" w:cs="Times New Roman"/>
                <w:color w:val="000000"/>
                <w:sz w:val="20"/>
                <w:szCs w:val="20"/>
              </w:rPr>
              <w:t>,40</w:t>
            </w:r>
          </w:p>
        </w:tc>
        <w:tc>
          <w:tcPr>
            <w:tcW w:w="638" w:type="pct"/>
            <w:vAlign w:val="center"/>
          </w:tcPr>
          <w:p w14:paraId="04288A32" w14:textId="1B59CA3C"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48,94</w:t>
            </w:r>
          </w:p>
        </w:tc>
        <w:tc>
          <w:tcPr>
            <w:tcW w:w="779" w:type="pct"/>
            <w:vAlign w:val="center"/>
          </w:tcPr>
          <w:p w14:paraId="224A5691" w14:textId="27D6E874"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0,98</w:t>
            </w:r>
          </w:p>
        </w:tc>
      </w:tr>
      <w:tr w:rsidR="001C1D40" w:rsidRPr="00412BF7" w14:paraId="0CAA6BE1" w14:textId="77777777" w:rsidTr="001C1D40">
        <w:trPr>
          <w:trHeight w:val="396"/>
          <w:jc w:val="center"/>
        </w:trPr>
        <w:tc>
          <w:tcPr>
            <w:tcW w:w="546" w:type="pct"/>
            <w:vAlign w:val="center"/>
          </w:tcPr>
          <w:p w14:paraId="0C124ECA" w14:textId="77777777" w:rsidR="001C1D40" w:rsidRPr="00E7316A" w:rsidRDefault="001C1D40" w:rsidP="001C1D40">
            <w:pPr>
              <w:pStyle w:val="standard"/>
              <w:spacing w:before="0" w:beforeAutospacing="0" w:after="0" w:afterAutospacing="0"/>
              <w:jc w:val="center"/>
              <w:rPr>
                <w:rFonts w:eastAsiaTheme="minorHAnsi"/>
                <w:b/>
                <w:bCs/>
                <w:kern w:val="2"/>
                <w:sz w:val="20"/>
                <w:szCs w:val="20"/>
                <w:lang w:eastAsia="en-US"/>
                <w14:ligatures w14:val="standardContextual"/>
              </w:rPr>
            </w:pPr>
            <w:r w:rsidRPr="00E7316A">
              <w:rPr>
                <w:rFonts w:eastAsiaTheme="minorHAnsi"/>
                <w:b/>
                <w:bCs/>
                <w:kern w:val="2"/>
                <w:sz w:val="20"/>
                <w:szCs w:val="20"/>
                <w:lang w:eastAsia="en-US"/>
                <w14:ligatures w14:val="standardContextual"/>
              </w:rPr>
              <w:t>Mínimo</w:t>
            </w:r>
          </w:p>
        </w:tc>
        <w:tc>
          <w:tcPr>
            <w:tcW w:w="720" w:type="pct"/>
            <w:vAlign w:val="center"/>
          </w:tcPr>
          <w:p w14:paraId="35656051" w14:textId="77777777" w:rsidR="001C1D40" w:rsidRPr="001C1D40" w:rsidRDefault="001C1D40" w:rsidP="001C1D40">
            <w:pPr>
              <w:pStyle w:val="standard"/>
              <w:spacing w:before="0" w:beforeAutospacing="0" w:after="0" w:afterAutospacing="0"/>
              <w:jc w:val="center"/>
              <w:rPr>
                <w:rFonts w:eastAsiaTheme="minorHAnsi"/>
                <w:kern w:val="2"/>
                <w:sz w:val="20"/>
                <w:szCs w:val="20"/>
                <w:lang w:eastAsia="en-US"/>
                <w14:ligatures w14:val="standardContextual"/>
              </w:rPr>
            </w:pPr>
            <w:r w:rsidRPr="001C1D40">
              <w:rPr>
                <w:color w:val="000000"/>
                <w:sz w:val="20"/>
                <w:szCs w:val="20"/>
              </w:rPr>
              <w:t>907</w:t>
            </w:r>
          </w:p>
        </w:tc>
        <w:tc>
          <w:tcPr>
            <w:tcW w:w="1160" w:type="pct"/>
            <w:vAlign w:val="center"/>
          </w:tcPr>
          <w:p w14:paraId="0D2CE177" w14:textId="77777777" w:rsidR="001C1D40" w:rsidRPr="001C1D40" w:rsidRDefault="001C1D40" w:rsidP="001C1D40">
            <w:pPr>
              <w:pStyle w:val="standard"/>
              <w:spacing w:before="0" w:beforeAutospacing="0" w:after="0" w:afterAutospacing="0"/>
              <w:jc w:val="center"/>
              <w:rPr>
                <w:rFonts w:eastAsiaTheme="minorHAnsi"/>
                <w:kern w:val="2"/>
                <w:sz w:val="20"/>
                <w:szCs w:val="20"/>
                <w:lang w:eastAsia="en-US"/>
                <w14:ligatures w14:val="standardContextual"/>
              </w:rPr>
            </w:pPr>
            <w:r w:rsidRPr="001C1D40">
              <w:rPr>
                <w:color w:val="000000"/>
                <w:sz w:val="20"/>
                <w:szCs w:val="20"/>
              </w:rPr>
              <w:t>R$ 17.779.747,01</w:t>
            </w:r>
          </w:p>
        </w:tc>
        <w:tc>
          <w:tcPr>
            <w:tcW w:w="1157" w:type="pct"/>
            <w:vAlign w:val="center"/>
          </w:tcPr>
          <w:p w14:paraId="0DD24423" w14:textId="7598E38A" w:rsidR="001C1D40" w:rsidRPr="001C1D40" w:rsidRDefault="001C1D40" w:rsidP="001C1D40">
            <w:pPr>
              <w:pStyle w:val="standard"/>
              <w:spacing w:before="0" w:beforeAutospacing="0" w:after="0" w:afterAutospacing="0"/>
              <w:jc w:val="center"/>
              <w:rPr>
                <w:rFonts w:eastAsiaTheme="minorHAnsi"/>
                <w:kern w:val="2"/>
                <w:sz w:val="20"/>
                <w:szCs w:val="20"/>
                <w:lang w:eastAsia="en-US"/>
                <w14:ligatures w14:val="standardContextual"/>
              </w:rPr>
            </w:pPr>
            <w:r w:rsidRPr="001C1D40">
              <w:rPr>
                <w:color w:val="000000"/>
                <w:sz w:val="20"/>
                <w:szCs w:val="20"/>
              </w:rPr>
              <w:t>R$ 2.637,28</w:t>
            </w:r>
          </w:p>
        </w:tc>
        <w:tc>
          <w:tcPr>
            <w:tcW w:w="638" w:type="pct"/>
            <w:vAlign w:val="center"/>
          </w:tcPr>
          <w:p w14:paraId="568CA524" w14:textId="091E56BB"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35,45</w:t>
            </w:r>
          </w:p>
        </w:tc>
        <w:tc>
          <w:tcPr>
            <w:tcW w:w="779" w:type="pct"/>
            <w:vAlign w:val="center"/>
          </w:tcPr>
          <w:p w14:paraId="6CA83948" w14:textId="3F848819"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0,63</w:t>
            </w:r>
          </w:p>
        </w:tc>
      </w:tr>
      <w:tr w:rsidR="001C1D40" w:rsidRPr="00412BF7" w14:paraId="2997B388" w14:textId="77777777" w:rsidTr="001C1D40">
        <w:trPr>
          <w:trHeight w:val="396"/>
          <w:jc w:val="center"/>
        </w:trPr>
        <w:tc>
          <w:tcPr>
            <w:tcW w:w="546" w:type="pct"/>
            <w:vAlign w:val="center"/>
          </w:tcPr>
          <w:p w14:paraId="00F95FCC" w14:textId="77777777" w:rsidR="001C1D40" w:rsidRPr="00E7316A" w:rsidRDefault="001C1D40" w:rsidP="001C1D40">
            <w:pPr>
              <w:pStyle w:val="standard"/>
              <w:spacing w:before="0" w:beforeAutospacing="0" w:after="0" w:afterAutospacing="0"/>
              <w:jc w:val="center"/>
              <w:rPr>
                <w:rFonts w:eastAsiaTheme="minorHAnsi"/>
                <w:b/>
                <w:bCs/>
                <w:kern w:val="2"/>
                <w:sz w:val="20"/>
                <w:szCs w:val="20"/>
                <w:lang w:eastAsia="en-US"/>
                <w14:ligatures w14:val="standardContextual"/>
              </w:rPr>
            </w:pPr>
            <w:r w:rsidRPr="00E7316A">
              <w:rPr>
                <w:rFonts w:eastAsiaTheme="minorHAnsi"/>
                <w:b/>
                <w:bCs/>
                <w:kern w:val="2"/>
                <w:sz w:val="20"/>
                <w:szCs w:val="20"/>
                <w:lang w:eastAsia="en-US"/>
                <w14:ligatures w14:val="standardContextual"/>
              </w:rPr>
              <w:t>Máximo</w:t>
            </w:r>
          </w:p>
        </w:tc>
        <w:tc>
          <w:tcPr>
            <w:tcW w:w="720" w:type="pct"/>
            <w:vAlign w:val="center"/>
          </w:tcPr>
          <w:p w14:paraId="79DCCC67" w14:textId="77777777" w:rsidR="001C1D40" w:rsidRPr="001C1D40" w:rsidRDefault="001C1D40" w:rsidP="001C1D40">
            <w:pPr>
              <w:pStyle w:val="standard"/>
              <w:spacing w:before="0" w:beforeAutospacing="0" w:after="0" w:afterAutospacing="0"/>
              <w:jc w:val="center"/>
              <w:rPr>
                <w:rFonts w:eastAsiaTheme="minorHAnsi"/>
                <w:kern w:val="2"/>
                <w:sz w:val="20"/>
                <w:szCs w:val="20"/>
                <w:lang w:eastAsia="en-US"/>
                <w14:ligatures w14:val="standardContextual"/>
              </w:rPr>
            </w:pPr>
            <w:r w:rsidRPr="001C1D40">
              <w:rPr>
                <w:color w:val="000000"/>
                <w:sz w:val="20"/>
                <w:szCs w:val="20"/>
              </w:rPr>
              <w:t>123.082</w:t>
            </w:r>
          </w:p>
        </w:tc>
        <w:tc>
          <w:tcPr>
            <w:tcW w:w="1160" w:type="pct"/>
            <w:vAlign w:val="center"/>
          </w:tcPr>
          <w:p w14:paraId="269A8D92" w14:textId="77777777" w:rsidR="001C1D40" w:rsidRPr="001C1D40" w:rsidRDefault="001C1D40" w:rsidP="001C1D40">
            <w:pPr>
              <w:pStyle w:val="standard"/>
              <w:spacing w:before="0" w:beforeAutospacing="0" w:after="0" w:afterAutospacing="0"/>
              <w:jc w:val="center"/>
              <w:rPr>
                <w:rFonts w:eastAsiaTheme="minorHAnsi"/>
                <w:kern w:val="2"/>
                <w:sz w:val="20"/>
                <w:szCs w:val="20"/>
                <w:lang w:eastAsia="en-US"/>
                <w14:ligatures w14:val="standardContextual"/>
              </w:rPr>
            </w:pPr>
            <w:r w:rsidRPr="001C1D40">
              <w:rPr>
                <w:color w:val="000000"/>
                <w:sz w:val="20"/>
                <w:szCs w:val="20"/>
              </w:rPr>
              <w:t>R$ 439.321.071,32</w:t>
            </w:r>
          </w:p>
        </w:tc>
        <w:tc>
          <w:tcPr>
            <w:tcW w:w="1157" w:type="pct"/>
            <w:vAlign w:val="center"/>
          </w:tcPr>
          <w:p w14:paraId="1235ECB0" w14:textId="152A3BD3" w:rsidR="001C1D40" w:rsidRPr="001C1D40" w:rsidRDefault="001C1D40" w:rsidP="001C1D40">
            <w:pPr>
              <w:pStyle w:val="standard"/>
              <w:spacing w:before="0" w:beforeAutospacing="0" w:after="0" w:afterAutospacing="0"/>
              <w:jc w:val="center"/>
              <w:rPr>
                <w:rFonts w:eastAsiaTheme="minorHAnsi"/>
                <w:kern w:val="2"/>
                <w:sz w:val="20"/>
                <w:szCs w:val="20"/>
                <w:lang w:eastAsia="en-US"/>
                <w14:ligatures w14:val="standardContextual"/>
              </w:rPr>
            </w:pPr>
            <w:r w:rsidRPr="001C1D40">
              <w:rPr>
                <w:color w:val="000000"/>
                <w:sz w:val="20"/>
                <w:szCs w:val="20"/>
              </w:rPr>
              <w:t>R$ 19.602,81</w:t>
            </w:r>
          </w:p>
        </w:tc>
        <w:tc>
          <w:tcPr>
            <w:tcW w:w="638" w:type="pct"/>
            <w:vAlign w:val="center"/>
          </w:tcPr>
          <w:p w14:paraId="39C5DCD3" w14:textId="60C98CBE"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61,84</w:t>
            </w:r>
          </w:p>
        </w:tc>
        <w:tc>
          <w:tcPr>
            <w:tcW w:w="779" w:type="pct"/>
            <w:vAlign w:val="center"/>
          </w:tcPr>
          <w:p w14:paraId="76B57007" w14:textId="5C870878" w:rsidR="001C1D40" w:rsidRPr="001C1D40" w:rsidRDefault="001C1D40" w:rsidP="001C1D40">
            <w:pPr>
              <w:jc w:val="center"/>
              <w:rPr>
                <w:rFonts w:ascii="Times New Roman" w:hAnsi="Times New Roman" w:cs="Times New Roman"/>
                <w:color w:val="000000"/>
                <w:sz w:val="20"/>
                <w:szCs w:val="20"/>
              </w:rPr>
            </w:pPr>
            <w:r w:rsidRPr="001C1D40">
              <w:rPr>
                <w:rFonts w:ascii="Times New Roman" w:hAnsi="Times New Roman" w:cs="Times New Roman"/>
                <w:color w:val="000000"/>
                <w:sz w:val="20"/>
                <w:szCs w:val="20"/>
              </w:rPr>
              <w:t>1,00</w:t>
            </w:r>
          </w:p>
        </w:tc>
      </w:tr>
    </w:tbl>
    <w:p w14:paraId="79B47F09" w14:textId="77777777" w:rsidR="00580DEF" w:rsidRDefault="00580DEF" w:rsidP="00805BF7">
      <w:pPr>
        <w:pStyle w:val="standard"/>
        <w:spacing w:before="0" w:beforeAutospacing="0" w:after="120" w:afterAutospacing="0" w:line="360" w:lineRule="auto"/>
        <w:ind w:right="-1" w:firstLine="708"/>
        <w:jc w:val="both"/>
        <w:rPr>
          <w:rFonts w:eastAsiaTheme="minorHAnsi"/>
          <w:kern w:val="2"/>
          <w:lang w:eastAsia="en-US"/>
          <w14:ligatures w14:val="standardContextual"/>
        </w:rPr>
      </w:pPr>
    </w:p>
    <w:p w14:paraId="7A67ECAA" w14:textId="4D2E965F" w:rsidR="00805BF7" w:rsidRDefault="00805BF7" w:rsidP="00805BF7">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CE15A2">
        <w:rPr>
          <w:rFonts w:eastAsiaTheme="minorHAnsi"/>
          <w:kern w:val="2"/>
          <w:lang w:eastAsia="en-US"/>
          <w14:ligatures w14:val="standardContextual"/>
        </w:rPr>
        <w:t xml:space="preserve">A média do orçamento per capita dos municípios ineficientes foi em média, R$   </w:t>
      </w:r>
      <w:r w:rsidR="008C350F" w:rsidRPr="00CE15A2">
        <w:rPr>
          <w:rFonts w:eastAsiaTheme="minorHAnsi"/>
          <w:kern w:val="2"/>
          <w:lang w:eastAsia="en-US"/>
          <w14:ligatures w14:val="standardContextual"/>
        </w:rPr>
        <w:t>6.262,53</w:t>
      </w:r>
      <w:r w:rsidRPr="00CE15A2">
        <w:rPr>
          <w:rFonts w:eastAsiaTheme="minorHAnsi"/>
          <w:kern w:val="2"/>
          <w:lang w:eastAsia="en-US"/>
          <w14:ligatures w14:val="standardContextual"/>
        </w:rPr>
        <w:t xml:space="preserve"> R$/habitante, enquanto a dos eficientes de R$ 4.</w:t>
      </w:r>
      <w:r w:rsidR="00711CB5" w:rsidRPr="00CE15A2">
        <w:rPr>
          <w:rFonts w:eastAsiaTheme="minorHAnsi"/>
          <w:kern w:val="2"/>
          <w:lang w:eastAsia="en-US"/>
          <w14:ligatures w14:val="standardContextual"/>
        </w:rPr>
        <w:t>6</w:t>
      </w:r>
      <w:r w:rsidR="00CE15A2" w:rsidRPr="00CE15A2">
        <w:rPr>
          <w:rFonts w:eastAsiaTheme="minorHAnsi"/>
          <w:kern w:val="2"/>
          <w:lang w:eastAsia="en-US"/>
          <w14:ligatures w14:val="standardContextual"/>
        </w:rPr>
        <w:t>55,</w:t>
      </w:r>
      <w:proofErr w:type="gramStart"/>
      <w:r w:rsidR="00CE15A2" w:rsidRPr="00CE15A2">
        <w:rPr>
          <w:rFonts w:eastAsiaTheme="minorHAnsi"/>
          <w:kern w:val="2"/>
          <w:lang w:eastAsia="en-US"/>
          <w14:ligatures w14:val="standardContextual"/>
        </w:rPr>
        <w:t>98</w:t>
      </w:r>
      <w:r w:rsidRPr="00CE15A2">
        <w:rPr>
          <w:rFonts w:eastAsiaTheme="minorHAnsi"/>
          <w:kern w:val="2"/>
          <w:lang w:eastAsia="en-US"/>
          <w14:ligatures w14:val="standardContextual"/>
        </w:rPr>
        <w:t xml:space="preserve">  $</w:t>
      </w:r>
      <w:proofErr w:type="gramEnd"/>
      <w:r w:rsidRPr="00CE15A2">
        <w:rPr>
          <w:rFonts w:eastAsiaTheme="minorHAnsi"/>
          <w:kern w:val="2"/>
          <w:lang w:eastAsia="en-US"/>
          <w14:ligatures w14:val="standardContextual"/>
        </w:rPr>
        <w:t>/habitante. Em relação a nota média dos ODS, não se verificou grande diferença entre eficientes e ineficientes, sendo este valor igual a</w:t>
      </w:r>
      <w:r w:rsidR="00CE15A2" w:rsidRPr="00CE15A2">
        <w:rPr>
          <w:rFonts w:eastAsiaTheme="minorHAnsi"/>
          <w:kern w:val="2"/>
          <w:lang w:eastAsia="en-US"/>
          <w14:ligatures w14:val="standardContextual"/>
        </w:rPr>
        <w:t xml:space="preserve"> 48,89</w:t>
      </w:r>
      <w:r w:rsidRPr="00CE15A2">
        <w:rPr>
          <w:rFonts w:eastAsiaTheme="minorHAnsi"/>
          <w:kern w:val="2"/>
          <w:lang w:eastAsia="en-US"/>
          <w14:ligatures w14:val="standardContextual"/>
        </w:rPr>
        <w:t xml:space="preserve"> e </w:t>
      </w:r>
      <w:r w:rsidR="00CE15A2" w:rsidRPr="00CE15A2">
        <w:rPr>
          <w:rFonts w:eastAsiaTheme="minorHAnsi"/>
          <w:kern w:val="2"/>
          <w:lang w:eastAsia="en-US"/>
          <w14:ligatures w14:val="standardContextual"/>
        </w:rPr>
        <w:t xml:space="preserve">49,16 </w:t>
      </w:r>
      <w:r w:rsidRPr="00CE15A2">
        <w:rPr>
          <w:rFonts w:eastAsiaTheme="minorHAnsi"/>
          <w:kern w:val="2"/>
          <w:lang w:eastAsia="en-US"/>
          <w14:ligatures w14:val="standardContextual"/>
        </w:rPr>
        <w:t xml:space="preserve">respectivamente. </w:t>
      </w:r>
      <w:r w:rsidR="00CA72F3" w:rsidRPr="00CE15A2">
        <w:rPr>
          <w:rFonts w:eastAsiaTheme="minorHAnsi"/>
          <w:kern w:val="2"/>
          <w:lang w:eastAsia="en-US"/>
          <w14:ligatures w14:val="standardContextual"/>
        </w:rPr>
        <w:t>A</w:t>
      </w:r>
      <w:r w:rsidRPr="00CE15A2">
        <w:rPr>
          <w:rFonts w:eastAsiaTheme="minorHAnsi"/>
          <w:kern w:val="2"/>
          <w:lang w:eastAsia="en-US"/>
          <w14:ligatures w14:val="standardContextual"/>
        </w:rPr>
        <w:t xml:space="preserve"> ineficiência </w:t>
      </w:r>
      <w:r w:rsidR="00CA72F3" w:rsidRPr="00CE15A2">
        <w:rPr>
          <w:rFonts w:eastAsiaTheme="minorHAnsi"/>
          <w:kern w:val="2"/>
          <w:lang w:eastAsia="en-US"/>
          <w14:ligatures w14:val="standardContextual"/>
        </w:rPr>
        <w:t xml:space="preserve">pode ser </w:t>
      </w:r>
      <w:r w:rsidRPr="00CE15A2">
        <w:rPr>
          <w:rFonts w:eastAsiaTheme="minorHAnsi"/>
          <w:kern w:val="2"/>
          <w:lang w:eastAsia="en-US"/>
          <w14:ligatures w14:val="standardContextual"/>
        </w:rPr>
        <w:t xml:space="preserve">explicada principalmente devido ao orçamento </w:t>
      </w:r>
      <w:r w:rsidR="00CE15A2" w:rsidRPr="00CE15A2">
        <w:rPr>
          <w:rFonts w:eastAsiaTheme="minorHAnsi"/>
          <w:kern w:val="2"/>
          <w:lang w:eastAsia="en-US"/>
          <w14:ligatures w14:val="standardContextual"/>
        </w:rPr>
        <w:t>34,5</w:t>
      </w:r>
      <w:r w:rsidRPr="00CE15A2">
        <w:rPr>
          <w:rFonts w:eastAsiaTheme="minorHAnsi"/>
          <w:kern w:val="2"/>
          <w:lang w:eastAsia="en-US"/>
          <w14:ligatures w14:val="standardContextual"/>
        </w:rPr>
        <w:t xml:space="preserve">% superior aos municípios considerados eficientes, e esse aumento de recursos não refletir em melhoria proporcional </w:t>
      </w:r>
      <w:r w:rsidR="00CE15A2" w:rsidRPr="00CE15A2">
        <w:rPr>
          <w:rFonts w:eastAsiaTheme="minorHAnsi"/>
          <w:kern w:val="2"/>
          <w:lang w:eastAsia="en-US"/>
          <w14:ligatures w14:val="standardContextual"/>
        </w:rPr>
        <w:t xml:space="preserve">(0,55%) </w:t>
      </w:r>
      <w:r w:rsidRPr="00CE15A2">
        <w:rPr>
          <w:rFonts w:eastAsiaTheme="minorHAnsi"/>
          <w:kern w:val="2"/>
          <w:lang w:eastAsia="en-US"/>
          <w14:ligatures w14:val="standardContextual"/>
        </w:rPr>
        <w:t>nos ODS desses municípios.</w:t>
      </w:r>
      <w:r>
        <w:rPr>
          <w:rFonts w:eastAsiaTheme="minorHAnsi"/>
          <w:kern w:val="2"/>
          <w:lang w:eastAsia="en-US"/>
          <w14:ligatures w14:val="standardContextual"/>
        </w:rPr>
        <w:t xml:space="preserve">      </w:t>
      </w:r>
    </w:p>
    <w:p w14:paraId="7FEF3CDA" w14:textId="2FCDECB0" w:rsidR="00805BF7" w:rsidRDefault="00805BF7" w:rsidP="00805BF7">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CE15A2">
        <w:rPr>
          <w:rFonts w:eastAsiaTheme="minorHAnsi"/>
          <w:kern w:val="2"/>
          <w:lang w:eastAsia="en-US"/>
          <w14:ligatures w14:val="standardContextual"/>
        </w:rPr>
        <w:t xml:space="preserve">A Figura </w:t>
      </w:r>
      <w:r w:rsidR="00711CB5" w:rsidRPr="00CE15A2">
        <w:rPr>
          <w:rFonts w:eastAsiaTheme="minorHAnsi"/>
          <w:kern w:val="2"/>
          <w:lang w:eastAsia="en-US"/>
          <w14:ligatures w14:val="standardContextual"/>
        </w:rPr>
        <w:t>4</w:t>
      </w:r>
      <w:r w:rsidRPr="00CE15A2">
        <w:rPr>
          <w:rFonts w:eastAsiaTheme="minorHAnsi"/>
          <w:kern w:val="2"/>
          <w:lang w:eastAsia="en-US"/>
          <w14:ligatures w14:val="standardContextual"/>
        </w:rPr>
        <w:t xml:space="preserve"> apresenta o histograma dos scores de eficiência dos </w:t>
      </w:r>
      <w:r w:rsidR="00CE15A2" w:rsidRPr="00CE15A2">
        <w:rPr>
          <w:rFonts w:eastAsiaTheme="minorHAnsi"/>
          <w:kern w:val="2"/>
          <w:lang w:eastAsia="en-US"/>
          <w14:ligatures w14:val="standardContextual"/>
        </w:rPr>
        <w:t>74</w:t>
      </w:r>
      <w:r w:rsidRPr="00CE15A2">
        <w:rPr>
          <w:rFonts w:eastAsiaTheme="minorHAnsi"/>
          <w:kern w:val="2"/>
          <w:lang w:eastAsia="en-US"/>
          <w14:ligatures w14:val="standardContextual"/>
        </w:rPr>
        <w:t xml:space="preserve"> municípios considerados ineficientes, bem como suas principais estatísticas. Para estes municípios, o valor médio da ineficiência foi de aproximadamente </w:t>
      </w:r>
      <w:r w:rsidR="00CE15A2" w:rsidRPr="00CE15A2">
        <w:rPr>
          <w:rFonts w:eastAsiaTheme="minorHAnsi"/>
          <w:kern w:val="2"/>
          <w:lang w:eastAsia="en-US"/>
          <w14:ligatures w14:val="standardContextual"/>
        </w:rPr>
        <w:t>0,883</w:t>
      </w:r>
      <w:r w:rsidRPr="00CE15A2">
        <w:rPr>
          <w:rFonts w:eastAsiaTheme="minorHAnsi"/>
          <w:kern w:val="2"/>
          <w:lang w:eastAsia="en-US"/>
          <w14:ligatures w14:val="standardContextual"/>
        </w:rPr>
        <w:t xml:space="preserve">, com valor mínimo de </w:t>
      </w:r>
      <w:r w:rsidR="00CE15A2" w:rsidRPr="00CE15A2">
        <w:rPr>
          <w:rFonts w:eastAsiaTheme="minorHAnsi"/>
          <w:kern w:val="2"/>
          <w:lang w:eastAsia="en-US"/>
          <w14:ligatures w14:val="standardContextual"/>
        </w:rPr>
        <w:t>0,625</w:t>
      </w:r>
      <w:r w:rsidRPr="00CE15A2">
        <w:rPr>
          <w:rFonts w:eastAsiaTheme="minorHAnsi"/>
          <w:kern w:val="2"/>
          <w:lang w:eastAsia="en-US"/>
          <w14:ligatures w14:val="standardContextual"/>
        </w:rPr>
        <w:t xml:space="preserve"> e máximo de 0,999. Considerando o modelo CCR, há em média uma necessidade de aumento de aproximadamente </w:t>
      </w:r>
      <w:r w:rsidR="00CE15A2" w:rsidRPr="00CE15A2">
        <w:rPr>
          <w:rFonts w:eastAsiaTheme="minorHAnsi"/>
          <w:kern w:val="2"/>
          <w:lang w:eastAsia="en-US"/>
          <w14:ligatures w14:val="standardContextual"/>
        </w:rPr>
        <w:t>13,25</w:t>
      </w:r>
      <w:r w:rsidRPr="00CE15A2">
        <w:rPr>
          <w:rFonts w:eastAsiaTheme="minorHAnsi"/>
          <w:kern w:val="2"/>
          <w:lang w:eastAsia="en-US"/>
          <w14:ligatures w14:val="standardContextual"/>
        </w:rPr>
        <w:t xml:space="preserve">% nos ODS, ou redução média de </w:t>
      </w:r>
      <w:r w:rsidR="00CE15A2" w:rsidRPr="00CE15A2">
        <w:rPr>
          <w:rFonts w:eastAsiaTheme="minorHAnsi"/>
          <w:kern w:val="2"/>
          <w:lang w:eastAsia="en-US"/>
          <w14:ligatures w14:val="standardContextual"/>
        </w:rPr>
        <w:t>11,7</w:t>
      </w:r>
      <w:r w:rsidRPr="00CE15A2">
        <w:rPr>
          <w:rFonts w:eastAsiaTheme="minorHAnsi"/>
          <w:kern w:val="2"/>
          <w:lang w:eastAsia="en-US"/>
          <w14:ligatures w14:val="standardContextual"/>
        </w:rPr>
        <w:t>% nos orçamentos para que estes municípios possam alcançar a fronteira de eficiência.</w:t>
      </w:r>
      <w:r>
        <w:rPr>
          <w:rFonts w:eastAsiaTheme="minorHAnsi"/>
          <w:kern w:val="2"/>
          <w:lang w:eastAsia="en-US"/>
          <w14:ligatures w14:val="standardContextual"/>
        </w:rPr>
        <w:t xml:space="preserve"> </w:t>
      </w:r>
    </w:p>
    <w:p w14:paraId="577995D2" w14:textId="1877B95F" w:rsidR="00805BF7" w:rsidRPr="00655E23" w:rsidRDefault="00805BF7" w:rsidP="00805BF7">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655E23">
        <w:rPr>
          <w:rFonts w:eastAsiaTheme="minorHAnsi"/>
          <w:kern w:val="2"/>
          <w:sz w:val="20"/>
          <w:szCs w:val="20"/>
          <w:lang w:eastAsia="en-US"/>
          <w14:ligatures w14:val="standardContextual"/>
        </w:rPr>
        <w:lastRenderedPageBreak/>
        <w:t xml:space="preserve">Figura </w:t>
      </w:r>
      <w:r w:rsidR="00F82185">
        <w:rPr>
          <w:rFonts w:eastAsiaTheme="minorHAnsi"/>
          <w:kern w:val="2"/>
          <w:sz w:val="20"/>
          <w:szCs w:val="20"/>
          <w:lang w:eastAsia="en-US"/>
          <w14:ligatures w14:val="standardContextual"/>
        </w:rPr>
        <w:t>4</w:t>
      </w:r>
      <w:r w:rsidRPr="00655E23">
        <w:rPr>
          <w:rFonts w:eastAsiaTheme="minorHAnsi"/>
          <w:kern w:val="2"/>
          <w:sz w:val="20"/>
          <w:szCs w:val="20"/>
          <w:lang w:eastAsia="en-US"/>
          <w14:ligatures w14:val="standardContextual"/>
        </w:rPr>
        <w:t xml:space="preserve"> – Histograma e Principais estatísticas para </w:t>
      </w:r>
      <w:r>
        <w:rPr>
          <w:rFonts w:eastAsiaTheme="minorHAnsi"/>
          <w:kern w:val="2"/>
          <w:sz w:val="20"/>
          <w:szCs w:val="20"/>
          <w:lang w:eastAsia="en-US"/>
          <w14:ligatures w14:val="standardContextual"/>
        </w:rPr>
        <w:t xml:space="preserve">os Centros </w:t>
      </w:r>
      <w:r w:rsidR="00F82185">
        <w:rPr>
          <w:rFonts w:eastAsiaTheme="minorHAnsi"/>
          <w:kern w:val="2"/>
          <w:sz w:val="20"/>
          <w:szCs w:val="20"/>
          <w:lang w:eastAsia="en-US"/>
          <w14:ligatures w14:val="standardContextual"/>
        </w:rPr>
        <w:t>de Zona</w:t>
      </w:r>
      <w:r w:rsidRPr="00655E23">
        <w:rPr>
          <w:rFonts w:eastAsiaTheme="minorHAnsi"/>
          <w:kern w:val="2"/>
          <w:sz w:val="20"/>
          <w:szCs w:val="20"/>
          <w:lang w:eastAsia="en-US"/>
          <w14:ligatures w14:val="standardContextual"/>
        </w:rPr>
        <w:t xml:space="preserve"> Ineficientes</w:t>
      </w:r>
    </w:p>
    <w:p w14:paraId="38AFA3C0" w14:textId="20DFD4D9" w:rsidR="00805BF7" w:rsidRDefault="008A30B7" w:rsidP="00711CB5">
      <w:pPr>
        <w:pStyle w:val="standard"/>
        <w:spacing w:before="0" w:beforeAutospacing="0" w:after="120" w:afterAutospacing="0" w:line="360" w:lineRule="auto"/>
        <w:ind w:right="-1"/>
        <w:jc w:val="center"/>
        <w:rPr>
          <w:rFonts w:eastAsiaTheme="minorHAnsi"/>
          <w:b/>
          <w:bCs/>
          <w:kern w:val="2"/>
          <w:lang w:eastAsia="en-US"/>
          <w14:ligatures w14:val="standardContextual"/>
        </w:rPr>
      </w:pPr>
      <w:r w:rsidRPr="008A30B7">
        <w:rPr>
          <w:noProof/>
        </w:rPr>
        <w:drawing>
          <wp:inline distT="0" distB="0" distL="0" distR="0" wp14:anchorId="45F54BBE" wp14:editId="6AEB8059">
            <wp:extent cx="4968240" cy="2461260"/>
            <wp:effectExtent l="0" t="0" r="0" b="0"/>
            <wp:docPr id="1017797736"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97736" name="Imagem 1" descr="Gráfico, Histograma&#10;&#10;Descrição gerada automaticamente"/>
                    <pic:cNvPicPr/>
                  </pic:nvPicPr>
                  <pic:blipFill rotWithShape="1">
                    <a:blip r:embed="rId13"/>
                    <a:srcRect l="7056" t="5456" r="941" b="33772"/>
                    <a:stretch/>
                  </pic:blipFill>
                  <pic:spPr bwMode="auto">
                    <a:xfrm>
                      <a:off x="0" y="0"/>
                      <a:ext cx="4968240" cy="2461260"/>
                    </a:xfrm>
                    <a:prstGeom prst="rect">
                      <a:avLst/>
                    </a:prstGeom>
                    <a:ln>
                      <a:noFill/>
                    </a:ln>
                    <a:extLst>
                      <a:ext uri="{53640926-AAD7-44D8-BBD7-CCE9431645EC}">
                        <a14:shadowObscured xmlns:a14="http://schemas.microsoft.com/office/drawing/2010/main"/>
                      </a:ext>
                    </a:extLst>
                  </pic:spPr>
                </pic:pic>
              </a:graphicData>
            </a:graphic>
          </wp:inline>
        </w:drawing>
      </w:r>
    </w:p>
    <w:p w14:paraId="2FB7C64E" w14:textId="4F787AA3" w:rsidR="00C4081F" w:rsidRDefault="00C4081F" w:rsidP="00C4081F">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1E1373">
        <w:rPr>
          <w:rFonts w:eastAsiaTheme="minorHAnsi"/>
          <w:kern w:val="2"/>
          <w:lang w:eastAsia="en-US"/>
          <w14:ligatures w14:val="standardContextual"/>
        </w:rPr>
        <w:t xml:space="preserve">Dos </w:t>
      </w:r>
      <w:r w:rsidR="001E1373" w:rsidRPr="001E1373">
        <w:rPr>
          <w:rFonts w:eastAsiaTheme="minorHAnsi"/>
          <w:kern w:val="2"/>
          <w:lang w:eastAsia="en-US"/>
          <w14:ligatures w14:val="standardContextual"/>
        </w:rPr>
        <w:t>3</w:t>
      </w:r>
      <w:r w:rsidR="00CE15A2" w:rsidRPr="001E1373">
        <w:rPr>
          <w:rFonts w:eastAsiaTheme="minorHAnsi"/>
          <w:kern w:val="2"/>
          <w:lang w:eastAsia="en-US"/>
          <w14:ligatures w14:val="standardContextual"/>
        </w:rPr>
        <w:t>53</w:t>
      </w:r>
      <w:r w:rsidRPr="001E1373">
        <w:rPr>
          <w:rFonts w:eastAsiaTheme="minorHAnsi"/>
          <w:kern w:val="2"/>
          <w:lang w:eastAsia="en-US"/>
          <w14:ligatures w14:val="standardContextual"/>
        </w:rPr>
        <w:t xml:space="preserve"> municípios considerados eficientes, 1</w:t>
      </w:r>
      <w:r w:rsidR="001E1373" w:rsidRPr="001E1373">
        <w:rPr>
          <w:rFonts w:eastAsiaTheme="minorHAnsi"/>
          <w:kern w:val="2"/>
          <w:lang w:eastAsia="en-US"/>
          <w14:ligatures w14:val="standardContextual"/>
        </w:rPr>
        <w:t>55</w:t>
      </w:r>
      <w:r w:rsidRPr="001E1373">
        <w:rPr>
          <w:rFonts w:eastAsiaTheme="minorHAnsi"/>
          <w:kern w:val="2"/>
          <w:lang w:eastAsia="en-US"/>
          <w14:ligatures w14:val="standardContextual"/>
        </w:rPr>
        <w:t xml:space="preserve"> foram </w:t>
      </w:r>
      <w:r w:rsidRPr="001E1373">
        <w:rPr>
          <w:rFonts w:eastAsiaTheme="minorHAnsi"/>
          <w:i/>
          <w:iCs/>
          <w:kern w:val="2"/>
          <w:lang w:eastAsia="en-US"/>
          <w14:ligatures w14:val="standardContextual"/>
        </w:rPr>
        <w:t xml:space="preserve">benchmarks </w:t>
      </w:r>
      <w:r w:rsidRPr="001E1373">
        <w:rPr>
          <w:rFonts w:eastAsiaTheme="minorHAnsi"/>
          <w:kern w:val="2"/>
          <w:lang w:eastAsia="en-US"/>
          <w14:ligatures w14:val="standardContextual"/>
        </w:rPr>
        <w:t xml:space="preserve">para os municípios ineficientes. Os 10 principais benchmarks estiverem presentes como referência em aproximadamente </w:t>
      </w:r>
      <w:r w:rsidR="001E1373" w:rsidRPr="001E1373">
        <w:rPr>
          <w:rFonts w:eastAsiaTheme="minorHAnsi"/>
          <w:kern w:val="2"/>
          <w:lang w:eastAsia="en-US"/>
          <w14:ligatures w14:val="standardContextual"/>
        </w:rPr>
        <w:t>28</w:t>
      </w:r>
      <w:r w:rsidRPr="001E1373">
        <w:rPr>
          <w:rFonts w:eastAsiaTheme="minorHAnsi"/>
          <w:kern w:val="2"/>
          <w:lang w:eastAsia="en-US"/>
          <w14:ligatures w14:val="standardContextual"/>
        </w:rPr>
        <w:t>% das DMUs ineficientes.</w:t>
      </w:r>
      <w:r>
        <w:rPr>
          <w:rFonts w:eastAsiaTheme="minorHAnsi"/>
          <w:kern w:val="2"/>
          <w:lang w:eastAsia="en-US"/>
          <w14:ligatures w14:val="standardContextual"/>
        </w:rPr>
        <w:t xml:space="preserve"> </w:t>
      </w:r>
    </w:p>
    <w:p w14:paraId="49572874" w14:textId="77777777" w:rsidR="00C4081F" w:rsidRPr="00805BF7" w:rsidRDefault="00C4081F" w:rsidP="00C4081F">
      <w:pPr>
        <w:pStyle w:val="standard"/>
        <w:spacing w:before="0" w:beforeAutospacing="0" w:after="120" w:afterAutospacing="0" w:line="360" w:lineRule="auto"/>
        <w:ind w:right="-1"/>
        <w:rPr>
          <w:rFonts w:eastAsiaTheme="minorHAnsi"/>
          <w:b/>
          <w:bCs/>
          <w:kern w:val="2"/>
          <w:lang w:eastAsia="en-US"/>
          <w14:ligatures w14:val="standardContextual"/>
        </w:rPr>
      </w:pPr>
    </w:p>
    <w:p w14:paraId="4AF8C72D" w14:textId="1283B4EB" w:rsidR="007310F0" w:rsidRDefault="007310F0" w:rsidP="007310F0">
      <w:pPr>
        <w:pStyle w:val="standard"/>
        <w:spacing w:before="0" w:beforeAutospacing="0" w:after="120" w:afterAutospacing="0" w:line="360" w:lineRule="auto"/>
        <w:ind w:right="-1"/>
        <w:jc w:val="both"/>
        <w:rPr>
          <w:rFonts w:eastAsiaTheme="minorHAnsi"/>
          <w:b/>
          <w:bCs/>
          <w:kern w:val="2"/>
          <w:lang w:eastAsia="en-US"/>
          <w14:ligatures w14:val="standardContextual"/>
        </w:rPr>
      </w:pPr>
      <w:r w:rsidRPr="00805BF7">
        <w:rPr>
          <w:rFonts w:eastAsiaTheme="minorHAnsi"/>
          <w:b/>
          <w:bCs/>
          <w:kern w:val="2"/>
          <w:lang w:eastAsia="en-US"/>
          <w14:ligatures w14:val="standardContextual"/>
        </w:rPr>
        <w:t>4.2.</w:t>
      </w:r>
      <w:r w:rsidR="00905627">
        <w:rPr>
          <w:rFonts w:eastAsiaTheme="minorHAnsi"/>
          <w:b/>
          <w:bCs/>
          <w:kern w:val="2"/>
          <w:lang w:eastAsia="en-US"/>
          <w14:ligatures w14:val="standardContextual"/>
        </w:rPr>
        <w:t>5</w:t>
      </w:r>
      <w:r w:rsidRPr="00805BF7">
        <w:rPr>
          <w:rFonts w:eastAsiaTheme="minorHAnsi"/>
          <w:b/>
          <w:bCs/>
          <w:kern w:val="2"/>
          <w:lang w:eastAsia="en-US"/>
          <w14:ligatures w14:val="standardContextual"/>
        </w:rPr>
        <w:t xml:space="preserve"> Centros </w:t>
      </w:r>
      <w:r>
        <w:rPr>
          <w:rFonts w:eastAsiaTheme="minorHAnsi"/>
          <w:b/>
          <w:bCs/>
          <w:kern w:val="2"/>
          <w:lang w:eastAsia="en-US"/>
          <w14:ligatures w14:val="standardContextual"/>
        </w:rPr>
        <w:t>Locais</w:t>
      </w:r>
    </w:p>
    <w:p w14:paraId="74DC21FD" w14:textId="560811BF" w:rsidR="007310F0" w:rsidRDefault="00E407B2" w:rsidP="007310F0">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A última hierarquia contempla o maior número de municípios brasileiros</w:t>
      </w:r>
      <w:r w:rsidR="00CF003B">
        <w:rPr>
          <w:rFonts w:eastAsiaTheme="minorHAnsi"/>
          <w:kern w:val="2"/>
          <w:lang w:eastAsia="en-US"/>
          <w14:ligatures w14:val="standardContextual"/>
        </w:rPr>
        <w:t>,</w:t>
      </w:r>
      <w:r>
        <w:rPr>
          <w:rFonts w:eastAsiaTheme="minorHAnsi"/>
          <w:kern w:val="2"/>
          <w:lang w:eastAsia="en-US"/>
          <w14:ligatures w14:val="standardContextual"/>
        </w:rPr>
        <w:t xml:space="preserve"> </w:t>
      </w:r>
      <w:r w:rsidR="00CF003B">
        <w:rPr>
          <w:rFonts w:eastAsiaTheme="minorHAnsi"/>
          <w:kern w:val="2"/>
          <w:lang w:eastAsia="en-US"/>
          <w14:ligatures w14:val="standardContextual"/>
        </w:rPr>
        <w:t>respondendo</w:t>
      </w:r>
      <w:r>
        <w:rPr>
          <w:rFonts w:eastAsiaTheme="minorHAnsi"/>
          <w:kern w:val="2"/>
          <w:lang w:eastAsia="en-US"/>
          <w14:ligatures w14:val="standardContextual"/>
        </w:rPr>
        <w:t xml:space="preserve"> por mais de 70% dos municípios analisados nesta pesquisa. Estes municípios</w:t>
      </w:r>
      <w:r w:rsidR="00CF003B">
        <w:rPr>
          <w:rFonts w:eastAsiaTheme="minorHAnsi"/>
          <w:kern w:val="2"/>
          <w:lang w:eastAsia="en-US"/>
          <w14:ligatures w14:val="standardContextual"/>
        </w:rPr>
        <w:t xml:space="preserve"> respondem pelas menores populações do país</w:t>
      </w:r>
      <w:r w:rsidR="00CA72F3">
        <w:rPr>
          <w:rFonts w:eastAsiaTheme="minorHAnsi"/>
          <w:kern w:val="2"/>
          <w:lang w:eastAsia="en-US"/>
          <w14:ligatures w14:val="standardContextual"/>
        </w:rPr>
        <w:t>,</w:t>
      </w:r>
      <w:r w:rsidR="00CF003B">
        <w:rPr>
          <w:rFonts w:eastAsiaTheme="minorHAnsi"/>
          <w:kern w:val="2"/>
          <w:lang w:eastAsia="en-US"/>
          <w14:ligatures w14:val="standardContextual"/>
        </w:rPr>
        <w:t xml:space="preserve"> com menores níveis de atividades de gestão. </w:t>
      </w:r>
      <w:r>
        <w:rPr>
          <w:rFonts w:eastAsiaTheme="minorHAnsi"/>
          <w:kern w:val="2"/>
          <w:lang w:eastAsia="en-US"/>
          <w14:ligatures w14:val="standardContextual"/>
        </w:rPr>
        <w:t xml:space="preserve"> </w:t>
      </w:r>
      <w:r w:rsidR="007310F0">
        <w:rPr>
          <w:rFonts w:eastAsiaTheme="minorHAnsi"/>
          <w:kern w:val="2"/>
          <w:lang w:eastAsia="en-US"/>
          <w14:ligatures w14:val="standardContextual"/>
        </w:rPr>
        <w:t xml:space="preserve">Dos </w:t>
      </w:r>
      <w:r w:rsidR="009467B1">
        <w:rPr>
          <w:rFonts w:eastAsiaTheme="minorHAnsi"/>
          <w:kern w:val="2"/>
          <w:lang w:eastAsia="en-US"/>
          <w14:ligatures w14:val="standardContextual"/>
        </w:rPr>
        <w:t>39</w:t>
      </w:r>
      <w:r w:rsidR="006774BB">
        <w:rPr>
          <w:rFonts w:eastAsiaTheme="minorHAnsi"/>
          <w:kern w:val="2"/>
          <w:lang w:eastAsia="en-US"/>
          <w14:ligatures w14:val="standardContextual"/>
        </w:rPr>
        <w:t>7</w:t>
      </w:r>
      <w:r w:rsidR="009467B1">
        <w:rPr>
          <w:rFonts w:eastAsiaTheme="minorHAnsi"/>
          <w:kern w:val="2"/>
          <w:lang w:eastAsia="en-US"/>
          <w14:ligatures w14:val="standardContextual"/>
        </w:rPr>
        <w:t>0</w:t>
      </w:r>
      <w:r w:rsidR="007310F0">
        <w:rPr>
          <w:rFonts w:eastAsiaTheme="minorHAnsi"/>
          <w:kern w:val="2"/>
          <w:lang w:eastAsia="en-US"/>
          <w14:ligatures w14:val="standardContextual"/>
        </w:rPr>
        <w:t xml:space="preserve"> municípios classificados como Centros </w:t>
      </w:r>
      <w:r w:rsidR="009467B1">
        <w:rPr>
          <w:rFonts w:eastAsiaTheme="minorHAnsi"/>
          <w:kern w:val="2"/>
          <w:lang w:eastAsia="en-US"/>
          <w14:ligatures w14:val="standardContextual"/>
        </w:rPr>
        <w:t>Locais</w:t>
      </w:r>
      <w:r w:rsidR="007310F0">
        <w:rPr>
          <w:rFonts w:eastAsiaTheme="minorHAnsi"/>
          <w:kern w:val="2"/>
          <w:lang w:eastAsia="en-US"/>
          <w14:ligatures w14:val="standardContextual"/>
        </w:rPr>
        <w:t xml:space="preserve">, </w:t>
      </w:r>
      <w:r w:rsidR="006774BB">
        <w:rPr>
          <w:rFonts w:eastAsiaTheme="minorHAnsi"/>
          <w:kern w:val="2"/>
          <w:lang w:eastAsia="en-US"/>
          <w14:ligatures w14:val="standardContextual"/>
        </w:rPr>
        <w:t>1578</w:t>
      </w:r>
      <w:r w:rsidR="007310F0" w:rsidRPr="002A493D">
        <w:rPr>
          <w:rFonts w:eastAsiaTheme="minorHAnsi"/>
          <w:kern w:val="2"/>
          <w:lang w:eastAsia="en-US"/>
          <w14:ligatures w14:val="standardContextual"/>
        </w:rPr>
        <w:t xml:space="preserve"> apresenta</w:t>
      </w:r>
      <w:r w:rsidR="007310F0">
        <w:rPr>
          <w:rFonts w:eastAsiaTheme="minorHAnsi"/>
          <w:kern w:val="2"/>
          <w:lang w:eastAsia="en-US"/>
          <w14:ligatures w14:val="standardContextual"/>
        </w:rPr>
        <w:t>ram</w:t>
      </w:r>
      <w:r w:rsidR="007310F0" w:rsidRPr="002A493D">
        <w:rPr>
          <w:rFonts w:eastAsiaTheme="minorHAnsi"/>
          <w:kern w:val="2"/>
          <w:lang w:eastAsia="en-US"/>
          <w14:ligatures w14:val="standardContextual"/>
        </w:rPr>
        <w:t xml:space="preserve"> </w:t>
      </w:r>
      <w:r w:rsidR="007310F0">
        <w:rPr>
          <w:rFonts w:eastAsiaTheme="minorHAnsi"/>
          <w:kern w:val="2"/>
          <w:lang w:eastAsia="en-US"/>
          <w14:ligatures w14:val="standardContextual"/>
        </w:rPr>
        <w:t>score de</w:t>
      </w:r>
      <w:r w:rsidR="007310F0" w:rsidRPr="002A493D">
        <w:rPr>
          <w:rFonts w:eastAsiaTheme="minorHAnsi"/>
          <w:kern w:val="2"/>
          <w:lang w:eastAsia="en-US"/>
          <w14:ligatures w14:val="standardContextual"/>
        </w:rPr>
        <w:t xml:space="preserve"> eficiência </w:t>
      </w:r>
      <w:r w:rsidR="007310F0">
        <w:rPr>
          <w:rFonts w:eastAsiaTheme="minorHAnsi"/>
          <w:kern w:val="2"/>
          <w:lang w:eastAsia="en-US"/>
          <w14:ligatures w14:val="standardContextual"/>
        </w:rPr>
        <w:t>igual</w:t>
      </w:r>
      <w:r w:rsidR="007310F0" w:rsidRPr="002A493D">
        <w:rPr>
          <w:rFonts w:eastAsiaTheme="minorHAnsi"/>
          <w:kern w:val="2"/>
          <w:lang w:eastAsia="en-US"/>
          <w14:ligatures w14:val="standardContextual"/>
        </w:rPr>
        <w:t xml:space="preserve"> 1</w:t>
      </w:r>
      <w:r w:rsidR="007310F0">
        <w:rPr>
          <w:rFonts w:eastAsiaTheme="minorHAnsi"/>
          <w:kern w:val="2"/>
          <w:lang w:eastAsia="en-US"/>
          <w14:ligatures w14:val="standardContextual"/>
        </w:rPr>
        <w:t xml:space="preserve"> (</w:t>
      </w:r>
      <w:r w:rsidR="006774BB">
        <w:rPr>
          <w:rFonts w:eastAsiaTheme="minorHAnsi"/>
          <w:kern w:val="2"/>
          <w:lang w:eastAsia="en-US"/>
          <w14:ligatures w14:val="standardContextual"/>
        </w:rPr>
        <w:t>39,75</w:t>
      </w:r>
      <w:r w:rsidR="007310F0">
        <w:rPr>
          <w:rFonts w:eastAsiaTheme="minorHAnsi"/>
          <w:kern w:val="2"/>
          <w:lang w:eastAsia="en-US"/>
          <w14:ligatures w14:val="standardContextual"/>
        </w:rPr>
        <w:t>% do total</w:t>
      </w:r>
      <w:r w:rsidR="00CF003B">
        <w:rPr>
          <w:rFonts w:eastAsiaTheme="minorHAnsi"/>
          <w:kern w:val="2"/>
          <w:lang w:eastAsia="en-US"/>
          <w14:ligatures w14:val="standardContextual"/>
        </w:rPr>
        <w:t>)</w:t>
      </w:r>
      <w:r w:rsidR="007310F0" w:rsidRPr="002A493D">
        <w:rPr>
          <w:rFonts w:eastAsiaTheme="minorHAnsi"/>
          <w:kern w:val="2"/>
          <w:lang w:eastAsia="en-US"/>
          <w14:ligatures w14:val="standardContextual"/>
        </w:rPr>
        <w:t xml:space="preserve">. </w:t>
      </w:r>
      <w:r w:rsidR="00CF003B">
        <w:rPr>
          <w:rFonts w:eastAsiaTheme="minorHAnsi"/>
          <w:kern w:val="2"/>
          <w:lang w:eastAsia="en-US"/>
          <w14:ligatures w14:val="standardContextual"/>
        </w:rPr>
        <w:t xml:space="preserve">É o menor número de municípios considerados eficientes entre todas as hierarquias. Do total de </w:t>
      </w:r>
      <w:proofErr w:type="gramStart"/>
      <w:r w:rsidR="00CF003B">
        <w:rPr>
          <w:rFonts w:eastAsiaTheme="minorHAnsi"/>
          <w:kern w:val="2"/>
          <w:lang w:eastAsia="en-US"/>
          <w14:ligatures w14:val="standardContextual"/>
        </w:rPr>
        <w:t xml:space="preserve">municípios, </w:t>
      </w:r>
      <w:r w:rsidR="007310F0" w:rsidRPr="00E407B2">
        <w:rPr>
          <w:rFonts w:eastAsiaTheme="minorHAnsi"/>
          <w:kern w:val="2"/>
          <w:lang w:eastAsia="en-US"/>
          <w14:ligatures w14:val="standardContextual"/>
        </w:rPr>
        <w:t xml:space="preserve"> </w:t>
      </w:r>
      <w:r w:rsidR="006774BB">
        <w:rPr>
          <w:rFonts w:eastAsiaTheme="minorHAnsi"/>
          <w:kern w:val="2"/>
          <w:lang w:eastAsia="en-US"/>
          <w14:ligatures w14:val="standardContextual"/>
        </w:rPr>
        <w:t>2392</w:t>
      </w:r>
      <w:proofErr w:type="gramEnd"/>
      <w:r w:rsidR="00CF003B">
        <w:rPr>
          <w:rFonts w:eastAsiaTheme="minorHAnsi"/>
          <w:kern w:val="2"/>
          <w:lang w:eastAsia="en-US"/>
          <w14:ligatures w14:val="standardContextual"/>
        </w:rPr>
        <w:t xml:space="preserve"> </w:t>
      </w:r>
      <w:r w:rsidR="007310F0">
        <w:rPr>
          <w:rFonts w:eastAsiaTheme="minorHAnsi"/>
          <w:kern w:val="2"/>
          <w:lang w:eastAsia="en-US"/>
          <w14:ligatures w14:val="standardContextual"/>
        </w:rPr>
        <w:t xml:space="preserve"> </w:t>
      </w:r>
      <w:r w:rsidR="00CF003B">
        <w:rPr>
          <w:rFonts w:eastAsiaTheme="minorHAnsi"/>
          <w:kern w:val="2"/>
          <w:lang w:eastAsia="en-US"/>
          <w14:ligatures w14:val="standardContextual"/>
        </w:rPr>
        <w:t>(</w:t>
      </w:r>
      <w:r w:rsidR="006774BB">
        <w:rPr>
          <w:rFonts w:eastAsiaTheme="minorHAnsi"/>
          <w:kern w:val="2"/>
          <w:lang w:eastAsia="en-US"/>
          <w14:ligatures w14:val="standardContextual"/>
        </w:rPr>
        <w:t>60,25</w:t>
      </w:r>
      <w:r w:rsidR="00CF003B">
        <w:rPr>
          <w:rFonts w:eastAsiaTheme="minorHAnsi"/>
          <w:kern w:val="2"/>
          <w:lang w:eastAsia="en-US"/>
          <w14:ligatures w14:val="standardContextual"/>
        </w:rPr>
        <w:t xml:space="preserve">% do total) foram considerados ineficientes, </w:t>
      </w:r>
      <w:r w:rsidR="007310F0">
        <w:rPr>
          <w:rFonts w:eastAsiaTheme="minorHAnsi"/>
          <w:kern w:val="2"/>
          <w:lang w:eastAsia="en-US"/>
          <w14:ligatures w14:val="standardContextual"/>
        </w:rPr>
        <w:t>alcanç</w:t>
      </w:r>
      <w:r w:rsidR="00CF003B">
        <w:rPr>
          <w:rFonts w:eastAsiaTheme="minorHAnsi"/>
          <w:kern w:val="2"/>
          <w:lang w:eastAsia="en-US"/>
          <w14:ligatures w14:val="standardContextual"/>
        </w:rPr>
        <w:t>ando</w:t>
      </w:r>
      <w:r w:rsidR="007310F0">
        <w:rPr>
          <w:rFonts w:eastAsiaTheme="minorHAnsi"/>
          <w:kern w:val="2"/>
          <w:lang w:eastAsia="en-US"/>
          <w14:ligatures w14:val="standardContextual"/>
        </w:rPr>
        <w:t xml:space="preserve"> scores de</w:t>
      </w:r>
      <w:r w:rsidR="007310F0" w:rsidRPr="000C10DD">
        <w:rPr>
          <w:rFonts w:eastAsiaTheme="minorHAnsi"/>
          <w:kern w:val="2"/>
          <w:lang w:eastAsia="en-US"/>
          <w14:ligatures w14:val="standardContextual"/>
        </w:rPr>
        <w:t xml:space="preserve"> eficiência menor</w:t>
      </w:r>
      <w:r w:rsidR="007310F0">
        <w:rPr>
          <w:rFonts w:eastAsiaTheme="minorHAnsi"/>
          <w:kern w:val="2"/>
          <w:lang w:eastAsia="en-US"/>
          <w14:ligatures w14:val="standardContextual"/>
        </w:rPr>
        <w:t>es</w:t>
      </w:r>
      <w:r w:rsidR="007310F0" w:rsidRPr="000C10DD">
        <w:rPr>
          <w:rFonts w:eastAsiaTheme="minorHAnsi"/>
          <w:kern w:val="2"/>
          <w:lang w:eastAsia="en-US"/>
          <w14:ligatures w14:val="standardContextual"/>
        </w:rPr>
        <w:t xml:space="preserve"> que 1</w:t>
      </w:r>
      <w:r w:rsidR="00CF003B">
        <w:rPr>
          <w:rFonts w:eastAsiaTheme="minorHAnsi"/>
          <w:kern w:val="2"/>
          <w:lang w:eastAsia="en-US"/>
          <w14:ligatures w14:val="standardContextual"/>
        </w:rPr>
        <w:t>, maior percentual entre as hierarquias</w:t>
      </w:r>
      <w:r w:rsidR="007310F0" w:rsidRPr="000C10DD">
        <w:rPr>
          <w:rFonts w:eastAsiaTheme="minorHAnsi"/>
          <w:kern w:val="2"/>
          <w:lang w:eastAsia="en-US"/>
          <w14:ligatures w14:val="standardContextual"/>
        </w:rPr>
        <w:t xml:space="preserve">. </w:t>
      </w:r>
    </w:p>
    <w:p w14:paraId="60A22DEB" w14:textId="519A09C2" w:rsidR="00E407B2" w:rsidRDefault="00E407B2" w:rsidP="00E407B2">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A Tabela 11 apresenta um panorama dos 39</w:t>
      </w:r>
      <w:r w:rsidR="006774BB">
        <w:rPr>
          <w:rFonts w:eastAsiaTheme="minorHAnsi"/>
          <w:kern w:val="2"/>
          <w:lang w:eastAsia="en-US"/>
          <w14:ligatures w14:val="standardContextual"/>
        </w:rPr>
        <w:t>7</w:t>
      </w:r>
      <w:r>
        <w:rPr>
          <w:rFonts w:eastAsiaTheme="minorHAnsi"/>
          <w:kern w:val="2"/>
          <w:lang w:eastAsia="en-US"/>
          <w14:ligatures w14:val="standardContextual"/>
        </w:rPr>
        <w:t>0 municípios classificados como Centros de Zona.</w:t>
      </w:r>
    </w:p>
    <w:p w14:paraId="48C87A18" w14:textId="05999634" w:rsidR="00E407B2" w:rsidRPr="00F1059A" w:rsidRDefault="00E407B2" w:rsidP="00E407B2">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F1059A">
        <w:rPr>
          <w:rFonts w:eastAsiaTheme="minorHAnsi"/>
          <w:kern w:val="2"/>
          <w:sz w:val="20"/>
          <w:szCs w:val="20"/>
          <w:lang w:eastAsia="en-US"/>
          <w14:ligatures w14:val="standardContextual"/>
        </w:rPr>
        <w:t xml:space="preserve">Tabela </w:t>
      </w:r>
      <w:r>
        <w:rPr>
          <w:rFonts w:eastAsiaTheme="minorHAnsi"/>
          <w:kern w:val="2"/>
          <w:sz w:val="20"/>
          <w:szCs w:val="20"/>
          <w:lang w:eastAsia="en-US"/>
          <w14:ligatures w14:val="standardContextual"/>
        </w:rPr>
        <w:t>1</w:t>
      </w:r>
      <w:r w:rsidR="00740195">
        <w:rPr>
          <w:rFonts w:eastAsiaTheme="minorHAnsi"/>
          <w:kern w:val="2"/>
          <w:sz w:val="20"/>
          <w:szCs w:val="20"/>
          <w:lang w:eastAsia="en-US"/>
          <w14:ligatures w14:val="standardContextual"/>
        </w:rPr>
        <w:t>1</w:t>
      </w:r>
      <w:r w:rsidRPr="00F1059A">
        <w:rPr>
          <w:rFonts w:eastAsiaTheme="minorHAnsi"/>
          <w:kern w:val="2"/>
          <w:sz w:val="20"/>
          <w:szCs w:val="20"/>
          <w:lang w:eastAsia="en-US"/>
          <w14:ligatures w14:val="standardContextual"/>
        </w:rPr>
        <w:t xml:space="preserve"> – Dados </w:t>
      </w:r>
      <w:r>
        <w:rPr>
          <w:rFonts w:eastAsiaTheme="minorHAnsi"/>
          <w:kern w:val="2"/>
          <w:sz w:val="20"/>
          <w:szCs w:val="20"/>
          <w:lang w:eastAsia="en-US"/>
          <w14:ligatures w14:val="standardContextual"/>
        </w:rPr>
        <w:t xml:space="preserve">gerais </w:t>
      </w:r>
      <w:r w:rsidRPr="00F1059A">
        <w:rPr>
          <w:rFonts w:eastAsiaTheme="minorHAnsi"/>
          <w:kern w:val="2"/>
          <w:sz w:val="20"/>
          <w:szCs w:val="20"/>
          <w:lang w:eastAsia="en-US"/>
          <w14:ligatures w14:val="standardContextual"/>
        </w:rPr>
        <w:t xml:space="preserve">das cidades classificadas como </w:t>
      </w:r>
      <w:r>
        <w:rPr>
          <w:rFonts w:eastAsiaTheme="minorHAnsi"/>
          <w:kern w:val="2"/>
          <w:sz w:val="20"/>
          <w:szCs w:val="20"/>
          <w:lang w:eastAsia="en-US"/>
          <w14:ligatures w14:val="standardContextual"/>
        </w:rPr>
        <w:t xml:space="preserve">Centros </w:t>
      </w:r>
      <w:r w:rsidR="00740195">
        <w:rPr>
          <w:rFonts w:eastAsiaTheme="minorHAnsi"/>
          <w:kern w:val="2"/>
          <w:sz w:val="20"/>
          <w:szCs w:val="20"/>
          <w:lang w:eastAsia="en-US"/>
          <w14:ligatures w14:val="standardContextual"/>
        </w:rPr>
        <w:t>Locais</w:t>
      </w:r>
    </w:p>
    <w:tbl>
      <w:tblPr>
        <w:tblStyle w:val="Tabelacomgrade"/>
        <w:tblW w:w="5000" w:type="pct"/>
        <w:jc w:val="center"/>
        <w:tblLook w:val="04A0" w:firstRow="1" w:lastRow="0" w:firstColumn="1" w:lastColumn="0" w:noHBand="0" w:noVBand="1"/>
      </w:tblPr>
      <w:tblGrid>
        <w:gridCol w:w="927"/>
        <w:gridCol w:w="1223"/>
        <w:gridCol w:w="1971"/>
        <w:gridCol w:w="1966"/>
        <w:gridCol w:w="1084"/>
        <w:gridCol w:w="1323"/>
      </w:tblGrid>
      <w:tr w:rsidR="00E407B2" w:rsidRPr="00412BF7" w14:paraId="1522C189" w14:textId="77777777" w:rsidTr="00B150EC">
        <w:trPr>
          <w:trHeight w:val="396"/>
          <w:jc w:val="center"/>
        </w:trPr>
        <w:tc>
          <w:tcPr>
            <w:tcW w:w="546" w:type="pct"/>
          </w:tcPr>
          <w:p w14:paraId="4E00CFDF" w14:textId="77777777" w:rsidR="00E407B2" w:rsidRPr="00412BF7" w:rsidRDefault="00E407B2" w:rsidP="00B150EC">
            <w:pPr>
              <w:pStyle w:val="standard"/>
              <w:spacing w:before="0" w:beforeAutospacing="0" w:after="0" w:afterAutospacing="0"/>
              <w:jc w:val="both"/>
              <w:rPr>
                <w:rFonts w:eastAsiaTheme="minorHAnsi"/>
                <w:kern w:val="2"/>
                <w:sz w:val="20"/>
                <w:szCs w:val="20"/>
                <w:lang w:eastAsia="en-US"/>
                <w14:ligatures w14:val="standardContextual"/>
              </w:rPr>
            </w:pPr>
          </w:p>
        </w:tc>
        <w:tc>
          <w:tcPr>
            <w:tcW w:w="720" w:type="pct"/>
            <w:vAlign w:val="center"/>
          </w:tcPr>
          <w:p w14:paraId="10338019" w14:textId="77777777" w:rsidR="00E407B2" w:rsidRPr="00F1059A" w:rsidRDefault="00E407B2"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População</w:t>
            </w:r>
          </w:p>
        </w:tc>
        <w:tc>
          <w:tcPr>
            <w:tcW w:w="1160" w:type="pct"/>
            <w:vAlign w:val="center"/>
          </w:tcPr>
          <w:p w14:paraId="22C5E9A5" w14:textId="77777777" w:rsidR="00E407B2" w:rsidRPr="00F1059A" w:rsidRDefault="00E407B2"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w:t>
            </w:r>
          </w:p>
        </w:tc>
        <w:tc>
          <w:tcPr>
            <w:tcW w:w="1157" w:type="pct"/>
            <w:vAlign w:val="center"/>
          </w:tcPr>
          <w:p w14:paraId="1DA11903" w14:textId="77777777" w:rsidR="00E407B2" w:rsidRPr="00F1059A" w:rsidRDefault="00E407B2"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Orçamento per capita</w:t>
            </w:r>
          </w:p>
        </w:tc>
        <w:tc>
          <w:tcPr>
            <w:tcW w:w="638" w:type="pct"/>
            <w:vAlign w:val="center"/>
          </w:tcPr>
          <w:p w14:paraId="48495929" w14:textId="77777777" w:rsidR="00E407B2" w:rsidRPr="00F1059A" w:rsidRDefault="00E407B2"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ODS Agrupado</w:t>
            </w:r>
          </w:p>
        </w:tc>
        <w:tc>
          <w:tcPr>
            <w:tcW w:w="779" w:type="pct"/>
            <w:vAlign w:val="center"/>
          </w:tcPr>
          <w:p w14:paraId="40EE6844" w14:textId="77777777" w:rsidR="00E407B2" w:rsidRPr="00F1059A" w:rsidRDefault="00E407B2" w:rsidP="00B150EC">
            <w:pPr>
              <w:pStyle w:val="standard"/>
              <w:spacing w:before="0" w:beforeAutospacing="0" w:after="0" w:afterAutospacing="0"/>
              <w:jc w:val="center"/>
              <w:rPr>
                <w:rFonts w:eastAsiaTheme="minorHAnsi"/>
                <w:b/>
                <w:bCs/>
                <w:kern w:val="2"/>
                <w:sz w:val="20"/>
                <w:szCs w:val="20"/>
                <w:lang w:eastAsia="en-US"/>
                <w14:ligatures w14:val="standardContextual"/>
              </w:rPr>
            </w:pPr>
            <w:r w:rsidRPr="00F1059A">
              <w:rPr>
                <w:rFonts w:eastAsiaTheme="minorHAnsi"/>
                <w:b/>
                <w:bCs/>
                <w:kern w:val="2"/>
                <w:sz w:val="20"/>
                <w:szCs w:val="20"/>
                <w:lang w:eastAsia="en-US"/>
                <w14:ligatures w14:val="standardContextual"/>
              </w:rPr>
              <w:t>Eficiência</w:t>
            </w:r>
          </w:p>
        </w:tc>
      </w:tr>
      <w:tr w:rsidR="006774BB" w:rsidRPr="00412BF7" w14:paraId="5B9FB100" w14:textId="77777777" w:rsidTr="006774BB">
        <w:trPr>
          <w:trHeight w:val="396"/>
          <w:jc w:val="center"/>
        </w:trPr>
        <w:tc>
          <w:tcPr>
            <w:tcW w:w="546" w:type="pct"/>
            <w:vAlign w:val="center"/>
          </w:tcPr>
          <w:p w14:paraId="71676D86" w14:textId="77777777" w:rsidR="006774BB" w:rsidRPr="00E7316A" w:rsidRDefault="006774BB" w:rsidP="006774BB">
            <w:pPr>
              <w:pStyle w:val="standard"/>
              <w:spacing w:before="0" w:beforeAutospacing="0" w:after="0" w:afterAutospacing="0"/>
              <w:jc w:val="center"/>
              <w:rPr>
                <w:rFonts w:eastAsiaTheme="minorHAnsi"/>
                <w:b/>
                <w:bCs/>
                <w:kern w:val="2"/>
                <w:sz w:val="20"/>
                <w:szCs w:val="20"/>
                <w:lang w:eastAsia="en-US"/>
                <w14:ligatures w14:val="standardContextual"/>
              </w:rPr>
            </w:pPr>
            <w:r w:rsidRPr="00E7316A">
              <w:rPr>
                <w:rFonts w:eastAsiaTheme="minorHAnsi"/>
                <w:b/>
                <w:bCs/>
                <w:kern w:val="2"/>
                <w:sz w:val="20"/>
                <w:szCs w:val="20"/>
                <w:lang w:eastAsia="en-US"/>
                <w14:ligatures w14:val="standardContextual"/>
              </w:rPr>
              <w:t>Média</w:t>
            </w:r>
          </w:p>
        </w:tc>
        <w:tc>
          <w:tcPr>
            <w:tcW w:w="720" w:type="pct"/>
            <w:vAlign w:val="center"/>
          </w:tcPr>
          <w:p w14:paraId="27E195D5" w14:textId="72C9E96E" w:rsidR="006774BB" w:rsidRPr="00E407B2" w:rsidRDefault="006774BB" w:rsidP="006774BB">
            <w:pPr>
              <w:jc w:val="center"/>
              <w:rPr>
                <w:rFonts w:ascii="Times New Roman" w:hAnsi="Times New Roman" w:cs="Times New Roman"/>
                <w:color w:val="000000"/>
                <w:sz w:val="20"/>
                <w:szCs w:val="20"/>
              </w:rPr>
            </w:pPr>
            <w:r w:rsidRPr="00E407B2">
              <w:rPr>
                <w:rFonts w:ascii="Times New Roman" w:hAnsi="Times New Roman" w:cs="Times New Roman"/>
                <w:color w:val="000000"/>
                <w:sz w:val="20"/>
                <w:szCs w:val="20"/>
              </w:rPr>
              <w:t>11.8</w:t>
            </w:r>
            <w:r>
              <w:rPr>
                <w:rFonts w:ascii="Times New Roman" w:hAnsi="Times New Roman" w:cs="Times New Roman"/>
                <w:color w:val="000000"/>
                <w:sz w:val="20"/>
                <w:szCs w:val="20"/>
              </w:rPr>
              <w:t>49</w:t>
            </w:r>
          </w:p>
        </w:tc>
        <w:tc>
          <w:tcPr>
            <w:tcW w:w="1160" w:type="pct"/>
            <w:vAlign w:val="center"/>
          </w:tcPr>
          <w:p w14:paraId="143DD271" w14:textId="22F19840" w:rsidR="006774BB" w:rsidRPr="00E407B2"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R$ 63.404.468,06</w:t>
            </w:r>
          </w:p>
        </w:tc>
        <w:tc>
          <w:tcPr>
            <w:tcW w:w="1157" w:type="pct"/>
            <w:vAlign w:val="center"/>
          </w:tcPr>
          <w:p w14:paraId="22BEE629" w14:textId="79C0A1BA" w:rsidR="006774BB" w:rsidRPr="00E407B2"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R$ 6.454,86</w:t>
            </w:r>
          </w:p>
        </w:tc>
        <w:tc>
          <w:tcPr>
            <w:tcW w:w="638" w:type="pct"/>
            <w:vAlign w:val="center"/>
          </w:tcPr>
          <w:p w14:paraId="109073B6" w14:textId="05C1FA05" w:rsidR="006774BB" w:rsidRPr="00E407B2" w:rsidRDefault="006774BB" w:rsidP="006774BB">
            <w:pPr>
              <w:jc w:val="center"/>
              <w:rPr>
                <w:rFonts w:ascii="Times New Roman" w:hAnsi="Times New Roman" w:cs="Times New Roman"/>
                <w:color w:val="000000"/>
                <w:sz w:val="20"/>
                <w:szCs w:val="20"/>
              </w:rPr>
            </w:pPr>
            <w:r w:rsidRPr="00E407B2">
              <w:rPr>
                <w:rFonts w:ascii="Times New Roman" w:hAnsi="Times New Roman" w:cs="Times New Roman"/>
                <w:color w:val="000000"/>
                <w:sz w:val="20"/>
                <w:szCs w:val="20"/>
              </w:rPr>
              <w:t>47,89</w:t>
            </w:r>
          </w:p>
        </w:tc>
        <w:tc>
          <w:tcPr>
            <w:tcW w:w="779" w:type="pct"/>
            <w:vAlign w:val="center"/>
          </w:tcPr>
          <w:p w14:paraId="10B3C52B" w14:textId="5A4EECF4" w:rsidR="006774BB" w:rsidRPr="00E407B2"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0,857</w:t>
            </w:r>
          </w:p>
        </w:tc>
      </w:tr>
      <w:tr w:rsidR="006774BB" w:rsidRPr="00412BF7" w14:paraId="4491E5B0" w14:textId="77777777" w:rsidTr="006774BB">
        <w:trPr>
          <w:trHeight w:val="396"/>
          <w:jc w:val="center"/>
        </w:trPr>
        <w:tc>
          <w:tcPr>
            <w:tcW w:w="546" w:type="pct"/>
            <w:vAlign w:val="center"/>
          </w:tcPr>
          <w:p w14:paraId="1856378D" w14:textId="77777777" w:rsidR="006774BB" w:rsidRPr="00E7316A" w:rsidRDefault="006774BB" w:rsidP="006774BB">
            <w:pPr>
              <w:pStyle w:val="standard"/>
              <w:spacing w:before="0" w:beforeAutospacing="0" w:after="0" w:afterAutospacing="0"/>
              <w:jc w:val="center"/>
              <w:rPr>
                <w:rFonts w:eastAsiaTheme="minorHAnsi"/>
                <w:b/>
                <w:bCs/>
                <w:kern w:val="2"/>
                <w:sz w:val="20"/>
                <w:szCs w:val="20"/>
                <w:lang w:eastAsia="en-US"/>
                <w14:ligatures w14:val="standardContextual"/>
              </w:rPr>
            </w:pPr>
            <w:r w:rsidRPr="00E7316A">
              <w:rPr>
                <w:rFonts w:eastAsiaTheme="minorHAnsi"/>
                <w:b/>
                <w:bCs/>
                <w:kern w:val="2"/>
                <w:sz w:val="20"/>
                <w:szCs w:val="20"/>
                <w:lang w:eastAsia="en-US"/>
                <w14:ligatures w14:val="standardContextual"/>
              </w:rPr>
              <w:t>Mínimo</w:t>
            </w:r>
          </w:p>
        </w:tc>
        <w:tc>
          <w:tcPr>
            <w:tcW w:w="720" w:type="pct"/>
            <w:vAlign w:val="center"/>
          </w:tcPr>
          <w:p w14:paraId="3E9DDAF0" w14:textId="1595C90E" w:rsidR="006774BB" w:rsidRPr="00E407B2" w:rsidRDefault="006774BB" w:rsidP="006774BB">
            <w:pPr>
              <w:pStyle w:val="standard"/>
              <w:spacing w:before="0" w:beforeAutospacing="0" w:after="0" w:afterAutospacing="0"/>
              <w:jc w:val="center"/>
              <w:rPr>
                <w:rFonts w:eastAsiaTheme="minorHAnsi"/>
                <w:kern w:val="2"/>
                <w:sz w:val="20"/>
                <w:szCs w:val="20"/>
                <w:lang w:eastAsia="en-US"/>
                <w14:ligatures w14:val="standardContextual"/>
              </w:rPr>
            </w:pPr>
            <w:r w:rsidRPr="00E407B2">
              <w:rPr>
                <w:color w:val="000000"/>
                <w:sz w:val="20"/>
                <w:szCs w:val="20"/>
              </w:rPr>
              <w:t>833</w:t>
            </w:r>
          </w:p>
        </w:tc>
        <w:tc>
          <w:tcPr>
            <w:tcW w:w="1160" w:type="pct"/>
            <w:vAlign w:val="center"/>
          </w:tcPr>
          <w:p w14:paraId="48E5044D" w14:textId="7561AA78" w:rsidR="006774BB" w:rsidRPr="006774BB"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R$</w:t>
            </w:r>
            <w:r>
              <w:rPr>
                <w:rFonts w:ascii="Times New Roman" w:hAnsi="Times New Roman" w:cs="Times New Roman"/>
                <w:color w:val="000000"/>
                <w:sz w:val="20"/>
                <w:szCs w:val="20"/>
              </w:rPr>
              <w:t xml:space="preserve"> </w:t>
            </w:r>
            <w:r w:rsidRPr="006774BB">
              <w:rPr>
                <w:rFonts w:ascii="Times New Roman" w:hAnsi="Times New Roman" w:cs="Times New Roman"/>
                <w:color w:val="000000"/>
                <w:sz w:val="20"/>
                <w:szCs w:val="20"/>
              </w:rPr>
              <w:t>17.138.628,48</w:t>
            </w:r>
          </w:p>
        </w:tc>
        <w:tc>
          <w:tcPr>
            <w:tcW w:w="1157" w:type="pct"/>
            <w:vAlign w:val="center"/>
          </w:tcPr>
          <w:p w14:paraId="14E2D305" w14:textId="262D2BE5" w:rsidR="006774BB" w:rsidRPr="006774BB"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R$</w:t>
            </w:r>
            <w:r>
              <w:rPr>
                <w:rFonts w:ascii="Times New Roman" w:hAnsi="Times New Roman" w:cs="Times New Roman"/>
                <w:color w:val="000000"/>
                <w:sz w:val="20"/>
                <w:szCs w:val="20"/>
              </w:rPr>
              <w:t xml:space="preserve"> </w:t>
            </w:r>
            <w:r w:rsidRPr="006774BB">
              <w:rPr>
                <w:rFonts w:ascii="Times New Roman" w:hAnsi="Times New Roman" w:cs="Times New Roman"/>
                <w:color w:val="000000"/>
                <w:sz w:val="20"/>
                <w:szCs w:val="20"/>
              </w:rPr>
              <w:t>1.794,36</w:t>
            </w:r>
          </w:p>
        </w:tc>
        <w:tc>
          <w:tcPr>
            <w:tcW w:w="638" w:type="pct"/>
            <w:vAlign w:val="center"/>
          </w:tcPr>
          <w:p w14:paraId="5CC62082" w14:textId="4A1B1A41" w:rsidR="006774BB" w:rsidRPr="00E407B2" w:rsidRDefault="006774BB" w:rsidP="006774BB">
            <w:pPr>
              <w:jc w:val="center"/>
              <w:rPr>
                <w:rFonts w:ascii="Times New Roman" w:hAnsi="Times New Roman" w:cs="Times New Roman"/>
                <w:color w:val="000000"/>
                <w:sz w:val="20"/>
                <w:szCs w:val="20"/>
              </w:rPr>
            </w:pPr>
            <w:r w:rsidRPr="00E407B2">
              <w:rPr>
                <w:rFonts w:ascii="Times New Roman" w:hAnsi="Times New Roman" w:cs="Times New Roman"/>
                <w:color w:val="000000"/>
                <w:sz w:val="20"/>
                <w:szCs w:val="20"/>
              </w:rPr>
              <w:t>31,98</w:t>
            </w:r>
          </w:p>
        </w:tc>
        <w:tc>
          <w:tcPr>
            <w:tcW w:w="779" w:type="pct"/>
            <w:vAlign w:val="center"/>
          </w:tcPr>
          <w:p w14:paraId="37DA162F" w14:textId="12B2D671" w:rsidR="006774BB" w:rsidRPr="00E407B2"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0,203</w:t>
            </w:r>
          </w:p>
        </w:tc>
      </w:tr>
      <w:tr w:rsidR="006774BB" w:rsidRPr="00412BF7" w14:paraId="4731FEC1" w14:textId="77777777" w:rsidTr="006774BB">
        <w:trPr>
          <w:trHeight w:val="396"/>
          <w:jc w:val="center"/>
        </w:trPr>
        <w:tc>
          <w:tcPr>
            <w:tcW w:w="546" w:type="pct"/>
            <w:vAlign w:val="center"/>
          </w:tcPr>
          <w:p w14:paraId="2C2557E5" w14:textId="77777777" w:rsidR="006774BB" w:rsidRPr="00E7316A" w:rsidRDefault="006774BB" w:rsidP="006774BB">
            <w:pPr>
              <w:pStyle w:val="standard"/>
              <w:spacing w:before="0" w:beforeAutospacing="0" w:after="0" w:afterAutospacing="0"/>
              <w:jc w:val="center"/>
              <w:rPr>
                <w:rFonts w:eastAsiaTheme="minorHAnsi"/>
                <w:b/>
                <w:bCs/>
                <w:kern w:val="2"/>
                <w:sz w:val="20"/>
                <w:szCs w:val="20"/>
                <w:lang w:eastAsia="en-US"/>
                <w14:ligatures w14:val="standardContextual"/>
              </w:rPr>
            </w:pPr>
            <w:r w:rsidRPr="00E7316A">
              <w:rPr>
                <w:rFonts w:eastAsiaTheme="minorHAnsi"/>
                <w:b/>
                <w:bCs/>
                <w:kern w:val="2"/>
                <w:sz w:val="20"/>
                <w:szCs w:val="20"/>
                <w:lang w:eastAsia="en-US"/>
                <w14:ligatures w14:val="standardContextual"/>
              </w:rPr>
              <w:t>Máximo</w:t>
            </w:r>
          </w:p>
        </w:tc>
        <w:tc>
          <w:tcPr>
            <w:tcW w:w="720" w:type="pct"/>
            <w:vAlign w:val="center"/>
          </w:tcPr>
          <w:p w14:paraId="2FA9C68E" w14:textId="6DA22B3B" w:rsidR="006774BB" w:rsidRPr="00E407B2" w:rsidRDefault="006774BB" w:rsidP="006774BB">
            <w:pPr>
              <w:pStyle w:val="standard"/>
              <w:spacing w:before="0" w:beforeAutospacing="0" w:after="0" w:afterAutospacing="0"/>
              <w:jc w:val="center"/>
              <w:rPr>
                <w:rFonts w:eastAsiaTheme="minorHAnsi"/>
                <w:kern w:val="2"/>
                <w:sz w:val="20"/>
                <w:szCs w:val="20"/>
                <w:lang w:eastAsia="en-US"/>
                <w14:ligatures w14:val="standardContextual"/>
              </w:rPr>
            </w:pPr>
            <w:r w:rsidRPr="00E407B2">
              <w:rPr>
                <w:color w:val="000000"/>
                <w:sz w:val="20"/>
                <w:szCs w:val="20"/>
              </w:rPr>
              <w:t>134.184</w:t>
            </w:r>
          </w:p>
        </w:tc>
        <w:tc>
          <w:tcPr>
            <w:tcW w:w="1160" w:type="pct"/>
            <w:vAlign w:val="center"/>
          </w:tcPr>
          <w:p w14:paraId="1F3311AD" w14:textId="628089CF" w:rsidR="006774BB" w:rsidRPr="006774BB"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R$</w:t>
            </w:r>
            <w:r>
              <w:rPr>
                <w:rFonts w:ascii="Times New Roman" w:hAnsi="Times New Roman" w:cs="Times New Roman"/>
                <w:color w:val="000000"/>
                <w:sz w:val="20"/>
                <w:szCs w:val="20"/>
              </w:rPr>
              <w:t xml:space="preserve"> </w:t>
            </w:r>
            <w:r w:rsidRPr="006774BB">
              <w:rPr>
                <w:rFonts w:ascii="Times New Roman" w:hAnsi="Times New Roman" w:cs="Times New Roman"/>
                <w:color w:val="000000"/>
                <w:sz w:val="20"/>
                <w:szCs w:val="20"/>
              </w:rPr>
              <w:t>1.785.282.898,27</w:t>
            </w:r>
          </w:p>
        </w:tc>
        <w:tc>
          <w:tcPr>
            <w:tcW w:w="1157" w:type="pct"/>
            <w:vAlign w:val="center"/>
          </w:tcPr>
          <w:p w14:paraId="0539D665" w14:textId="740898AF" w:rsidR="006774BB" w:rsidRPr="006774BB"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R$</w:t>
            </w:r>
            <w:r>
              <w:rPr>
                <w:rFonts w:ascii="Times New Roman" w:hAnsi="Times New Roman" w:cs="Times New Roman"/>
                <w:color w:val="000000"/>
                <w:sz w:val="20"/>
                <w:szCs w:val="20"/>
              </w:rPr>
              <w:t xml:space="preserve"> </w:t>
            </w:r>
            <w:r w:rsidRPr="006774BB">
              <w:rPr>
                <w:rFonts w:ascii="Times New Roman" w:hAnsi="Times New Roman" w:cs="Times New Roman"/>
                <w:color w:val="000000"/>
                <w:sz w:val="20"/>
                <w:szCs w:val="20"/>
              </w:rPr>
              <w:t>29.525,07</w:t>
            </w:r>
          </w:p>
        </w:tc>
        <w:tc>
          <w:tcPr>
            <w:tcW w:w="638" w:type="pct"/>
            <w:vAlign w:val="center"/>
          </w:tcPr>
          <w:p w14:paraId="16E28B2E" w14:textId="19C4FDAD" w:rsidR="006774BB" w:rsidRPr="00E407B2" w:rsidRDefault="006774BB" w:rsidP="006774BB">
            <w:pPr>
              <w:jc w:val="center"/>
              <w:rPr>
                <w:rFonts w:ascii="Times New Roman" w:hAnsi="Times New Roman" w:cs="Times New Roman"/>
                <w:color w:val="000000"/>
                <w:sz w:val="20"/>
                <w:szCs w:val="20"/>
              </w:rPr>
            </w:pPr>
            <w:r w:rsidRPr="00E407B2">
              <w:rPr>
                <w:rFonts w:ascii="Times New Roman" w:hAnsi="Times New Roman" w:cs="Times New Roman"/>
                <w:color w:val="000000"/>
                <w:sz w:val="20"/>
                <w:szCs w:val="20"/>
              </w:rPr>
              <w:t>63,72</w:t>
            </w:r>
          </w:p>
        </w:tc>
        <w:tc>
          <w:tcPr>
            <w:tcW w:w="779" w:type="pct"/>
            <w:vAlign w:val="center"/>
          </w:tcPr>
          <w:p w14:paraId="0C0216D1" w14:textId="3E108D6B" w:rsidR="006774BB" w:rsidRPr="00E407B2" w:rsidRDefault="006774BB" w:rsidP="006774BB">
            <w:pPr>
              <w:jc w:val="center"/>
              <w:rPr>
                <w:rFonts w:ascii="Times New Roman" w:hAnsi="Times New Roman" w:cs="Times New Roman"/>
                <w:color w:val="000000"/>
                <w:sz w:val="20"/>
                <w:szCs w:val="20"/>
              </w:rPr>
            </w:pPr>
            <w:r w:rsidRPr="006774BB">
              <w:rPr>
                <w:rFonts w:ascii="Times New Roman" w:hAnsi="Times New Roman" w:cs="Times New Roman"/>
                <w:color w:val="000000"/>
                <w:sz w:val="20"/>
                <w:szCs w:val="20"/>
              </w:rPr>
              <w:t>1,000</w:t>
            </w:r>
          </w:p>
        </w:tc>
      </w:tr>
    </w:tbl>
    <w:p w14:paraId="7AA9D6CB" w14:textId="77777777" w:rsidR="00E407B2" w:rsidRDefault="00E407B2" w:rsidP="007310F0">
      <w:pPr>
        <w:pStyle w:val="standard"/>
        <w:spacing w:before="0" w:beforeAutospacing="0" w:after="120" w:afterAutospacing="0" w:line="360" w:lineRule="auto"/>
        <w:ind w:right="-1" w:firstLine="708"/>
        <w:jc w:val="both"/>
        <w:rPr>
          <w:rFonts w:eastAsiaTheme="minorHAnsi"/>
          <w:kern w:val="2"/>
          <w:lang w:eastAsia="en-US"/>
          <w14:ligatures w14:val="standardContextual"/>
        </w:rPr>
      </w:pPr>
    </w:p>
    <w:p w14:paraId="3C10E41E" w14:textId="0D6E8FBF" w:rsidR="007310F0" w:rsidRPr="00531CA4" w:rsidRDefault="00CA72F3" w:rsidP="007310F0">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lastRenderedPageBreak/>
        <w:t>Nesta última análise também pode-se verificar que</w:t>
      </w:r>
      <w:r w:rsidR="007310F0">
        <w:rPr>
          <w:rFonts w:eastAsiaTheme="minorHAnsi"/>
          <w:kern w:val="2"/>
          <w:lang w:eastAsia="en-US"/>
          <w14:ligatures w14:val="standardContextual"/>
        </w:rPr>
        <w:t xml:space="preserve"> as DMUs </w:t>
      </w:r>
      <w:r>
        <w:rPr>
          <w:rFonts w:eastAsiaTheme="minorHAnsi"/>
          <w:kern w:val="2"/>
          <w:lang w:eastAsia="en-US"/>
          <w14:ligatures w14:val="standardContextual"/>
        </w:rPr>
        <w:t>consideradas ineficientes, possuíam</w:t>
      </w:r>
      <w:r w:rsidR="007310F0">
        <w:rPr>
          <w:rFonts w:eastAsiaTheme="minorHAnsi"/>
          <w:kern w:val="2"/>
          <w:lang w:eastAsia="en-US"/>
          <w14:ligatures w14:val="standardContextual"/>
        </w:rPr>
        <w:t xml:space="preserve"> orçamento per capita elevado quando comparado aos eficientes</w:t>
      </w:r>
      <w:r>
        <w:rPr>
          <w:rFonts w:eastAsiaTheme="minorHAnsi"/>
          <w:kern w:val="2"/>
          <w:lang w:eastAsia="en-US"/>
          <w14:ligatures w14:val="standardContextual"/>
        </w:rPr>
        <w:t>, e valores médios dos ODS aproximados</w:t>
      </w:r>
      <w:r w:rsidR="007310F0">
        <w:rPr>
          <w:rFonts w:eastAsiaTheme="minorHAnsi"/>
          <w:kern w:val="2"/>
          <w:lang w:eastAsia="en-US"/>
          <w14:ligatures w14:val="standardContextual"/>
        </w:rPr>
        <w:t xml:space="preserve">. A média do orçamento per capita dos municípios per capita ineficientes foi em média, </w:t>
      </w:r>
      <w:r w:rsidR="006774BB">
        <w:rPr>
          <w:rFonts w:eastAsiaTheme="minorHAnsi"/>
          <w:kern w:val="2"/>
          <w:lang w:eastAsia="en-US"/>
          <w14:ligatures w14:val="standardContextual"/>
        </w:rPr>
        <w:t>7.410,18</w:t>
      </w:r>
      <w:r w:rsidR="007310F0" w:rsidRPr="000B6466">
        <w:rPr>
          <w:rFonts w:eastAsiaTheme="minorHAnsi"/>
          <w:kern w:val="2"/>
          <w:lang w:eastAsia="en-US"/>
          <w14:ligatures w14:val="standardContextual"/>
        </w:rPr>
        <w:t xml:space="preserve"> </w:t>
      </w:r>
      <w:r w:rsidR="007310F0">
        <w:rPr>
          <w:rFonts w:eastAsiaTheme="minorHAnsi"/>
          <w:kern w:val="2"/>
          <w:lang w:eastAsia="en-US"/>
          <w14:ligatures w14:val="standardContextual"/>
        </w:rPr>
        <w:t xml:space="preserve">R$/habitante, enquanto a dos eficientes de </w:t>
      </w:r>
      <w:r w:rsidR="006774BB">
        <w:rPr>
          <w:rFonts w:eastAsiaTheme="minorHAnsi"/>
          <w:kern w:val="2"/>
          <w:lang w:eastAsia="en-US"/>
          <w14:ligatures w14:val="standardContextual"/>
        </w:rPr>
        <w:t>5.006,74</w:t>
      </w:r>
      <w:r w:rsidR="002326AD">
        <w:rPr>
          <w:rFonts w:eastAsiaTheme="minorHAnsi"/>
          <w:kern w:val="2"/>
          <w:lang w:eastAsia="en-US"/>
          <w14:ligatures w14:val="standardContextual"/>
        </w:rPr>
        <w:t xml:space="preserve"> </w:t>
      </w:r>
      <w:r w:rsidR="006774BB">
        <w:rPr>
          <w:rFonts w:eastAsiaTheme="minorHAnsi"/>
          <w:kern w:val="2"/>
          <w:lang w:eastAsia="en-US"/>
          <w14:ligatures w14:val="standardContextual"/>
        </w:rPr>
        <w:t>R</w:t>
      </w:r>
      <w:r w:rsidR="007310F0">
        <w:rPr>
          <w:rFonts w:eastAsiaTheme="minorHAnsi"/>
          <w:kern w:val="2"/>
          <w:lang w:eastAsia="en-US"/>
          <w14:ligatures w14:val="standardContextual"/>
        </w:rPr>
        <w:t xml:space="preserve">$/habitante. Em relação a nota média dos ODS, não se verificou grande diferença entre eficientes e ineficientes, sendo este valor igual a </w:t>
      </w:r>
      <w:r w:rsidR="000E6DAD">
        <w:rPr>
          <w:rFonts w:eastAsiaTheme="minorHAnsi"/>
          <w:kern w:val="2"/>
          <w:lang w:eastAsia="en-US"/>
          <w14:ligatures w14:val="standardContextual"/>
        </w:rPr>
        <w:t>47,43</w:t>
      </w:r>
      <w:r w:rsidR="007310F0" w:rsidRPr="00531CA4">
        <w:rPr>
          <w:rFonts w:eastAsiaTheme="minorHAnsi"/>
          <w:kern w:val="2"/>
          <w:lang w:eastAsia="en-US"/>
          <w14:ligatures w14:val="standardContextual"/>
        </w:rPr>
        <w:t xml:space="preserve"> </w:t>
      </w:r>
      <w:r w:rsidR="007310F0">
        <w:rPr>
          <w:rFonts w:eastAsiaTheme="minorHAnsi"/>
          <w:kern w:val="2"/>
          <w:lang w:eastAsia="en-US"/>
          <w14:ligatures w14:val="standardContextual"/>
        </w:rPr>
        <w:t>e 48,</w:t>
      </w:r>
      <w:r w:rsidR="002326AD">
        <w:rPr>
          <w:rFonts w:eastAsiaTheme="minorHAnsi"/>
          <w:kern w:val="2"/>
          <w:lang w:eastAsia="en-US"/>
          <w14:ligatures w14:val="standardContextual"/>
        </w:rPr>
        <w:t>2</w:t>
      </w:r>
      <w:r w:rsidR="000E6DAD">
        <w:rPr>
          <w:rFonts w:eastAsiaTheme="minorHAnsi"/>
          <w:kern w:val="2"/>
          <w:lang w:eastAsia="en-US"/>
          <w14:ligatures w14:val="standardContextual"/>
        </w:rPr>
        <w:t>0</w:t>
      </w:r>
      <w:r w:rsidR="007310F0">
        <w:rPr>
          <w:rFonts w:eastAsiaTheme="minorHAnsi"/>
          <w:kern w:val="2"/>
          <w:lang w:eastAsia="en-US"/>
          <w14:ligatures w14:val="standardContextual"/>
        </w:rPr>
        <w:t xml:space="preserve"> respectivamente. </w:t>
      </w:r>
      <w:r w:rsidR="00740195">
        <w:rPr>
          <w:rFonts w:eastAsiaTheme="minorHAnsi"/>
          <w:kern w:val="2"/>
          <w:lang w:eastAsia="en-US"/>
          <w14:ligatures w14:val="standardContextual"/>
        </w:rPr>
        <w:t xml:space="preserve">Nesse caso, </w:t>
      </w:r>
      <w:r w:rsidR="007310F0">
        <w:rPr>
          <w:rFonts w:eastAsiaTheme="minorHAnsi"/>
          <w:kern w:val="2"/>
          <w:lang w:eastAsia="en-US"/>
          <w14:ligatures w14:val="standardContextual"/>
        </w:rPr>
        <w:t xml:space="preserve">o orçamento </w:t>
      </w:r>
      <w:r w:rsidR="00740195">
        <w:rPr>
          <w:rFonts w:eastAsiaTheme="minorHAnsi"/>
          <w:kern w:val="2"/>
          <w:lang w:eastAsia="en-US"/>
          <w14:ligatures w14:val="standardContextual"/>
        </w:rPr>
        <w:t xml:space="preserve">per capita dos municípios ineficientes foi </w:t>
      </w:r>
      <w:r w:rsidR="002326AD">
        <w:rPr>
          <w:rFonts w:eastAsiaTheme="minorHAnsi"/>
          <w:kern w:val="2"/>
          <w:lang w:eastAsia="en-US"/>
          <w14:ligatures w14:val="standardContextual"/>
        </w:rPr>
        <w:t>48</w:t>
      </w:r>
      <w:r w:rsidR="007310F0">
        <w:rPr>
          <w:rFonts w:eastAsiaTheme="minorHAnsi"/>
          <w:kern w:val="2"/>
          <w:lang w:eastAsia="en-US"/>
          <w14:ligatures w14:val="standardContextual"/>
        </w:rPr>
        <w:t>% superior aos municípios considerados eficientes, e esse aumento de recursos não refleti</w:t>
      </w:r>
      <w:r w:rsidR="00740195">
        <w:rPr>
          <w:rFonts w:eastAsiaTheme="minorHAnsi"/>
          <w:kern w:val="2"/>
          <w:lang w:eastAsia="en-US"/>
          <w14:ligatures w14:val="standardContextual"/>
        </w:rPr>
        <w:t>u</w:t>
      </w:r>
      <w:r w:rsidR="007310F0">
        <w:rPr>
          <w:rFonts w:eastAsiaTheme="minorHAnsi"/>
          <w:kern w:val="2"/>
          <w:lang w:eastAsia="en-US"/>
          <w14:ligatures w14:val="standardContextual"/>
        </w:rPr>
        <w:t xml:space="preserve"> em melhoria proporcional </w:t>
      </w:r>
      <w:r w:rsidR="000E6DAD">
        <w:rPr>
          <w:rFonts w:eastAsiaTheme="minorHAnsi"/>
          <w:kern w:val="2"/>
          <w:lang w:eastAsia="en-US"/>
          <w14:ligatures w14:val="standardContextual"/>
        </w:rPr>
        <w:t xml:space="preserve">(1,6%) </w:t>
      </w:r>
      <w:r w:rsidR="007310F0">
        <w:rPr>
          <w:rFonts w:eastAsiaTheme="minorHAnsi"/>
          <w:kern w:val="2"/>
          <w:lang w:eastAsia="en-US"/>
          <w14:ligatures w14:val="standardContextual"/>
        </w:rPr>
        <w:t xml:space="preserve">nos ODS desses municípios.      </w:t>
      </w:r>
    </w:p>
    <w:p w14:paraId="43D5A704" w14:textId="3314F1E8" w:rsidR="00E063CB" w:rsidRDefault="007310F0" w:rsidP="00E063CB">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Pr>
          <w:rFonts w:eastAsiaTheme="minorHAnsi"/>
          <w:kern w:val="2"/>
          <w:lang w:eastAsia="en-US"/>
          <w14:ligatures w14:val="standardContextual"/>
        </w:rPr>
        <w:t xml:space="preserve">A Figura </w:t>
      </w:r>
      <w:r w:rsidR="002326AD">
        <w:rPr>
          <w:rFonts w:eastAsiaTheme="minorHAnsi"/>
          <w:kern w:val="2"/>
          <w:lang w:eastAsia="en-US"/>
          <w14:ligatures w14:val="standardContextual"/>
        </w:rPr>
        <w:t>5</w:t>
      </w:r>
      <w:r>
        <w:rPr>
          <w:rFonts w:eastAsiaTheme="minorHAnsi"/>
          <w:kern w:val="2"/>
          <w:lang w:eastAsia="en-US"/>
          <w14:ligatures w14:val="standardContextual"/>
        </w:rPr>
        <w:t xml:space="preserve"> apresenta o histograma dos scores de eficiência dos </w:t>
      </w:r>
      <w:r w:rsidR="008322D4">
        <w:rPr>
          <w:rFonts w:eastAsiaTheme="minorHAnsi"/>
          <w:kern w:val="2"/>
          <w:lang w:eastAsia="en-US"/>
          <w14:ligatures w14:val="standardContextual"/>
        </w:rPr>
        <w:t>2392</w:t>
      </w:r>
      <w:r>
        <w:rPr>
          <w:rFonts w:eastAsiaTheme="minorHAnsi"/>
          <w:kern w:val="2"/>
          <w:lang w:eastAsia="en-US"/>
          <w14:ligatures w14:val="standardContextual"/>
        </w:rPr>
        <w:t xml:space="preserve"> municípios considerados ineficientes, bem como suas principais estatísticas. Para estes municípios, o valor médio da ineficiência foi de aproximadamente </w:t>
      </w:r>
      <w:r w:rsidR="008322D4">
        <w:rPr>
          <w:rFonts w:eastAsiaTheme="minorHAnsi"/>
          <w:kern w:val="2"/>
          <w:lang w:eastAsia="en-US"/>
          <w14:ligatures w14:val="standardContextual"/>
        </w:rPr>
        <w:t>0,762</w:t>
      </w:r>
      <w:r>
        <w:rPr>
          <w:rFonts w:eastAsiaTheme="minorHAnsi"/>
          <w:kern w:val="2"/>
          <w:lang w:eastAsia="en-US"/>
          <w14:ligatures w14:val="standardContextual"/>
        </w:rPr>
        <w:t>, com valor mínimo de 0,</w:t>
      </w:r>
      <w:r w:rsidR="008322D4">
        <w:rPr>
          <w:rFonts w:eastAsiaTheme="minorHAnsi"/>
          <w:kern w:val="2"/>
          <w:lang w:eastAsia="en-US"/>
          <w14:ligatures w14:val="standardContextual"/>
        </w:rPr>
        <w:t>203</w:t>
      </w:r>
      <w:r>
        <w:rPr>
          <w:rFonts w:eastAsiaTheme="minorHAnsi"/>
          <w:kern w:val="2"/>
          <w:lang w:eastAsia="en-US"/>
          <w14:ligatures w14:val="standardContextual"/>
        </w:rPr>
        <w:t xml:space="preserve"> e máximo de 0,999. Considerando o modelo CCR, há em média uma necessidade de aumento de aproximadamente </w:t>
      </w:r>
      <w:r w:rsidR="008322D4">
        <w:rPr>
          <w:rFonts w:eastAsiaTheme="minorHAnsi"/>
          <w:kern w:val="2"/>
          <w:lang w:eastAsia="en-US"/>
          <w14:ligatures w14:val="standardContextual"/>
        </w:rPr>
        <w:t>31,23</w:t>
      </w:r>
      <w:r>
        <w:rPr>
          <w:rFonts w:eastAsiaTheme="minorHAnsi"/>
          <w:kern w:val="2"/>
          <w:lang w:eastAsia="en-US"/>
          <w14:ligatures w14:val="standardContextual"/>
        </w:rPr>
        <w:t xml:space="preserve">% nos ODS, ou redução média de </w:t>
      </w:r>
      <w:r w:rsidR="008322D4">
        <w:rPr>
          <w:rFonts w:eastAsiaTheme="minorHAnsi"/>
          <w:kern w:val="2"/>
          <w:lang w:eastAsia="en-US"/>
          <w14:ligatures w14:val="standardContextual"/>
        </w:rPr>
        <w:t>23,8</w:t>
      </w:r>
      <w:r>
        <w:rPr>
          <w:rFonts w:eastAsiaTheme="minorHAnsi"/>
          <w:kern w:val="2"/>
          <w:lang w:eastAsia="en-US"/>
          <w14:ligatures w14:val="standardContextual"/>
        </w:rPr>
        <w:t xml:space="preserve">% nos orçamentos para que estes municípios possam alcançar a fronteira de eficiência. </w:t>
      </w:r>
    </w:p>
    <w:p w14:paraId="70C88438" w14:textId="22EBFDDC" w:rsidR="002326AD" w:rsidRPr="00655E23" w:rsidRDefault="002326AD" w:rsidP="002326AD">
      <w:pPr>
        <w:pStyle w:val="standard"/>
        <w:spacing w:before="0" w:beforeAutospacing="0" w:after="120" w:afterAutospacing="0" w:line="360" w:lineRule="auto"/>
        <w:ind w:right="-1"/>
        <w:jc w:val="center"/>
        <w:rPr>
          <w:rFonts w:eastAsiaTheme="minorHAnsi"/>
          <w:kern w:val="2"/>
          <w:sz w:val="20"/>
          <w:szCs w:val="20"/>
          <w:lang w:eastAsia="en-US"/>
          <w14:ligatures w14:val="standardContextual"/>
        </w:rPr>
      </w:pPr>
      <w:r w:rsidRPr="00655E23">
        <w:rPr>
          <w:rFonts w:eastAsiaTheme="minorHAnsi"/>
          <w:kern w:val="2"/>
          <w:sz w:val="20"/>
          <w:szCs w:val="20"/>
          <w:lang w:eastAsia="en-US"/>
          <w14:ligatures w14:val="standardContextual"/>
        </w:rPr>
        <w:t xml:space="preserve">Figura </w:t>
      </w:r>
      <w:r>
        <w:rPr>
          <w:rFonts w:eastAsiaTheme="minorHAnsi"/>
          <w:kern w:val="2"/>
          <w:sz w:val="20"/>
          <w:szCs w:val="20"/>
          <w:lang w:eastAsia="en-US"/>
          <w14:ligatures w14:val="standardContextual"/>
        </w:rPr>
        <w:t>5</w:t>
      </w:r>
      <w:r w:rsidRPr="00655E23">
        <w:rPr>
          <w:rFonts w:eastAsiaTheme="minorHAnsi"/>
          <w:kern w:val="2"/>
          <w:sz w:val="20"/>
          <w:szCs w:val="20"/>
          <w:lang w:eastAsia="en-US"/>
          <w14:ligatures w14:val="standardContextual"/>
        </w:rPr>
        <w:t xml:space="preserve"> – Histograma e Principais estatísticas para </w:t>
      </w:r>
      <w:r>
        <w:rPr>
          <w:rFonts w:eastAsiaTheme="minorHAnsi"/>
          <w:kern w:val="2"/>
          <w:sz w:val="20"/>
          <w:szCs w:val="20"/>
          <w:lang w:eastAsia="en-US"/>
          <w14:ligatures w14:val="standardContextual"/>
        </w:rPr>
        <w:t>os Centros Locais</w:t>
      </w:r>
      <w:r w:rsidRPr="00655E23">
        <w:rPr>
          <w:rFonts w:eastAsiaTheme="minorHAnsi"/>
          <w:kern w:val="2"/>
          <w:sz w:val="20"/>
          <w:szCs w:val="20"/>
          <w:lang w:eastAsia="en-US"/>
          <w14:ligatures w14:val="standardContextual"/>
        </w:rPr>
        <w:t xml:space="preserve"> Ineficientes</w:t>
      </w:r>
    </w:p>
    <w:p w14:paraId="5046E62A" w14:textId="21895E83" w:rsidR="007310F0" w:rsidRDefault="00EA146B" w:rsidP="008577EA">
      <w:pPr>
        <w:spacing w:after="120" w:line="360" w:lineRule="auto"/>
        <w:rPr>
          <w:rFonts w:ascii="Times New Roman" w:hAnsi="Times New Roman" w:cs="Times New Roman"/>
          <w:b/>
          <w:bCs/>
          <w:sz w:val="24"/>
          <w:szCs w:val="24"/>
        </w:rPr>
      </w:pPr>
      <w:r w:rsidRPr="00EA146B">
        <w:rPr>
          <w:noProof/>
        </w:rPr>
        <w:drawing>
          <wp:inline distT="0" distB="0" distL="0" distR="0" wp14:anchorId="2DFB96DE" wp14:editId="5F5D632C">
            <wp:extent cx="5006340" cy="2522220"/>
            <wp:effectExtent l="0" t="0" r="0" b="0"/>
            <wp:docPr id="1706764880"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64880" name="Imagem 1" descr="Gráfico, Histograma&#10;&#10;Descrição gerada automaticamente"/>
                    <pic:cNvPicPr/>
                  </pic:nvPicPr>
                  <pic:blipFill rotWithShape="1">
                    <a:blip r:embed="rId14"/>
                    <a:srcRect l="6773" t="4140" r="517" b="33583"/>
                    <a:stretch/>
                  </pic:blipFill>
                  <pic:spPr bwMode="auto">
                    <a:xfrm>
                      <a:off x="0" y="0"/>
                      <a:ext cx="5006340" cy="2522220"/>
                    </a:xfrm>
                    <a:prstGeom prst="rect">
                      <a:avLst/>
                    </a:prstGeom>
                    <a:ln>
                      <a:noFill/>
                    </a:ln>
                    <a:extLst>
                      <a:ext uri="{53640926-AAD7-44D8-BBD7-CCE9431645EC}">
                        <a14:shadowObscured xmlns:a14="http://schemas.microsoft.com/office/drawing/2010/main"/>
                      </a:ext>
                    </a:extLst>
                  </pic:spPr>
                </pic:pic>
              </a:graphicData>
            </a:graphic>
          </wp:inline>
        </w:drawing>
      </w:r>
    </w:p>
    <w:p w14:paraId="7CD64134" w14:textId="70B21E37" w:rsidR="00C4081F" w:rsidRDefault="00C4081F" w:rsidP="00C4081F">
      <w:pPr>
        <w:pStyle w:val="standard"/>
        <w:spacing w:before="0" w:beforeAutospacing="0" w:after="120" w:afterAutospacing="0" w:line="360" w:lineRule="auto"/>
        <w:ind w:right="-1" w:firstLine="708"/>
        <w:jc w:val="both"/>
        <w:rPr>
          <w:rFonts w:eastAsiaTheme="minorHAnsi"/>
          <w:kern w:val="2"/>
          <w:lang w:eastAsia="en-US"/>
          <w14:ligatures w14:val="standardContextual"/>
        </w:rPr>
      </w:pPr>
      <w:r w:rsidRPr="00FC32A3">
        <w:rPr>
          <w:rFonts w:eastAsiaTheme="minorHAnsi"/>
          <w:kern w:val="2"/>
          <w:lang w:eastAsia="en-US"/>
          <w14:ligatures w14:val="standardContextual"/>
        </w:rPr>
        <w:t xml:space="preserve">Dos </w:t>
      </w:r>
      <w:r w:rsidR="008322D4" w:rsidRPr="00FC32A3">
        <w:rPr>
          <w:rFonts w:eastAsiaTheme="minorHAnsi"/>
          <w:kern w:val="2"/>
          <w:lang w:eastAsia="en-US"/>
          <w14:ligatures w14:val="standardContextual"/>
        </w:rPr>
        <w:t>1578</w:t>
      </w:r>
      <w:r w:rsidRPr="00FC32A3">
        <w:rPr>
          <w:rFonts w:eastAsiaTheme="minorHAnsi"/>
          <w:kern w:val="2"/>
          <w:lang w:eastAsia="en-US"/>
          <w14:ligatures w14:val="standardContextual"/>
        </w:rPr>
        <w:t xml:space="preserve"> municípios considerados eficientes, </w:t>
      </w:r>
      <w:r w:rsidR="00FC32A3" w:rsidRPr="00FC32A3">
        <w:rPr>
          <w:rFonts w:eastAsiaTheme="minorHAnsi"/>
          <w:kern w:val="2"/>
          <w:lang w:eastAsia="en-US"/>
          <w14:ligatures w14:val="standardContextual"/>
        </w:rPr>
        <w:t>842</w:t>
      </w:r>
      <w:r w:rsidRPr="00FC32A3">
        <w:rPr>
          <w:rFonts w:eastAsiaTheme="minorHAnsi"/>
          <w:kern w:val="2"/>
          <w:lang w:eastAsia="en-US"/>
          <w14:ligatures w14:val="standardContextual"/>
        </w:rPr>
        <w:t xml:space="preserve"> foram </w:t>
      </w:r>
      <w:r w:rsidRPr="00FC32A3">
        <w:rPr>
          <w:rFonts w:eastAsiaTheme="minorHAnsi"/>
          <w:i/>
          <w:iCs/>
          <w:kern w:val="2"/>
          <w:lang w:eastAsia="en-US"/>
          <w14:ligatures w14:val="standardContextual"/>
        </w:rPr>
        <w:t xml:space="preserve">benchmarks </w:t>
      </w:r>
      <w:r w:rsidRPr="00FC32A3">
        <w:rPr>
          <w:rFonts w:eastAsiaTheme="minorHAnsi"/>
          <w:kern w:val="2"/>
          <w:lang w:eastAsia="en-US"/>
          <w14:ligatures w14:val="standardContextual"/>
        </w:rPr>
        <w:t xml:space="preserve">para os municípios ineficientes. Os 10 principais benchmarks estiverem presentes como referência em aproximadamente </w:t>
      </w:r>
      <w:r w:rsidR="00FC32A3" w:rsidRPr="00FC32A3">
        <w:rPr>
          <w:rFonts w:eastAsiaTheme="minorHAnsi"/>
          <w:kern w:val="2"/>
          <w:lang w:eastAsia="en-US"/>
          <w14:ligatures w14:val="standardContextual"/>
        </w:rPr>
        <w:t>22,45</w:t>
      </w:r>
      <w:r w:rsidRPr="00FC32A3">
        <w:rPr>
          <w:rFonts w:eastAsiaTheme="minorHAnsi"/>
          <w:kern w:val="2"/>
          <w:lang w:eastAsia="en-US"/>
          <w14:ligatures w14:val="standardContextual"/>
        </w:rPr>
        <w:t>% das DMUs ineficientes.</w:t>
      </w:r>
      <w:r>
        <w:rPr>
          <w:rFonts w:eastAsiaTheme="minorHAnsi"/>
          <w:kern w:val="2"/>
          <w:lang w:eastAsia="en-US"/>
          <w14:ligatures w14:val="standardContextual"/>
        </w:rPr>
        <w:t xml:space="preserve"> </w:t>
      </w:r>
    </w:p>
    <w:p w14:paraId="693A4E2F" w14:textId="77777777" w:rsidR="00C4081F" w:rsidRDefault="00C4081F" w:rsidP="00AE0FE8">
      <w:pPr>
        <w:spacing w:after="120" w:line="360" w:lineRule="auto"/>
        <w:ind w:firstLine="708"/>
        <w:jc w:val="both"/>
        <w:rPr>
          <w:rFonts w:ascii="Times New Roman" w:hAnsi="Times New Roman" w:cs="Times New Roman"/>
          <w:sz w:val="24"/>
          <w:szCs w:val="24"/>
        </w:rPr>
      </w:pPr>
    </w:p>
    <w:p w14:paraId="3990C131" w14:textId="0E595730" w:rsidR="00C9607D" w:rsidRDefault="002F213F" w:rsidP="00DD44D5">
      <w:p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t>5.</w:t>
      </w:r>
      <w:r w:rsidR="00DD44D5" w:rsidRPr="00DD44D5">
        <w:rPr>
          <w:rFonts w:ascii="Times New Roman" w:hAnsi="Times New Roman" w:cs="Times New Roman"/>
          <w:b/>
          <w:bCs/>
          <w:sz w:val="24"/>
          <w:szCs w:val="24"/>
        </w:rPr>
        <w:t xml:space="preserve"> Análise dos Dados</w:t>
      </w:r>
    </w:p>
    <w:p w14:paraId="4791F161" w14:textId="21C438D9" w:rsidR="00EC1D09" w:rsidRDefault="00CC4B95" w:rsidP="0055487C">
      <w:pPr>
        <w:spacing w:after="120" w:line="360" w:lineRule="auto"/>
        <w:jc w:val="both"/>
        <w:rPr>
          <w:rFonts w:ascii="Times New Roman" w:hAnsi="Times New Roman" w:cs="Times New Roman"/>
          <w:sz w:val="24"/>
          <w:szCs w:val="24"/>
        </w:rPr>
      </w:pPr>
      <w:r w:rsidRPr="00CC4B95">
        <w:rPr>
          <w:rFonts w:ascii="Times New Roman" w:hAnsi="Times New Roman" w:cs="Times New Roman"/>
          <w:sz w:val="24"/>
          <w:szCs w:val="24"/>
        </w:rPr>
        <w:lastRenderedPageBreak/>
        <w:tab/>
      </w:r>
      <w:r w:rsidR="00112CAC" w:rsidRPr="00112CAC">
        <w:rPr>
          <w:rFonts w:ascii="Times New Roman" w:hAnsi="Times New Roman" w:cs="Times New Roman"/>
          <w:sz w:val="24"/>
          <w:szCs w:val="24"/>
        </w:rPr>
        <w:t xml:space="preserve">De posse </w:t>
      </w:r>
      <w:r w:rsidR="00112CAC">
        <w:rPr>
          <w:rFonts w:ascii="Times New Roman" w:hAnsi="Times New Roman" w:cs="Times New Roman"/>
          <w:sz w:val="24"/>
          <w:szCs w:val="24"/>
        </w:rPr>
        <w:t xml:space="preserve">dos resultados </w:t>
      </w:r>
      <w:r w:rsidR="00E04FED">
        <w:rPr>
          <w:rFonts w:ascii="Times New Roman" w:hAnsi="Times New Roman" w:cs="Times New Roman"/>
          <w:sz w:val="24"/>
          <w:szCs w:val="24"/>
        </w:rPr>
        <w:t>da aplicação d</w:t>
      </w:r>
      <w:r w:rsidR="00112CAC">
        <w:rPr>
          <w:rFonts w:ascii="Times New Roman" w:hAnsi="Times New Roman" w:cs="Times New Roman"/>
          <w:sz w:val="24"/>
          <w:szCs w:val="24"/>
        </w:rPr>
        <w:t xml:space="preserve">o modelo DEA CCR para cada uma das 5 Hierarquias municipais, pode-se passar </w:t>
      </w:r>
      <w:r w:rsidR="00ED5EBD">
        <w:rPr>
          <w:rFonts w:ascii="Times New Roman" w:hAnsi="Times New Roman" w:cs="Times New Roman"/>
          <w:sz w:val="24"/>
          <w:szCs w:val="24"/>
        </w:rPr>
        <w:t xml:space="preserve">a analisar </w:t>
      </w:r>
      <w:r w:rsidR="00E04FED">
        <w:rPr>
          <w:rFonts w:ascii="Times New Roman" w:hAnsi="Times New Roman" w:cs="Times New Roman"/>
          <w:sz w:val="24"/>
          <w:szCs w:val="24"/>
        </w:rPr>
        <w:t>6</w:t>
      </w:r>
      <w:r w:rsidR="00ED5EBD">
        <w:rPr>
          <w:rFonts w:ascii="Times New Roman" w:hAnsi="Times New Roman" w:cs="Times New Roman"/>
          <w:sz w:val="24"/>
          <w:szCs w:val="24"/>
        </w:rPr>
        <w:t xml:space="preserve"> hipóteses levantadas com os resultados encontrados na seção anterior:</w:t>
      </w:r>
    </w:p>
    <w:p w14:paraId="045B7A7E" w14:textId="54C61036" w:rsidR="00ED5EBD" w:rsidRDefault="00ED5EBD" w:rsidP="00F65739">
      <w:pPr>
        <w:spacing w:after="120" w:line="360" w:lineRule="auto"/>
        <w:ind w:firstLine="708"/>
        <w:jc w:val="both"/>
        <w:rPr>
          <w:rFonts w:ascii="Times New Roman" w:hAnsi="Times New Roman" w:cs="Times New Roman"/>
          <w:sz w:val="24"/>
          <w:szCs w:val="24"/>
        </w:rPr>
      </w:pPr>
      <w:r w:rsidRPr="00ED5EBD">
        <w:rPr>
          <w:rFonts w:ascii="Times New Roman" w:hAnsi="Times New Roman" w:cs="Times New Roman"/>
          <w:sz w:val="24"/>
          <w:szCs w:val="24"/>
        </w:rPr>
        <w:t xml:space="preserve">1) Os municípios Ineficientes possuem </w:t>
      </w:r>
      <w:r>
        <w:rPr>
          <w:rFonts w:ascii="Times New Roman" w:hAnsi="Times New Roman" w:cs="Times New Roman"/>
          <w:sz w:val="24"/>
          <w:szCs w:val="24"/>
        </w:rPr>
        <w:t>o</w:t>
      </w:r>
      <w:r w:rsidRPr="00ED5EBD">
        <w:rPr>
          <w:rFonts w:ascii="Times New Roman" w:hAnsi="Times New Roman" w:cs="Times New Roman"/>
          <w:sz w:val="24"/>
          <w:szCs w:val="24"/>
        </w:rPr>
        <w:t xml:space="preserve">rçamento per capita </w:t>
      </w:r>
      <w:r>
        <w:rPr>
          <w:rFonts w:ascii="Times New Roman" w:hAnsi="Times New Roman" w:cs="Times New Roman"/>
          <w:sz w:val="24"/>
          <w:szCs w:val="24"/>
        </w:rPr>
        <w:t>m</w:t>
      </w:r>
      <w:r w:rsidRPr="00ED5EBD">
        <w:rPr>
          <w:rFonts w:ascii="Times New Roman" w:hAnsi="Times New Roman" w:cs="Times New Roman"/>
          <w:sz w:val="24"/>
          <w:szCs w:val="24"/>
        </w:rPr>
        <w:t>aior</w:t>
      </w:r>
      <w:r>
        <w:rPr>
          <w:rFonts w:ascii="Times New Roman" w:hAnsi="Times New Roman" w:cs="Times New Roman"/>
          <w:sz w:val="24"/>
          <w:szCs w:val="24"/>
        </w:rPr>
        <w:t>, quando comparados com os municípios Eficientes</w:t>
      </w:r>
      <w:r w:rsidRPr="00ED5EBD">
        <w:rPr>
          <w:rFonts w:ascii="Times New Roman" w:hAnsi="Times New Roman" w:cs="Times New Roman"/>
          <w:sz w:val="24"/>
          <w:szCs w:val="24"/>
        </w:rPr>
        <w:t>?</w:t>
      </w:r>
    </w:p>
    <w:p w14:paraId="7D6720BF" w14:textId="4D68BBB0" w:rsidR="00ED5EBD" w:rsidRDefault="00ED5EBD" w:rsidP="00F65739">
      <w:pPr>
        <w:spacing w:after="120" w:line="360" w:lineRule="auto"/>
        <w:ind w:firstLine="708"/>
        <w:jc w:val="both"/>
        <w:rPr>
          <w:rFonts w:ascii="Times New Roman" w:hAnsi="Times New Roman" w:cs="Times New Roman"/>
          <w:sz w:val="24"/>
          <w:szCs w:val="24"/>
        </w:rPr>
      </w:pPr>
      <w:r w:rsidRPr="00ED5EBD">
        <w:rPr>
          <w:rFonts w:ascii="Times New Roman" w:hAnsi="Times New Roman" w:cs="Times New Roman"/>
          <w:sz w:val="24"/>
          <w:szCs w:val="24"/>
        </w:rPr>
        <w:t>2) Os municípios Ineficientes possuem população menor</w:t>
      </w:r>
      <w:r>
        <w:rPr>
          <w:rFonts w:ascii="Times New Roman" w:hAnsi="Times New Roman" w:cs="Times New Roman"/>
          <w:sz w:val="24"/>
          <w:szCs w:val="24"/>
        </w:rPr>
        <w:t xml:space="preserve"> quando comparados com os municípios Eficientes?</w:t>
      </w:r>
    </w:p>
    <w:p w14:paraId="6804F927" w14:textId="4E21C279" w:rsidR="00ED5EBD" w:rsidRDefault="00ED5EBD" w:rsidP="00F65739">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3) Os resultados médios do ODS dos municípios </w:t>
      </w:r>
      <w:r w:rsidR="00942EE7">
        <w:rPr>
          <w:rFonts w:ascii="Times New Roman" w:hAnsi="Times New Roman" w:cs="Times New Roman"/>
          <w:sz w:val="24"/>
          <w:szCs w:val="24"/>
        </w:rPr>
        <w:t>Ineficientes</w:t>
      </w:r>
      <w:r>
        <w:rPr>
          <w:rFonts w:ascii="Times New Roman" w:hAnsi="Times New Roman" w:cs="Times New Roman"/>
          <w:sz w:val="24"/>
          <w:szCs w:val="24"/>
        </w:rPr>
        <w:t xml:space="preserve"> são iguais quando comparados </w:t>
      </w:r>
      <w:r w:rsidR="00942EE7">
        <w:rPr>
          <w:rFonts w:ascii="Times New Roman" w:hAnsi="Times New Roman" w:cs="Times New Roman"/>
          <w:sz w:val="24"/>
          <w:szCs w:val="24"/>
        </w:rPr>
        <w:t xml:space="preserve">aos </w:t>
      </w:r>
      <w:r>
        <w:rPr>
          <w:rFonts w:ascii="Times New Roman" w:hAnsi="Times New Roman" w:cs="Times New Roman"/>
          <w:sz w:val="24"/>
          <w:szCs w:val="24"/>
        </w:rPr>
        <w:t>municípios Eficientes?</w:t>
      </w:r>
    </w:p>
    <w:p w14:paraId="037153C4" w14:textId="7D35E3F9" w:rsidR="00F65739" w:rsidRDefault="0055487C" w:rsidP="00F65739">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4</w:t>
      </w:r>
      <w:r w:rsidR="00F65739">
        <w:rPr>
          <w:rFonts w:ascii="Times New Roman" w:hAnsi="Times New Roman" w:cs="Times New Roman"/>
          <w:sz w:val="24"/>
          <w:szCs w:val="24"/>
        </w:rPr>
        <w:t>) Quando analisados todos os municípios brasileiros conjuntamente os resultados apresentados por hierarquia se mant</w:t>
      </w:r>
      <w:r w:rsidR="00AA3C0E">
        <w:rPr>
          <w:rFonts w:ascii="Times New Roman" w:hAnsi="Times New Roman" w:cs="Times New Roman"/>
          <w:sz w:val="24"/>
          <w:szCs w:val="24"/>
        </w:rPr>
        <w:t>é</w:t>
      </w:r>
      <w:r w:rsidR="00F65739">
        <w:rPr>
          <w:rFonts w:ascii="Times New Roman" w:hAnsi="Times New Roman" w:cs="Times New Roman"/>
          <w:sz w:val="24"/>
          <w:szCs w:val="24"/>
        </w:rPr>
        <w:t xml:space="preserve">m? </w:t>
      </w:r>
    </w:p>
    <w:p w14:paraId="51FB6117" w14:textId="002F1A06" w:rsidR="0055487C" w:rsidRDefault="0055487C" w:rsidP="0055487C">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5) Qual a situação da eficiência dos municípios brasileiros por estados e regiões? </w:t>
      </w:r>
    </w:p>
    <w:p w14:paraId="10C830C8" w14:textId="02752A7E" w:rsidR="00ED5EBD" w:rsidRDefault="0055487C" w:rsidP="00F65739">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6</w:t>
      </w:r>
      <w:r w:rsidR="00ED5EBD">
        <w:rPr>
          <w:rFonts w:ascii="Times New Roman" w:hAnsi="Times New Roman" w:cs="Times New Roman"/>
          <w:sz w:val="24"/>
          <w:szCs w:val="24"/>
        </w:rPr>
        <w:t xml:space="preserve">) Existe correlação entre </w:t>
      </w:r>
      <w:r w:rsidR="00F65739">
        <w:rPr>
          <w:rFonts w:ascii="Times New Roman" w:hAnsi="Times New Roman" w:cs="Times New Roman"/>
          <w:sz w:val="24"/>
          <w:szCs w:val="24"/>
        </w:rPr>
        <w:t>População do Município, Orçamento per Capita, ODS médio municipal e se o município é eficiente ou não</w:t>
      </w:r>
      <w:r w:rsidR="00ED5EBD">
        <w:rPr>
          <w:rFonts w:ascii="Times New Roman" w:hAnsi="Times New Roman" w:cs="Times New Roman"/>
          <w:sz w:val="24"/>
          <w:szCs w:val="24"/>
        </w:rPr>
        <w:t>?</w:t>
      </w:r>
    </w:p>
    <w:p w14:paraId="43687CEF" w14:textId="6B1A937F" w:rsidR="00E04FED" w:rsidRPr="00E04FED" w:rsidRDefault="0055487C" w:rsidP="00F65739">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7</w:t>
      </w:r>
      <w:r w:rsidR="00E04FED" w:rsidRPr="00E04FED">
        <w:rPr>
          <w:rFonts w:ascii="Times New Roman" w:hAnsi="Times New Roman" w:cs="Times New Roman"/>
          <w:sz w:val="24"/>
          <w:szCs w:val="24"/>
        </w:rPr>
        <w:t xml:space="preserve">) </w:t>
      </w:r>
      <w:r w:rsidR="00E04FED" w:rsidRPr="00E04FED">
        <w:rPr>
          <w:rFonts w:ascii="Times New Roman" w:hAnsi="Times New Roman" w:cs="Times New Roman"/>
          <w:color w:val="0D0D0D"/>
          <w:sz w:val="24"/>
          <w:szCs w:val="24"/>
          <w:shd w:val="clear" w:color="auto" w:fill="FFFFFF"/>
        </w:rPr>
        <w:t>Quais inputs e outputs foram ponderados de forma mais significativa na determinação da eficiência relativa das DMU</w:t>
      </w:r>
      <w:r w:rsidR="00942EE7">
        <w:rPr>
          <w:rFonts w:ascii="Times New Roman" w:hAnsi="Times New Roman" w:cs="Times New Roman"/>
          <w:color w:val="0D0D0D"/>
          <w:sz w:val="24"/>
          <w:szCs w:val="24"/>
          <w:shd w:val="clear" w:color="auto" w:fill="FFFFFF"/>
        </w:rPr>
        <w:t>s</w:t>
      </w:r>
      <w:r w:rsidR="00E04FED" w:rsidRPr="00E04FED">
        <w:rPr>
          <w:rFonts w:ascii="Times New Roman" w:hAnsi="Times New Roman" w:cs="Times New Roman"/>
          <w:color w:val="0D0D0D"/>
          <w:sz w:val="24"/>
          <w:szCs w:val="24"/>
          <w:shd w:val="clear" w:color="auto" w:fill="FFFFFF"/>
        </w:rPr>
        <w:t xml:space="preserve"> pelo modelo DEA CCR?</w:t>
      </w:r>
    </w:p>
    <w:p w14:paraId="0B92E2E3" w14:textId="502DE2AD" w:rsidR="0082024D" w:rsidRDefault="00ED5EBD" w:rsidP="0082024D">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forma a responder as questões levantadas, utilizaram-se </w:t>
      </w:r>
      <w:r w:rsidR="00942EE7">
        <w:rPr>
          <w:rFonts w:ascii="Times New Roman" w:hAnsi="Times New Roman" w:cs="Times New Roman"/>
          <w:sz w:val="24"/>
          <w:szCs w:val="24"/>
        </w:rPr>
        <w:t xml:space="preserve">entre outras ferramentas de </w:t>
      </w:r>
      <w:r>
        <w:rPr>
          <w:rFonts w:ascii="Times New Roman" w:hAnsi="Times New Roman" w:cs="Times New Roman"/>
          <w:sz w:val="24"/>
          <w:szCs w:val="24"/>
        </w:rPr>
        <w:t xml:space="preserve">testes não paramétricos para comparação dos dados, uma vez que os dados analisados </w:t>
      </w:r>
      <w:r w:rsidR="0082024D">
        <w:rPr>
          <w:rFonts w:ascii="Times New Roman" w:hAnsi="Times New Roman" w:cs="Times New Roman"/>
          <w:sz w:val="24"/>
          <w:szCs w:val="24"/>
        </w:rPr>
        <w:t>não atendiam aos</w:t>
      </w:r>
      <w:r w:rsidR="0082024D" w:rsidRPr="0082024D">
        <w:rPr>
          <w:rFonts w:ascii="Times New Roman" w:hAnsi="Times New Roman" w:cs="Times New Roman"/>
          <w:sz w:val="24"/>
          <w:szCs w:val="24"/>
        </w:rPr>
        <w:t xml:space="preserve"> pressupostos dos testes paramétricos tradicionais</w:t>
      </w:r>
      <w:r>
        <w:rPr>
          <w:rFonts w:ascii="Times New Roman" w:hAnsi="Times New Roman" w:cs="Times New Roman"/>
          <w:sz w:val="24"/>
          <w:szCs w:val="24"/>
        </w:rPr>
        <w:t xml:space="preserve">. </w:t>
      </w:r>
      <w:r w:rsidR="0082024D">
        <w:rPr>
          <w:rFonts w:ascii="Times New Roman" w:hAnsi="Times New Roman" w:cs="Times New Roman"/>
          <w:sz w:val="24"/>
          <w:szCs w:val="24"/>
        </w:rPr>
        <w:t xml:space="preserve">Para responder as </w:t>
      </w:r>
      <w:r w:rsidR="00F65739">
        <w:rPr>
          <w:rFonts w:ascii="Times New Roman" w:hAnsi="Times New Roman" w:cs="Times New Roman"/>
          <w:sz w:val="24"/>
          <w:szCs w:val="24"/>
        </w:rPr>
        <w:t>4</w:t>
      </w:r>
      <w:r w:rsidR="0082024D">
        <w:rPr>
          <w:rFonts w:ascii="Times New Roman" w:hAnsi="Times New Roman" w:cs="Times New Roman"/>
          <w:sz w:val="24"/>
          <w:szCs w:val="24"/>
        </w:rPr>
        <w:t xml:space="preserve"> primeiras questões, foi utilizado o teste </w:t>
      </w:r>
      <w:r w:rsidR="0082024D" w:rsidRPr="0082024D">
        <w:rPr>
          <w:rFonts w:ascii="Times New Roman" w:hAnsi="Times New Roman" w:cs="Times New Roman"/>
          <w:sz w:val="24"/>
          <w:szCs w:val="24"/>
        </w:rPr>
        <w:t>de Mann-Whitney</w:t>
      </w:r>
      <w:r w:rsidR="005F649B">
        <w:rPr>
          <w:rFonts w:ascii="Times New Roman" w:hAnsi="Times New Roman" w:cs="Times New Roman"/>
          <w:sz w:val="24"/>
          <w:szCs w:val="24"/>
        </w:rPr>
        <w:t xml:space="preserve"> com nível de confiança de 95%</w:t>
      </w:r>
      <w:r w:rsidR="0082024D">
        <w:rPr>
          <w:rFonts w:ascii="Times New Roman" w:hAnsi="Times New Roman" w:cs="Times New Roman"/>
          <w:sz w:val="24"/>
          <w:szCs w:val="24"/>
        </w:rPr>
        <w:t xml:space="preserve">. </w:t>
      </w:r>
      <w:r w:rsidR="0082024D" w:rsidRPr="0082024D">
        <w:rPr>
          <w:rFonts w:ascii="Times New Roman" w:hAnsi="Times New Roman" w:cs="Times New Roman"/>
          <w:sz w:val="24"/>
          <w:szCs w:val="24"/>
        </w:rPr>
        <w:t>Esse teste é usado para determinar se duas amostras independentes têm medianas iguais ou diferentes, sem fazer suposições sobre a distribuição subjacente dos dados.</w:t>
      </w:r>
      <w:r w:rsidR="0082024D">
        <w:rPr>
          <w:rFonts w:ascii="Times New Roman" w:hAnsi="Times New Roman" w:cs="Times New Roman"/>
          <w:sz w:val="24"/>
          <w:szCs w:val="24"/>
        </w:rPr>
        <w:t xml:space="preserve"> Os resultados dos testes são apresentados na Tabela </w:t>
      </w:r>
      <w:r w:rsidR="00740195">
        <w:rPr>
          <w:rFonts w:ascii="Times New Roman" w:hAnsi="Times New Roman" w:cs="Times New Roman"/>
          <w:sz w:val="24"/>
          <w:szCs w:val="24"/>
        </w:rPr>
        <w:t>1</w:t>
      </w:r>
      <w:r w:rsidR="0055487C">
        <w:rPr>
          <w:rFonts w:ascii="Times New Roman" w:hAnsi="Times New Roman" w:cs="Times New Roman"/>
          <w:sz w:val="24"/>
          <w:szCs w:val="24"/>
        </w:rPr>
        <w:t>2</w:t>
      </w:r>
      <w:r w:rsidR="0082024D">
        <w:rPr>
          <w:rFonts w:ascii="Times New Roman" w:hAnsi="Times New Roman" w:cs="Times New Roman"/>
          <w:sz w:val="24"/>
          <w:szCs w:val="24"/>
        </w:rPr>
        <w:t>.</w:t>
      </w:r>
    </w:p>
    <w:p w14:paraId="799B8AB1" w14:textId="5C92600C" w:rsidR="0082024D" w:rsidRPr="0082024D" w:rsidRDefault="0082024D" w:rsidP="0082024D">
      <w:pPr>
        <w:spacing w:after="120" w:line="360" w:lineRule="auto"/>
        <w:jc w:val="center"/>
        <w:rPr>
          <w:rFonts w:ascii="Times New Roman" w:hAnsi="Times New Roman" w:cs="Times New Roman"/>
          <w:sz w:val="20"/>
          <w:szCs w:val="20"/>
        </w:rPr>
      </w:pPr>
      <w:r w:rsidRPr="0082024D">
        <w:rPr>
          <w:rFonts w:ascii="Times New Roman" w:hAnsi="Times New Roman" w:cs="Times New Roman"/>
          <w:sz w:val="20"/>
          <w:szCs w:val="20"/>
        </w:rPr>
        <w:t xml:space="preserve">Tabela </w:t>
      </w:r>
      <w:r w:rsidR="00740195">
        <w:rPr>
          <w:rFonts w:ascii="Times New Roman" w:hAnsi="Times New Roman" w:cs="Times New Roman"/>
          <w:sz w:val="20"/>
          <w:szCs w:val="20"/>
        </w:rPr>
        <w:t>1</w:t>
      </w:r>
      <w:r w:rsidR="0055487C">
        <w:rPr>
          <w:rFonts w:ascii="Times New Roman" w:hAnsi="Times New Roman" w:cs="Times New Roman"/>
          <w:sz w:val="20"/>
          <w:szCs w:val="20"/>
        </w:rPr>
        <w:t>2</w:t>
      </w:r>
      <w:r w:rsidRPr="0082024D">
        <w:rPr>
          <w:rFonts w:ascii="Times New Roman" w:hAnsi="Times New Roman" w:cs="Times New Roman"/>
          <w:sz w:val="20"/>
          <w:szCs w:val="20"/>
        </w:rPr>
        <w:t xml:space="preserve"> </w:t>
      </w:r>
      <w:r>
        <w:rPr>
          <w:rFonts w:ascii="Times New Roman" w:hAnsi="Times New Roman" w:cs="Times New Roman"/>
          <w:sz w:val="20"/>
          <w:szCs w:val="20"/>
        </w:rPr>
        <w:t xml:space="preserve">– </w:t>
      </w:r>
      <w:r w:rsidR="007C5D29">
        <w:rPr>
          <w:rFonts w:ascii="Times New Roman" w:hAnsi="Times New Roman" w:cs="Times New Roman"/>
          <w:sz w:val="20"/>
          <w:szCs w:val="20"/>
        </w:rPr>
        <w:t>Perguntas de Pesquisa x Resultados dos Testes</w:t>
      </w:r>
    </w:p>
    <w:tbl>
      <w:tblPr>
        <w:tblStyle w:val="Tabelacomgrade"/>
        <w:tblW w:w="9918" w:type="dxa"/>
        <w:jc w:val="center"/>
        <w:tblLayout w:type="fixed"/>
        <w:tblLook w:val="04A0" w:firstRow="1" w:lastRow="0" w:firstColumn="1" w:lastColumn="0" w:noHBand="0" w:noVBand="1"/>
      </w:tblPr>
      <w:tblGrid>
        <w:gridCol w:w="1413"/>
        <w:gridCol w:w="1276"/>
        <w:gridCol w:w="1275"/>
        <w:gridCol w:w="1985"/>
        <w:gridCol w:w="1984"/>
        <w:gridCol w:w="1985"/>
      </w:tblGrid>
      <w:tr w:rsidR="006134F7" w:rsidRPr="00B37393" w14:paraId="69FD8853" w14:textId="7DD8EE1B" w:rsidTr="00B37393">
        <w:trPr>
          <w:jc w:val="center"/>
        </w:trPr>
        <w:tc>
          <w:tcPr>
            <w:tcW w:w="1413" w:type="dxa"/>
            <w:vAlign w:val="center"/>
          </w:tcPr>
          <w:p w14:paraId="223D5917" w14:textId="77777777" w:rsidR="005F465B" w:rsidRPr="00B37393" w:rsidRDefault="005F465B" w:rsidP="00FA511C">
            <w:pPr>
              <w:pStyle w:val="standard"/>
              <w:spacing w:before="0" w:beforeAutospacing="0" w:after="0" w:afterAutospacing="0"/>
              <w:jc w:val="center"/>
              <w:rPr>
                <w:rFonts w:eastAsiaTheme="minorHAnsi"/>
                <w:b/>
                <w:bCs/>
                <w:kern w:val="2"/>
                <w:sz w:val="20"/>
                <w:szCs w:val="20"/>
                <w:lang w:eastAsia="en-US"/>
                <w14:ligatures w14:val="standardContextual"/>
              </w:rPr>
            </w:pPr>
            <w:r w:rsidRPr="00B37393">
              <w:rPr>
                <w:rFonts w:eastAsiaTheme="minorHAnsi"/>
                <w:b/>
                <w:bCs/>
                <w:kern w:val="2"/>
                <w:sz w:val="20"/>
                <w:szCs w:val="20"/>
                <w:lang w:eastAsia="en-US"/>
                <w14:ligatures w14:val="standardContextual"/>
              </w:rPr>
              <w:t>Hierarquia</w:t>
            </w:r>
          </w:p>
        </w:tc>
        <w:tc>
          <w:tcPr>
            <w:tcW w:w="1276" w:type="dxa"/>
            <w:vAlign w:val="center"/>
          </w:tcPr>
          <w:p w14:paraId="268F7EBB" w14:textId="000AFC43" w:rsidR="005F465B" w:rsidRPr="00B37393" w:rsidRDefault="005F465B" w:rsidP="00FA511C">
            <w:pPr>
              <w:pStyle w:val="standard"/>
              <w:spacing w:before="0" w:beforeAutospacing="0" w:after="0" w:afterAutospacing="0"/>
              <w:jc w:val="center"/>
              <w:rPr>
                <w:rFonts w:eastAsiaTheme="minorHAnsi"/>
                <w:b/>
                <w:bCs/>
                <w:kern w:val="2"/>
                <w:sz w:val="20"/>
                <w:szCs w:val="20"/>
                <w:lang w:eastAsia="en-US"/>
                <w14:ligatures w14:val="standardContextual"/>
              </w:rPr>
            </w:pPr>
            <w:r w:rsidRPr="00B37393">
              <w:rPr>
                <w:rFonts w:eastAsiaTheme="minorHAnsi"/>
                <w:b/>
                <w:bCs/>
                <w:kern w:val="2"/>
                <w:sz w:val="20"/>
                <w:szCs w:val="20"/>
                <w:lang w:eastAsia="en-US"/>
                <w14:ligatures w14:val="standardContextual"/>
              </w:rPr>
              <w:t>Municípios Eficientes</w:t>
            </w:r>
          </w:p>
        </w:tc>
        <w:tc>
          <w:tcPr>
            <w:tcW w:w="1275" w:type="dxa"/>
            <w:vAlign w:val="center"/>
          </w:tcPr>
          <w:p w14:paraId="6EFA4AD2" w14:textId="31552C26" w:rsidR="005F465B" w:rsidRPr="00B37393" w:rsidRDefault="005F465B" w:rsidP="00FA511C">
            <w:pPr>
              <w:pStyle w:val="standard"/>
              <w:spacing w:before="0" w:beforeAutospacing="0" w:after="0" w:afterAutospacing="0"/>
              <w:jc w:val="center"/>
              <w:rPr>
                <w:rFonts w:eastAsiaTheme="minorHAnsi"/>
                <w:b/>
                <w:bCs/>
                <w:kern w:val="2"/>
                <w:sz w:val="20"/>
                <w:szCs w:val="20"/>
                <w:lang w:eastAsia="en-US"/>
                <w14:ligatures w14:val="standardContextual"/>
              </w:rPr>
            </w:pPr>
            <w:r w:rsidRPr="00B37393">
              <w:rPr>
                <w:rFonts w:eastAsiaTheme="minorHAnsi"/>
                <w:b/>
                <w:bCs/>
                <w:kern w:val="2"/>
                <w:sz w:val="20"/>
                <w:szCs w:val="20"/>
                <w:lang w:eastAsia="en-US"/>
                <w14:ligatures w14:val="standardContextual"/>
              </w:rPr>
              <w:t>Municípios Ineficientes</w:t>
            </w:r>
          </w:p>
        </w:tc>
        <w:tc>
          <w:tcPr>
            <w:tcW w:w="1985" w:type="dxa"/>
            <w:vAlign w:val="center"/>
          </w:tcPr>
          <w:p w14:paraId="65649272" w14:textId="3C445B44" w:rsidR="005F465B" w:rsidRPr="00B37393" w:rsidRDefault="005F465B" w:rsidP="00FA511C">
            <w:pPr>
              <w:pStyle w:val="standard"/>
              <w:spacing w:before="0" w:beforeAutospacing="0" w:after="0" w:afterAutospacing="0"/>
              <w:jc w:val="center"/>
              <w:rPr>
                <w:rFonts w:eastAsiaTheme="minorHAnsi"/>
                <w:b/>
                <w:bCs/>
                <w:kern w:val="2"/>
                <w:sz w:val="20"/>
                <w:szCs w:val="20"/>
                <w:lang w:eastAsia="en-US"/>
                <w14:ligatures w14:val="standardContextual"/>
              </w:rPr>
            </w:pPr>
            <w:r w:rsidRPr="00B37393">
              <w:rPr>
                <w:rFonts w:eastAsiaTheme="minorHAnsi"/>
                <w:b/>
                <w:bCs/>
                <w:kern w:val="2"/>
                <w:sz w:val="20"/>
                <w:szCs w:val="20"/>
                <w:lang w:eastAsia="en-US"/>
                <w14:ligatures w14:val="standardContextual"/>
              </w:rPr>
              <w:t>Os municípios Ineficientes possuem Orçamento per capita Maior?</w:t>
            </w:r>
          </w:p>
        </w:tc>
        <w:tc>
          <w:tcPr>
            <w:tcW w:w="1984" w:type="dxa"/>
            <w:vAlign w:val="center"/>
          </w:tcPr>
          <w:p w14:paraId="560EC21E" w14:textId="625126F9" w:rsidR="005F465B" w:rsidRPr="00B37393" w:rsidRDefault="005F465B" w:rsidP="00FA511C">
            <w:pPr>
              <w:pStyle w:val="standard"/>
              <w:spacing w:before="0" w:beforeAutospacing="0" w:after="0" w:afterAutospacing="0"/>
              <w:jc w:val="center"/>
              <w:rPr>
                <w:rFonts w:eastAsiaTheme="minorHAnsi"/>
                <w:b/>
                <w:bCs/>
                <w:kern w:val="2"/>
                <w:sz w:val="20"/>
                <w:szCs w:val="20"/>
                <w:lang w:eastAsia="en-US"/>
                <w14:ligatures w14:val="standardContextual"/>
              </w:rPr>
            </w:pPr>
            <w:r w:rsidRPr="00B37393">
              <w:rPr>
                <w:rFonts w:eastAsiaTheme="minorHAnsi"/>
                <w:b/>
                <w:bCs/>
                <w:kern w:val="2"/>
                <w:sz w:val="20"/>
                <w:szCs w:val="20"/>
                <w:lang w:eastAsia="en-US"/>
                <w14:ligatures w14:val="standardContextual"/>
              </w:rPr>
              <w:t>Os municípios Ineficientes possuem população menor?</w:t>
            </w:r>
          </w:p>
        </w:tc>
        <w:tc>
          <w:tcPr>
            <w:tcW w:w="1985" w:type="dxa"/>
            <w:vAlign w:val="center"/>
          </w:tcPr>
          <w:p w14:paraId="06337C05" w14:textId="51396ED3" w:rsidR="005F465B" w:rsidRPr="00B37393" w:rsidRDefault="005F465B" w:rsidP="00FA511C">
            <w:pPr>
              <w:pStyle w:val="standard"/>
              <w:spacing w:before="0" w:beforeAutospacing="0" w:after="0" w:afterAutospacing="0"/>
              <w:jc w:val="center"/>
              <w:rPr>
                <w:rFonts w:eastAsiaTheme="minorHAnsi"/>
                <w:b/>
                <w:bCs/>
                <w:kern w:val="2"/>
                <w:sz w:val="20"/>
                <w:szCs w:val="20"/>
                <w:lang w:eastAsia="en-US"/>
                <w14:ligatures w14:val="standardContextual"/>
              </w:rPr>
            </w:pPr>
            <w:r w:rsidRPr="00B37393">
              <w:rPr>
                <w:rFonts w:eastAsiaTheme="minorHAnsi"/>
                <w:b/>
                <w:bCs/>
                <w:kern w:val="2"/>
                <w:sz w:val="20"/>
                <w:szCs w:val="20"/>
                <w:lang w:eastAsia="en-US"/>
                <w14:ligatures w14:val="standardContextual"/>
              </w:rPr>
              <w:t>ODS entre Eficientes e Ineficientes são iguais?</w:t>
            </w:r>
          </w:p>
        </w:tc>
      </w:tr>
      <w:tr w:rsidR="006134F7" w:rsidRPr="00B37393" w14:paraId="6BAF08C7" w14:textId="00298930" w:rsidTr="00B37393">
        <w:trPr>
          <w:jc w:val="center"/>
        </w:trPr>
        <w:tc>
          <w:tcPr>
            <w:tcW w:w="1413" w:type="dxa"/>
            <w:vAlign w:val="center"/>
          </w:tcPr>
          <w:p w14:paraId="3E63C16D" w14:textId="77777777" w:rsidR="005F465B" w:rsidRPr="00B37393" w:rsidRDefault="005F465B" w:rsidP="006134F7">
            <w:pPr>
              <w:pStyle w:val="standard"/>
              <w:spacing w:before="0" w:beforeAutospacing="0" w:after="0" w:afterAutospacing="0"/>
              <w:rPr>
                <w:rFonts w:eastAsiaTheme="minorHAnsi"/>
                <w:kern w:val="2"/>
                <w:sz w:val="20"/>
                <w:szCs w:val="20"/>
                <w:lang w:eastAsia="en-US"/>
                <w14:ligatures w14:val="standardContextual"/>
              </w:rPr>
            </w:pPr>
            <w:r w:rsidRPr="00B37393">
              <w:rPr>
                <w:color w:val="000000"/>
                <w:sz w:val="20"/>
                <w:szCs w:val="20"/>
              </w:rPr>
              <w:t>1 - Metrópole</w:t>
            </w:r>
          </w:p>
        </w:tc>
        <w:tc>
          <w:tcPr>
            <w:tcW w:w="1276" w:type="dxa"/>
            <w:vAlign w:val="center"/>
          </w:tcPr>
          <w:p w14:paraId="1400544F" w14:textId="36D7F935" w:rsidR="005F465B" w:rsidRPr="00B37393" w:rsidRDefault="00FA511C" w:rsidP="006134F7">
            <w:pPr>
              <w:pStyle w:val="standard"/>
              <w:spacing w:before="0" w:beforeAutospacing="0" w:after="0" w:afterAutospacing="0"/>
              <w:jc w:val="center"/>
              <w:rPr>
                <w:rFonts w:eastAsiaTheme="minorHAnsi"/>
                <w:kern w:val="2"/>
                <w:sz w:val="20"/>
                <w:szCs w:val="20"/>
                <w:lang w:eastAsia="en-US"/>
                <w14:ligatures w14:val="standardContextual"/>
              </w:rPr>
            </w:pPr>
            <w:r w:rsidRPr="00B37393">
              <w:rPr>
                <w:rFonts w:eastAsiaTheme="minorHAnsi"/>
                <w:kern w:val="2"/>
                <w:sz w:val="20"/>
                <w:szCs w:val="20"/>
                <w:lang w:eastAsia="en-US"/>
                <w14:ligatures w14:val="standardContextual"/>
              </w:rPr>
              <w:t>18</w:t>
            </w:r>
            <w:r w:rsidR="00051AD7">
              <w:rPr>
                <w:rFonts w:eastAsiaTheme="minorHAnsi"/>
                <w:kern w:val="2"/>
                <w:sz w:val="20"/>
                <w:szCs w:val="20"/>
                <w:lang w:eastAsia="en-US"/>
                <w14:ligatures w14:val="standardContextual"/>
              </w:rPr>
              <w:t>3</w:t>
            </w:r>
          </w:p>
        </w:tc>
        <w:tc>
          <w:tcPr>
            <w:tcW w:w="1275" w:type="dxa"/>
            <w:vAlign w:val="center"/>
          </w:tcPr>
          <w:p w14:paraId="31F8EB15" w14:textId="32C27990" w:rsidR="005F465B" w:rsidRPr="00B37393" w:rsidRDefault="00051AD7" w:rsidP="006134F7">
            <w:pPr>
              <w:pStyle w:val="standard"/>
              <w:spacing w:before="0" w:beforeAutospacing="0" w:after="0" w:afterAutospacing="0"/>
              <w:jc w:val="center"/>
              <w:rPr>
                <w:color w:val="000000"/>
                <w:sz w:val="20"/>
                <w:szCs w:val="20"/>
              </w:rPr>
            </w:pPr>
            <w:r>
              <w:rPr>
                <w:color w:val="000000"/>
                <w:sz w:val="20"/>
                <w:szCs w:val="20"/>
              </w:rPr>
              <w:t>28</w:t>
            </w:r>
          </w:p>
        </w:tc>
        <w:tc>
          <w:tcPr>
            <w:tcW w:w="1985" w:type="dxa"/>
            <w:vAlign w:val="center"/>
          </w:tcPr>
          <w:p w14:paraId="0540C87E" w14:textId="77777777" w:rsidR="005F465B" w:rsidRPr="00B37393" w:rsidRDefault="00FA511C" w:rsidP="006134F7">
            <w:pPr>
              <w:pStyle w:val="standard"/>
              <w:spacing w:before="0" w:beforeAutospacing="0" w:after="0" w:afterAutospacing="0"/>
              <w:jc w:val="center"/>
              <w:rPr>
                <w:color w:val="000000"/>
                <w:sz w:val="20"/>
                <w:szCs w:val="20"/>
              </w:rPr>
            </w:pPr>
            <w:r w:rsidRPr="00B37393">
              <w:rPr>
                <w:color w:val="000000"/>
                <w:sz w:val="20"/>
                <w:szCs w:val="20"/>
              </w:rPr>
              <w:t>Sim, P-value = 0,000</w:t>
            </w:r>
          </w:p>
          <w:p w14:paraId="31C3722E" w14:textId="672A214D" w:rsidR="00FA511C" w:rsidRPr="00B37393" w:rsidRDefault="00FA511C" w:rsidP="006134F7">
            <w:pPr>
              <w:pStyle w:val="standard"/>
              <w:spacing w:before="0" w:beforeAutospacing="0" w:after="0" w:afterAutospacing="0"/>
              <w:jc w:val="center"/>
              <w:rPr>
                <w:color w:val="000000"/>
                <w:sz w:val="20"/>
                <w:szCs w:val="20"/>
              </w:rPr>
            </w:pPr>
            <w:r w:rsidRPr="00B37393">
              <w:rPr>
                <w:color w:val="000000"/>
                <w:sz w:val="20"/>
                <w:szCs w:val="20"/>
              </w:rPr>
              <w:t xml:space="preserve">(6309,51 x </w:t>
            </w:r>
            <w:r w:rsidR="00B421B0">
              <w:rPr>
                <w:color w:val="000000"/>
                <w:sz w:val="20"/>
                <w:szCs w:val="20"/>
              </w:rPr>
              <w:t>4173,78</w:t>
            </w:r>
            <w:r w:rsidRPr="00B37393">
              <w:rPr>
                <w:color w:val="000000"/>
                <w:sz w:val="20"/>
                <w:szCs w:val="20"/>
              </w:rPr>
              <w:t>)</w:t>
            </w:r>
          </w:p>
        </w:tc>
        <w:tc>
          <w:tcPr>
            <w:tcW w:w="1984" w:type="dxa"/>
            <w:vAlign w:val="center"/>
          </w:tcPr>
          <w:p w14:paraId="29F159E2" w14:textId="225A9967" w:rsidR="00FA511C" w:rsidRPr="00B37393" w:rsidRDefault="00FA511C" w:rsidP="006134F7">
            <w:pPr>
              <w:pStyle w:val="standard"/>
              <w:spacing w:before="0" w:beforeAutospacing="0" w:after="0" w:afterAutospacing="0"/>
              <w:jc w:val="center"/>
              <w:rPr>
                <w:color w:val="000000"/>
                <w:sz w:val="20"/>
                <w:szCs w:val="20"/>
              </w:rPr>
            </w:pPr>
            <w:r w:rsidRPr="00B37393">
              <w:rPr>
                <w:color w:val="000000"/>
                <w:sz w:val="20"/>
                <w:szCs w:val="20"/>
              </w:rPr>
              <w:t>Sim, P-value = 0,00</w:t>
            </w:r>
            <w:r w:rsidR="001F1A9E">
              <w:rPr>
                <w:color w:val="000000"/>
                <w:sz w:val="20"/>
                <w:szCs w:val="20"/>
              </w:rPr>
              <w:t>9</w:t>
            </w:r>
          </w:p>
          <w:p w14:paraId="379B96BD" w14:textId="6E6B0ECF" w:rsidR="005F465B" w:rsidRPr="00B37393" w:rsidRDefault="00FA511C" w:rsidP="006134F7">
            <w:pPr>
              <w:pStyle w:val="standard"/>
              <w:spacing w:before="0" w:beforeAutospacing="0" w:after="0" w:afterAutospacing="0"/>
              <w:jc w:val="center"/>
              <w:rPr>
                <w:color w:val="000000"/>
                <w:sz w:val="20"/>
                <w:szCs w:val="20"/>
              </w:rPr>
            </w:pPr>
            <w:r w:rsidRPr="00B37393">
              <w:rPr>
                <w:color w:val="000000"/>
                <w:sz w:val="20"/>
                <w:szCs w:val="20"/>
              </w:rPr>
              <w:t>(</w:t>
            </w:r>
            <w:r w:rsidR="001F1A9E">
              <w:rPr>
                <w:color w:val="000000"/>
                <w:sz w:val="20"/>
                <w:szCs w:val="20"/>
              </w:rPr>
              <w:t>61981</w:t>
            </w:r>
            <w:r w:rsidRPr="00B37393">
              <w:rPr>
                <w:color w:val="000000"/>
                <w:sz w:val="20"/>
                <w:szCs w:val="20"/>
              </w:rPr>
              <w:t xml:space="preserve"> x </w:t>
            </w:r>
            <w:r w:rsidR="001F1A9E">
              <w:rPr>
                <w:color w:val="000000"/>
                <w:sz w:val="20"/>
                <w:szCs w:val="20"/>
              </w:rPr>
              <w:t>111785</w:t>
            </w:r>
            <w:r w:rsidRPr="00B37393">
              <w:rPr>
                <w:color w:val="000000"/>
                <w:sz w:val="20"/>
                <w:szCs w:val="20"/>
              </w:rPr>
              <w:t>)</w:t>
            </w:r>
          </w:p>
        </w:tc>
        <w:tc>
          <w:tcPr>
            <w:tcW w:w="1985" w:type="dxa"/>
            <w:vAlign w:val="center"/>
          </w:tcPr>
          <w:p w14:paraId="37CFA86C" w14:textId="56C5E219" w:rsidR="005F465B" w:rsidRPr="00B37393" w:rsidRDefault="00FA511C" w:rsidP="006134F7">
            <w:pPr>
              <w:pStyle w:val="standard"/>
              <w:spacing w:before="0" w:beforeAutospacing="0" w:after="0" w:afterAutospacing="0"/>
              <w:jc w:val="center"/>
              <w:rPr>
                <w:color w:val="000000"/>
                <w:sz w:val="20"/>
                <w:szCs w:val="20"/>
              </w:rPr>
            </w:pPr>
            <w:r w:rsidRPr="00B37393">
              <w:rPr>
                <w:color w:val="000000"/>
                <w:sz w:val="20"/>
                <w:szCs w:val="20"/>
              </w:rPr>
              <w:t xml:space="preserve">Sim, </w:t>
            </w:r>
            <w:r w:rsidR="006134F7" w:rsidRPr="00B37393">
              <w:rPr>
                <w:color w:val="000000"/>
                <w:sz w:val="20"/>
                <w:szCs w:val="20"/>
              </w:rPr>
              <w:t>P-value = 0,</w:t>
            </w:r>
            <w:r w:rsidR="00E82E6F">
              <w:rPr>
                <w:color w:val="000000"/>
                <w:sz w:val="20"/>
                <w:szCs w:val="20"/>
              </w:rPr>
              <w:t>901</w:t>
            </w:r>
          </w:p>
          <w:p w14:paraId="5480A0D9" w14:textId="2B2C7DE4" w:rsidR="006134F7" w:rsidRPr="00B37393" w:rsidRDefault="006134F7" w:rsidP="006134F7">
            <w:pPr>
              <w:pStyle w:val="standard"/>
              <w:spacing w:before="0" w:beforeAutospacing="0" w:after="0" w:afterAutospacing="0"/>
              <w:jc w:val="center"/>
              <w:rPr>
                <w:color w:val="000000"/>
                <w:sz w:val="20"/>
                <w:szCs w:val="20"/>
              </w:rPr>
            </w:pPr>
            <w:r w:rsidRPr="00B37393">
              <w:rPr>
                <w:color w:val="000000"/>
                <w:sz w:val="20"/>
                <w:szCs w:val="20"/>
              </w:rPr>
              <w:t>(51,</w:t>
            </w:r>
            <w:r w:rsidR="00E82E6F">
              <w:rPr>
                <w:color w:val="000000"/>
                <w:sz w:val="20"/>
                <w:szCs w:val="20"/>
              </w:rPr>
              <w:t>78</w:t>
            </w:r>
            <w:r w:rsidRPr="00B37393">
              <w:rPr>
                <w:color w:val="000000"/>
                <w:sz w:val="20"/>
                <w:szCs w:val="20"/>
              </w:rPr>
              <w:t xml:space="preserve"> x 51,</w:t>
            </w:r>
            <w:r w:rsidR="00E82E6F">
              <w:rPr>
                <w:color w:val="000000"/>
                <w:sz w:val="20"/>
                <w:szCs w:val="20"/>
              </w:rPr>
              <w:t>82</w:t>
            </w:r>
            <w:r w:rsidRPr="00B37393">
              <w:rPr>
                <w:color w:val="000000"/>
                <w:sz w:val="20"/>
                <w:szCs w:val="20"/>
              </w:rPr>
              <w:t>)</w:t>
            </w:r>
          </w:p>
        </w:tc>
      </w:tr>
      <w:tr w:rsidR="006134F7" w:rsidRPr="00B37393" w14:paraId="1151DBA0" w14:textId="65A77754" w:rsidTr="00B37393">
        <w:trPr>
          <w:jc w:val="center"/>
        </w:trPr>
        <w:tc>
          <w:tcPr>
            <w:tcW w:w="1413" w:type="dxa"/>
            <w:vAlign w:val="center"/>
          </w:tcPr>
          <w:p w14:paraId="34F0AF55" w14:textId="77777777" w:rsidR="005F465B" w:rsidRPr="00B37393" w:rsidRDefault="005F465B" w:rsidP="006134F7">
            <w:pPr>
              <w:pStyle w:val="standard"/>
              <w:spacing w:before="0" w:beforeAutospacing="0" w:after="0" w:afterAutospacing="0"/>
              <w:rPr>
                <w:rFonts w:eastAsiaTheme="minorHAnsi"/>
                <w:kern w:val="2"/>
                <w:sz w:val="20"/>
                <w:szCs w:val="20"/>
                <w:lang w:eastAsia="en-US"/>
                <w14:ligatures w14:val="standardContextual"/>
              </w:rPr>
            </w:pPr>
            <w:r w:rsidRPr="00B37393">
              <w:rPr>
                <w:color w:val="000000"/>
                <w:sz w:val="20"/>
                <w:szCs w:val="20"/>
              </w:rPr>
              <w:t>2- Capital Regional</w:t>
            </w:r>
          </w:p>
        </w:tc>
        <w:tc>
          <w:tcPr>
            <w:tcW w:w="1276" w:type="dxa"/>
            <w:vAlign w:val="center"/>
          </w:tcPr>
          <w:p w14:paraId="10831F3B" w14:textId="7E274898" w:rsidR="005F465B" w:rsidRPr="00B37393" w:rsidRDefault="00FA511C" w:rsidP="006134F7">
            <w:pPr>
              <w:pStyle w:val="standard"/>
              <w:spacing w:before="0" w:beforeAutospacing="0" w:after="0" w:afterAutospacing="0"/>
              <w:jc w:val="center"/>
              <w:rPr>
                <w:rFonts w:eastAsiaTheme="minorHAnsi"/>
                <w:kern w:val="2"/>
                <w:sz w:val="20"/>
                <w:szCs w:val="20"/>
                <w:lang w:eastAsia="en-US"/>
                <w14:ligatures w14:val="standardContextual"/>
              </w:rPr>
            </w:pPr>
            <w:r w:rsidRPr="00B37393">
              <w:rPr>
                <w:rFonts w:eastAsiaTheme="minorHAnsi"/>
                <w:kern w:val="2"/>
                <w:sz w:val="20"/>
                <w:szCs w:val="20"/>
                <w:lang w:eastAsia="en-US"/>
                <w14:ligatures w14:val="standardContextual"/>
              </w:rPr>
              <w:t>2</w:t>
            </w:r>
            <w:r w:rsidR="00051AD7">
              <w:rPr>
                <w:rFonts w:eastAsiaTheme="minorHAnsi"/>
                <w:kern w:val="2"/>
                <w:sz w:val="20"/>
                <w:szCs w:val="20"/>
                <w:lang w:eastAsia="en-US"/>
                <w14:ligatures w14:val="standardContextual"/>
              </w:rPr>
              <w:t>04</w:t>
            </w:r>
          </w:p>
        </w:tc>
        <w:tc>
          <w:tcPr>
            <w:tcW w:w="1275" w:type="dxa"/>
            <w:vAlign w:val="center"/>
          </w:tcPr>
          <w:p w14:paraId="2265450F" w14:textId="53D898A5" w:rsidR="005F465B" w:rsidRPr="00B37393" w:rsidRDefault="00051AD7" w:rsidP="006134F7">
            <w:pPr>
              <w:pStyle w:val="standard"/>
              <w:spacing w:before="0" w:beforeAutospacing="0" w:after="0" w:afterAutospacing="0"/>
              <w:jc w:val="center"/>
              <w:rPr>
                <w:color w:val="000000"/>
                <w:sz w:val="20"/>
                <w:szCs w:val="20"/>
              </w:rPr>
            </w:pPr>
            <w:r>
              <w:rPr>
                <w:color w:val="000000"/>
                <w:sz w:val="20"/>
                <w:szCs w:val="20"/>
              </w:rPr>
              <w:t>94</w:t>
            </w:r>
          </w:p>
        </w:tc>
        <w:tc>
          <w:tcPr>
            <w:tcW w:w="1985" w:type="dxa"/>
            <w:vAlign w:val="center"/>
          </w:tcPr>
          <w:p w14:paraId="5F6F6139" w14:textId="77777777" w:rsidR="006134F7" w:rsidRPr="00B37393" w:rsidRDefault="006134F7" w:rsidP="006134F7">
            <w:pPr>
              <w:pStyle w:val="standard"/>
              <w:spacing w:before="0" w:beforeAutospacing="0" w:after="0" w:afterAutospacing="0"/>
              <w:jc w:val="center"/>
              <w:rPr>
                <w:color w:val="000000"/>
                <w:sz w:val="20"/>
                <w:szCs w:val="20"/>
              </w:rPr>
            </w:pPr>
            <w:r w:rsidRPr="00B37393">
              <w:rPr>
                <w:color w:val="000000"/>
                <w:sz w:val="20"/>
                <w:szCs w:val="20"/>
              </w:rPr>
              <w:t>Sim, P-value = 0,000</w:t>
            </w:r>
          </w:p>
          <w:p w14:paraId="4AD5BE42" w14:textId="09BF7FBB" w:rsidR="005F465B" w:rsidRPr="00B37393" w:rsidRDefault="006134F7" w:rsidP="006134F7">
            <w:pPr>
              <w:pStyle w:val="standard"/>
              <w:spacing w:before="0" w:beforeAutospacing="0" w:after="0" w:afterAutospacing="0"/>
              <w:jc w:val="center"/>
              <w:rPr>
                <w:color w:val="000000"/>
                <w:sz w:val="20"/>
                <w:szCs w:val="20"/>
              </w:rPr>
            </w:pPr>
            <w:r w:rsidRPr="00B37393">
              <w:rPr>
                <w:color w:val="000000"/>
                <w:sz w:val="20"/>
                <w:szCs w:val="20"/>
              </w:rPr>
              <w:t>(</w:t>
            </w:r>
            <w:r w:rsidR="00B421B0">
              <w:rPr>
                <w:color w:val="000000"/>
                <w:sz w:val="20"/>
                <w:szCs w:val="20"/>
              </w:rPr>
              <w:t>6692,57</w:t>
            </w:r>
            <w:r w:rsidRPr="00B37393">
              <w:rPr>
                <w:color w:val="000000"/>
                <w:sz w:val="20"/>
                <w:szCs w:val="20"/>
              </w:rPr>
              <w:t xml:space="preserve"> x </w:t>
            </w:r>
            <w:r w:rsidR="00B421B0">
              <w:rPr>
                <w:color w:val="000000"/>
                <w:sz w:val="20"/>
                <w:szCs w:val="20"/>
              </w:rPr>
              <w:t>4623,90</w:t>
            </w:r>
            <w:r w:rsidRPr="00B37393">
              <w:rPr>
                <w:color w:val="000000"/>
                <w:sz w:val="20"/>
                <w:szCs w:val="20"/>
              </w:rPr>
              <w:t>)</w:t>
            </w:r>
          </w:p>
        </w:tc>
        <w:tc>
          <w:tcPr>
            <w:tcW w:w="1984" w:type="dxa"/>
            <w:vAlign w:val="center"/>
          </w:tcPr>
          <w:p w14:paraId="21D18ABC" w14:textId="77777777" w:rsidR="006134F7" w:rsidRPr="00B37393" w:rsidRDefault="006134F7" w:rsidP="006134F7">
            <w:pPr>
              <w:pStyle w:val="standard"/>
              <w:spacing w:before="0" w:beforeAutospacing="0" w:after="0" w:afterAutospacing="0"/>
              <w:jc w:val="center"/>
              <w:rPr>
                <w:color w:val="000000"/>
                <w:sz w:val="20"/>
                <w:szCs w:val="20"/>
              </w:rPr>
            </w:pPr>
            <w:r w:rsidRPr="00B37393">
              <w:rPr>
                <w:color w:val="000000"/>
                <w:sz w:val="20"/>
                <w:szCs w:val="20"/>
              </w:rPr>
              <w:t>Sim, P-value = 0,000</w:t>
            </w:r>
          </w:p>
          <w:p w14:paraId="0658A41E" w14:textId="59C88788" w:rsidR="005F465B" w:rsidRPr="00B37393" w:rsidRDefault="006134F7" w:rsidP="006134F7">
            <w:pPr>
              <w:pStyle w:val="standard"/>
              <w:spacing w:before="0" w:beforeAutospacing="0" w:after="0" w:afterAutospacing="0"/>
              <w:jc w:val="center"/>
              <w:rPr>
                <w:color w:val="000000"/>
                <w:sz w:val="20"/>
                <w:szCs w:val="20"/>
              </w:rPr>
            </w:pPr>
            <w:r w:rsidRPr="00B37393">
              <w:rPr>
                <w:color w:val="000000"/>
                <w:sz w:val="20"/>
                <w:szCs w:val="20"/>
              </w:rPr>
              <w:t>(</w:t>
            </w:r>
            <w:r w:rsidR="001F1A9E">
              <w:rPr>
                <w:color w:val="000000"/>
                <w:sz w:val="20"/>
                <w:szCs w:val="20"/>
              </w:rPr>
              <w:t>22625</w:t>
            </w:r>
            <w:r w:rsidRPr="00B37393">
              <w:rPr>
                <w:color w:val="000000"/>
                <w:sz w:val="20"/>
                <w:szCs w:val="20"/>
              </w:rPr>
              <w:t xml:space="preserve"> x </w:t>
            </w:r>
            <w:r w:rsidR="001F1A9E">
              <w:rPr>
                <w:color w:val="000000"/>
                <w:sz w:val="20"/>
                <w:szCs w:val="20"/>
              </w:rPr>
              <w:t>73801</w:t>
            </w:r>
            <w:r w:rsidRPr="00B37393">
              <w:rPr>
                <w:color w:val="000000"/>
                <w:sz w:val="20"/>
                <w:szCs w:val="20"/>
              </w:rPr>
              <w:t>)</w:t>
            </w:r>
          </w:p>
        </w:tc>
        <w:tc>
          <w:tcPr>
            <w:tcW w:w="1985" w:type="dxa"/>
            <w:vAlign w:val="center"/>
          </w:tcPr>
          <w:p w14:paraId="1CD6A8BE" w14:textId="7FDED899" w:rsidR="006134F7" w:rsidRPr="00B37393" w:rsidRDefault="006134F7" w:rsidP="006134F7">
            <w:pPr>
              <w:pStyle w:val="standard"/>
              <w:spacing w:before="0" w:beforeAutospacing="0" w:after="0" w:afterAutospacing="0"/>
              <w:jc w:val="center"/>
              <w:rPr>
                <w:color w:val="000000"/>
                <w:sz w:val="20"/>
                <w:szCs w:val="20"/>
              </w:rPr>
            </w:pPr>
            <w:r w:rsidRPr="00B37393">
              <w:rPr>
                <w:color w:val="000000"/>
                <w:sz w:val="20"/>
                <w:szCs w:val="20"/>
              </w:rPr>
              <w:t>Sim, P-value = 0,</w:t>
            </w:r>
            <w:r w:rsidR="00E82E6F">
              <w:rPr>
                <w:color w:val="000000"/>
                <w:sz w:val="20"/>
                <w:szCs w:val="20"/>
              </w:rPr>
              <w:t>647</w:t>
            </w:r>
          </w:p>
          <w:p w14:paraId="6499B937" w14:textId="5D069F85" w:rsidR="005F465B" w:rsidRPr="00B37393" w:rsidRDefault="006134F7" w:rsidP="006134F7">
            <w:pPr>
              <w:pStyle w:val="standard"/>
              <w:spacing w:before="0" w:beforeAutospacing="0" w:after="0" w:afterAutospacing="0"/>
              <w:jc w:val="center"/>
              <w:rPr>
                <w:color w:val="000000"/>
                <w:sz w:val="20"/>
                <w:szCs w:val="20"/>
              </w:rPr>
            </w:pPr>
            <w:r w:rsidRPr="00B37393">
              <w:rPr>
                <w:color w:val="000000"/>
                <w:sz w:val="20"/>
                <w:szCs w:val="20"/>
              </w:rPr>
              <w:t>(5</w:t>
            </w:r>
            <w:r w:rsidR="00E82E6F">
              <w:rPr>
                <w:color w:val="000000"/>
                <w:sz w:val="20"/>
                <w:szCs w:val="20"/>
              </w:rPr>
              <w:t>2,55</w:t>
            </w:r>
            <w:r w:rsidRPr="00B37393">
              <w:rPr>
                <w:color w:val="000000"/>
                <w:sz w:val="20"/>
                <w:szCs w:val="20"/>
              </w:rPr>
              <w:t xml:space="preserve"> x 5</w:t>
            </w:r>
            <w:r w:rsidR="00E82E6F">
              <w:rPr>
                <w:color w:val="000000"/>
                <w:sz w:val="20"/>
                <w:szCs w:val="20"/>
              </w:rPr>
              <w:t>3,29</w:t>
            </w:r>
            <w:r w:rsidRPr="00B37393">
              <w:rPr>
                <w:color w:val="000000"/>
                <w:sz w:val="20"/>
                <w:szCs w:val="20"/>
              </w:rPr>
              <w:t>)</w:t>
            </w:r>
          </w:p>
        </w:tc>
      </w:tr>
      <w:tr w:rsidR="006134F7" w:rsidRPr="00B37393" w14:paraId="143C9E43" w14:textId="78635BCD" w:rsidTr="00B37393">
        <w:trPr>
          <w:jc w:val="center"/>
        </w:trPr>
        <w:tc>
          <w:tcPr>
            <w:tcW w:w="1413" w:type="dxa"/>
            <w:vAlign w:val="center"/>
          </w:tcPr>
          <w:p w14:paraId="0C633DA7" w14:textId="77777777" w:rsidR="005F465B" w:rsidRPr="00B37393" w:rsidRDefault="005F465B" w:rsidP="006134F7">
            <w:pPr>
              <w:pStyle w:val="standard"/>
              <w:spacing w:before="0" w:beforeAutospacing="0" w:after="0" w:afterAutospacing="0"/>
              <w:rPr>
                <w:rFonts w:eastAsiaTheme="minorHAnsi"/>
                <w:kern w:val="2"/>
                <w:sz w:val="20"/>
                <w:szCs w:val="20"/>
                <w:lang w:eastAsia="en-US"/>
                <w14:ligatures w14:val="standardContextual"/>
              </w:rPr>
            </w:pPr>
            <w:r w:rsidRPr="00B37393">
              <w:rPr>
                <w:color w:val="000000"/>
                <w:sz w:val="20"/>
                <w:szCs w:val="20"/>
              </w:rPr>
              <w:t xml:space="preserve">3- Centro </w:t>
            </w:r>
            <w:proofErr w:type="gramStart"/>
            <w:r w:rsidRPr="00B37393">
              <w:rPr>
                <w:color w:val="000000"/>
                <w:sz w:val="20"/>
                <w:szCs w:val="20"/>
              </w:rPr>
              <w:t>Sub-Regional</w:t>
            </w:r>
            <w:proofErr w:type="gramEnd"/>
          </w:p>
        </w:tc>
        <w:tc>
          <w:tcPr>
            <w:tcW w:w="1276" w:type="dxa"/>
            <w:vAlign w:val="center"/>
          </w:tcPr>
          <w:p w14:paraId="5640EFCE" w14:textId="7A76CF07" w:rsidR="005F465B" w:rsidRPr="00B37393" w:rsidRDefault="00051AD7" w:rsidP="006134F7">
            <w:pPr>
              <w:pStyle w:val="standard"/>
              <w:spacing w:before="0" w:beforeAutospacing="0" w:after="0" w:afterAutospacing="0"/>
              <w:jc w:val="center"/>
              <w:rPr>
                <w:rFonts w:eastAsiaTheme="minorHAnsi"/>
                <w:kern w:val="2"/>
                <w:sz w:val="20"/>
                <w:szCs w:val="20"/>
                <w:lang w:eastAsia="en-US"/>
                <w14:ligatures w14:val="standardContextual"/>
              </w:rPr>
            </w:pPr>
            <w:r>
              <w:rPr>
                <w:rFonts w:eastAsiaTheme="minorHAnsi"/>
                <w:kern w:val="2"/>
                <w:sz w:val="20"/>
                <w:szCs w:val="20"/>
                <w:lang w:eastAsia="en-US"/>
                <w14:ligatures w14:val="standardContextual"/>
              </w:rPr>
              <w:t>370</w:t>
            </w:r>
          </w:p>
        </w:tc>
        <w:tc>
          <w:tcPr>
            <w:tcW w:w="1275" w:type="dxa"/>
            <w:vAlign w:val="center"/>
          </w:tcPr>
          <w:p w14:paraId="69FB35E0" w14:textId="4D8E055B" w:rsidR="005F465B" w:rsidRPr="00B37393" w:rsidRDefault="00051AD7" w:rsidP="006134F7">
            <w:pPr>
              <w:pStyle w:val="standard"/>
              <w:spacing w:before="0" w:beforeAutospacing="0" w:after="0" w:afterAutospacing="0"/>
              <w:jc w:val="center"/>
              <w:rPr>
                <w:color w:val="000000"/>
                <w:sz w:val="20"/>
                <w:szCs w:val="20"/>
              </w:rPr>
            </w:pPr>
            <w:r>
              <w:rPr>
                <w:color w:val="000000"/>
                <w:sz w:val="20"/>
                <w:szCs w:val="20"/>
              </w:rPr>
              <w:t>117</w:t>
            </w:r>
          </w:p>
        </w:tc>
        <w:tc>
          <w:tcPr>
            <w:tcW w:w="1985" w:type="dxa"/>
            <w:vAlign w:val="center"/>
          </w:tcPr>
          <w:p w14:paraId="51E856F0" w14:textId="77777777" w:rsidR="00CE23FF" w:rsidRPr="00B37393" w:rsidRDefault="00CE23FF" w:rsidP="00CE23FF">
            <w:pPr>
              <w:pStyle w:val="standard"/>
              <w:spacing w:before="0" w:beforeAutospacing="0" w:after="0" w:afterAutospacing="0"/>
              <w:jc w:val="center"/>
              <w:rPr>
                <w:color w:val="000000"/>
                <w:sz w:val="20"/>
                <w:szCs w:val="20"/>
              </w:rPr>
            </w:pPr>
            <w:r w:rsidRPr="00B37393">
              <w:rPr>
                <w:color w:val="000000"/>
                <w:sz w:val="20"/>
                <w:szCs w:val="20"/>
              </w:rPr>
              <w:t>Sim, P-value = 0,000</w:t>
            </w:r>
          </w:p>
          <w:p w14:paraId="22530916" w14:textId="40496106" w:rsidR="005F465B" w:rsidRPr="00B37393" w:rsidRDefault="00CE23FF" w:rsidP="00CE23FF">
            <w:pPr>
              <w:pStyle w:val="standard"/>
              <w:spacing w:before="0" w:beforeAutospacing="0" w:after="0" w:afterAutospacing="0"/>
              <w:jc w:val="center"/>
              <w:rPr>
                <w:color w:val="000000"/>
                <w:sz w:val="20"/>
                <w:szCs w:val="20"/>
              </w:rPr>
            </w:pPr>
            <w:r w:rsidRPr="00B37393">
              <w:rPr>
                <w:color w:val="000000"/>
                <w:sz w:val="20"/>
                <w:szCs w:val="20"/>
              </w:rPr>
              <w:t>(</w:t>
            </w:r>
            <w:r w:rsidR="00B421B0">
              <w:rPr>
                <w:color w:val="000000"/>
                <w:sz w:val="20"/>
                <w:szCs w:val="20"/>
              </w:rPr>
              <w:t>6558,18</w:t>
            </w:r>
            <w:r w:rsidRPr="00B37393">
              <w:rPr>
                <w:color w:val="000000"/>
                <w:sz w:val="20"/>
                <w:szCs w:val="20"/>
              </w:rPr>
              <w:t xml:space="preserve"> x </w:t>
            </w:r>
            <w:r w:rsidR="00B421B0">
              <w:rPr>
                <w:color w:val="000000"/>
                <w:sz w:val="20"/>
                <w:szCs w:val="20"/>
              </w:rPr>
              <w:t>4415,59</w:t>
            </w:r>
            <w:r w:rsidRPr="00B37393">
              <w:rPr>
                <w:color w:val="000000"/>
                <w:sz w:val="20"/>
                <w:szCs w:val="20"/>
              </w:rPr>
              <w:t>)</w:t>
            </w:r>
          </w:p>
        </w:tc>
        <w:tc>
          <w:tcPr>
            <w:tcW w:w="1984" w:type="dxa"/>
            <w:vAlign w:val="center"/>
          </w:tcPr>
          <w:p w14:paraId="24EC5B38" w14:textId="77777777" w:rsidR="001F68C3"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Sim, P-value = 0,000</w:t>
            </w:r>
          </w:p>
          <w:p w14:paraId="4425DD0F" w14:textId="7FFA7ACD" w:rsidR="005F465B"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w:t>
            </w:r>
            <w:r w:rsidR="001F1A9E">
              <w:rPr>
                <w:color w:val="000000"/>
                <w:sz w:val="20"/>
                <w:szCs w:val="20"/>
              </w:rPr>
              <w:t>32227</w:t>
            </w:r>
            <w:r w:rsidRPr="00B37393">
              <w:rPr>
                <w:color w:val="000000"/>
                <w:sz w:val="20"/>
                <w:szCs w:val="20"/>
              </w:rPr>
              <w:t xml:space="preserve"> x </w:t>
            </w:r>
            <w:r w:rsidR="001F1A9E">
              <w:rPr>
                <w:color w:val="000000"/>
                <w:sz w:val="20"/>
                <w:szCs w:val="20"/>
              </w:rPr>
              <w:t>58619</w:t>
            </w:r>
            <w:r w:rsidRPr="00B37393">
              <w:rPr>
                <w:color w:val="000000"/>
                <w:sz w:val="20"/>
                <w:szCs w:val="20"/>
              </w:rPr>
              <w:t>)</w:t>
            </w:r>
          </w:p>
        </w:tc>
        <w:tc>
          <w:tcPr>
            <w:tcW w:w="1985" w:type="dxa"/>
            <w:vAlign w:val="center"/>
          </w:tcPr>
          <w:p w14:paraId="5B6D78CD" w14:textId="76D2BF3E" w:rsidR="001F68C3" w:rsidRPr="00B37393" w:rsidRDefault="00E82E6F" w:rsidP="001F68C3">
            <w:pPr>
              <w:pStyle w:val="standard"/>
              <w:spacing w:before="0" w:beforeAutospacing="0" w:after="0" w:afterAutospacing="0"/>
              <w:jc w:val="center"/>
              <w:rPr>
                <w:color w:val="000000"/>
                <w:sz w:val="20"/>
                <w:szCs w:val="20"/>
              </w:rPr>
            </w:pPr>
            <w:r>
              <w:rPr>
                <w:color w:val="000000"/>
                <w:sz w:val="20"/>
                <w:szCs w:val="20"/>
              </w:rPr>
              <w:t>Sim</w:t>
            </w:r>
            <w:r w:rsidR="001F68C3" w:rsidRPr="00B37393">
              <w:rPr>
                <w:color w:val="000000"/>
                <w:sz w:val="20"/>
                <w:szCs w:val="20"/>
              </w:rPr>
              <w:t>, P-value = 0,</w:t>
            </w:r>
            <w:r>
              <w:rPr>
                <w:color w:val="000000"/>
                <w:sz w:val="20"/>
                <w:szCs w:val="20"/>
              </w:rPr>
              <w:t>132</w:t>
            </w:r>
          </w:p>
          <w:p w14:paraId="16C5CC19" w14:textId="196CC1A3" w:rsidR="005F465B"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(5</w:t>
            </w:r>
            <w:r w:rsidR="00E82E6F">
              <w:rPr>
                <w:color w:val="000000"/>
                <w:sz w:val="20"/>
                <w:szCs w:val="20"/>
              </w:rPr>
              <w:t>1,60</w:t>
            </w:r>
            <w:r w:rsidRPr="00B37393">
              <w:rPr>
                <w:color w:val="000000"/>
                <w:sz w:val="20"/>
                <w:szCs w:val="20"/>
              </w:rPr>
              <w:t xml:space="preserve"> x 5</w:t>
            </w:r>
            <w:r w:rsidR="00E82E6F">
              <w:rPr>
                <w:color w:val="000000"/>
                <w:sz w:val="20"/>
                <w:szCs w:val="20"/>
              </w:rPr>
              <w:t>2,42</w:t>
            </w:r>
            <w:r w:rsidRPr="00B37393">
              <w:rPr>
                <w:color w:val="000000"/>
                <w:sz w:val="20"/>
                <w:szCs w:val="20"/>
              </w:rPr>
              <w:t>)</w:t>
            </w:r>
          </w:p>
        </w:tc>
      </w:tr>
      <w:tr w:rsidR="006134F7" w:rsidRPr="00B37393" w14:paraId="75FFD056" w14:textId="3D33A20A" w:rsidTr="00B37393">
        <w:trPr>
          <w:jc w:val="center"/>
        </w:trPr>
        <w:tc>
          <w:tcPr>
            <w:tcW w:w="1413" w:type="dxa"/>
            <w:vAlign w:val="center"/>
          </w:tcPr>
          <w:p w14:paraId="74901D72" w14:textId="77777777" w:rsidR="005F465B" w:rsidRPr="00B37393" w:rsidRDefault="005F465B" w:rsidP="006134F7">
            <w:pPr>
              <w:pStyle w:val="standard"/>
              <w:spacing w:before="0" w:beforeAutospacing="0" w:after="0" w:afterAutospacing="0"/>
              <w:rPr>
                <w:rFonts w:eastAsiaTheme="minorHAnsi"/>
                <w:kern w:val="2"/>
                <w:sz w:val="20"/>
                <w:szCs w:val="20"/>
                <w:lang w:eastAsia="en-US"/>
                <w14:ligatures w14:val="standardContextual"/>
              </w:rPr>
            </w:pPr>
            <w:r w:rsidRPr="00B37393">
              <w:rPr>
                <w:color w:val="000000"/>
                <w:sz w:val="20"/>
                <w:szCs w:val="20"/>
              </w:rPr>
              <w:t>4 - Centro de Zona</w:t>
            </w:r>
          </w:p>
        </w:tc>
        <w:tc>
          <w:tcPr>
            <w:tcW w:w="1276" w:type="dxa"/>
            <w:vAlign w:val="center"/>
          </w:tcPr>
          <w:p w14:paraId="57C68597" w14:textId="3AF30BE4" w:rsidR="005F465B" w:rsidRPr="00B37393" w:rsidRDefault="00051AD7" w:rsidP="006134F7">
            <w:pPr>
              <w:pStyle w:val="standard"/>
              <w:spacing w:before="0" w:beforeAutospacing="0" w:after="0" w:afterAutospacing="0"/>
              <w:jc w:val="center"/>
              <w:rPr>
                <w:rFonts w:eastAsiaTheme="minorHAnsi"/>
                <w:kern w:val="2"/>
                <w:sz w:val="20"/>
                <w:szCs w:val="20"/>
                <w:lang w:eastAsia="en-US"/>
                <w14:ligatures w14:val="standardContextual"/>
              </w:rPr>
            </w:pPr>
            <w:r>
              <w:rPr>
                <w:rFonts w:eastAsiaTheme="minorHAnsi"/>
                <w:kern w:val="2"/>
                <w:sz w:val="20"/>
                <w:szCs w:val="20"/>
                <w:lang w:eastAsia="en-US"/>
                <w14:ligatures w14:val="standardContextual"/>
              </w:rPr>
              <w:t>353</w:t>
            </w:r>
          </w:p>
        </w:tc>
        <w:tc>
          <w:tcPr>
            <w:tcW w:w="1275" w:type="dxa"/>
            <w:vAlign w:val="center"/>
          </w:tcPr>
          <w:p w14:paraId="1BCBEB1F" w14:textId="3ED276E1" w:rsidR="005F465B" w:rsidRPr="00B37393" w:rsidRDefault="00051AD7" w:rsidP="006134F7">
            <w:pPr>
              <w:pStyle w:val="standard"/>
              <w:spacing w:before="0" w:beforeAutospacing="0" w:after="0" w:afterAutospacing="0"/>
              <w:jc w:val="center"/>
              <w:rPr>
                <w:color w:val="000000"/>
                <w:sz w:val="20"/>
                <w:szCs w:val="20"/>
              </w:rPr>
            </w:pPr>
            <w:r>
              <w:rPr>
                <w:color w:val="000000"/>
                <w:sz w:val="20"/>
                <w:szCs w:val="20"/>
              </w:rPr>
              <w:t>74</w:t>
            </w:r>
          </w:p>
        </w:tc>
        <w:tc>
          <w:tcPr>
            <w:tcW w:w="1985" w:type="dxa"/>
            <w:vAlign w:val="center"/>
          </w:tcPr>
          <w:p w14:paraId="5E3230B4" w14:textId="77777777" w:rsidR="001F68C3"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Sim, P-value = 0,000</w:t>
            </w:r>
          </w:p>
          <w:p w14:paraId="47BC3FF9" w14:textId="6833C28A" w:rsidR="005F465B"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(5</w:t>
            </w:r>
            <w:r w:rsidR="00B421B0">
              <w:rPr>
                <w:color w:val="000000"/>
                <w:sz w:val="20"/>
                <w:szCs w:val="20"/>
              </w:rPr>
              <w:t>632,39</w:t>
            </w:r>
            <w:r w:rsidRPr="00B37393">
              <w:rPr>
                <w:color w:val="000000"/>
                <w:sz w:val="20"/>
                <w:szCs w:val="20"/>
              </w:rPr>
              <w:t xml:space="preserve"> x 4</w:t>
            </w:r>
            <w:r w:rsidR="00B421B0">
              <w:rPr>
                <w:color w:val="000000"/>
                <w:sz w:val="20"/>
                <w:szCs w:val="20"/>
              </w:rPr>
              <w:t>351,38</w:t>
            </w:r>
            <w:r w:rsidRPr="00B37393">
              <w:rPr>
                <w:color w:val="000000"/>
                <w:sz w:val="20"/>
                <w:szCs w:val="20"/>
              </w:rPr>
              <w:t>)</w:t>
            </w:r>
          </w:p>
        </w:tc>
        <w:tc>
          <w:tcPr>
            <w:tcW w:w="1984" w:type="dxa"/>
            <w:vAlign w:val="center"/>
          </w:tcPr>
          <w:p w14:paraId="5C7B1E13" w14:textId="77777777" w:rsidR="001F68C3"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Sim, P-value = 0,000</w:t>
            </w:r>
          </w:p>
          <w:p w14:paraId="063BE1E9" w14:textId="7C308A0D" w:rsidR="005F465B"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(17</w:t>
            </w:r>
            <w:r w:rsidR="00CD3CB2">
              <w:rPr>
                <w:color w:val="000000"/>
                <w:sz w:val="20"/>
                <w:szCs w:val="20"/>
              </w:rPr>
              <w:t>013</w:t>
            </w:r>
            <w:r w:rsidRPr="00B37393">
              <w:rPr>
                <w:color w:val="000000"/>
                <w:sz w:val="20"/>
                <w:szCs w:val="20"/>
              </w:rPr>
              <w:t xml:space="preserve"> x 2</w:t>
            </w:r>
            <w:r w:rsidR="00CD3CB2">
              <w:rPr>
                <w:color w:val="000000"/>
                <w:sz w:val="20"/>
                <w:szCs w:val="20"/>
              </w:rPr>
              <w:t>5939</w:t>
            </w:r>
            <w:r w:rsidRPr="00B37393">
              <w:rPr>
                <w:color w:val="000000"/>
                <w:sz w:val="20"/>
                <w:szCs w:val="20"/>
              </w:rPr>
              <w:t>)</w:t>
            </w:r>
          </w:p>
        </w:tc>
        <w:tc>
          <w:tcPr>
            <w:tcW w:w="1985" w:type="dxa"/>
            <w:vAlign w:val="center"/>
          </w:tcPr>
          <w:p w14:paraId="18F3D2F9" w14:textId="0F5FB82A" w:rsidR="001F68C3"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Sim, P-value = 0,</w:t>
            </w:r>
            <w:r w:rsidR="005F649B">
              <w:rPr>
                <w:color w:val="000000"/>
                <w:sz w:val="20"/>
                <w:szCs w:val="20"/>
              </w:rPr>
              <w:t>835</w:t>
            </w:r>
          </w:p>
          <w:p w14:paraId="00DC3400" w14:textId="6E671073" w:rsidR="005F465B" w:rsidRPr="00B37393" w:rsidRDefault="001F68C3" w:rsidP="001F68C3">
            <w:pPr>
              <w:pStyle w:val="standard"/>
              <w:spacing w:before="0" w:beforeAutospacing="0" w:after="0" w:afterAutospacing="0"/>
              <w:jc w:val="center"/>
              <w:rPr>
                <w:color w:val="000000"/>
                <w:sz w:val="20"/>
                <w:szCs w:val="20"/>
              </w:rPr>
            </w:pPr>
            <w:r w:rsidRPr="00B37393">
              <w:rPr>
                <w:color w:val="000000"/>
                <w:sz w:val="20"/>
                <w:szCs w:val="20"/>
              </w:rPr>
              <w:t>(48,</w:t>
            </w:r>
            <w:r w:rsidR="005F649B">
              <w:rPr>
                <w:color w:val="000000"/>
                <w:sz w:val="20"/>
                <w:szCs w:val="20"/>
              </w:rPr>
              <w:t>96</w:t>
            </w:r>
            <w:r w:rsidRPr="00B37393">
              <w:rPr>
                <w:color w:val="000000"/>
                <w:sz w:val="20"/>
                <w:szCs w:val="20"/>
              </w:rPr>
              <w:t xml:space="preserve"> x 4</w:t>
            </w:r>
            <w:r w:rsidR="005F649B">
              <w:rPr>
                <w:color w:val="000000"/>
                <w:sz w:val="20"/>
                <w:szCs w:val="20"/>
              </w:rPr>
              <w:t>8,92</w:t>
            </w:r>
            <w:r w:rsidRPr="00B37393">
              <w:rPr>
                <w:color w:val="000000"/>
                <w:sz w:val="20"/>
                <w:szCs w:val="20"/>
              </w:rPr>
              <w:t>)</w:t>
            </w:r>
          </w:p>
        </w:tc>
      </w:tr>
      <w:tr w:rsidR="00B37393" w:rsidRPr="00B37393" w14:paraId="0380B2BA" w14:textId="1AC399BA" w:rsidTr="00B37393">
        <w:trPr>
          <w:jc w:val="center"/>
        </w:trPr>
        <w:tc>
          <w:tcPr>
            <w:tcW w:w="1413" w:type="dxa"/>
            <w:vAlign w:val="center"/>
          </w:tcPr>
          <w:p w14:paraId="71E87551" w14:textId="77777777" w:rsidR="00EC1D09" w:rsidRPr="00B37393" w:rsidRDefault="00EC1D09" w:rsidP="00EC1D09">
            <w:pPr>
              <w:pStyle w:val="standard"/>
              <w:spacing w:before="0" w:beforeAutospacing="0" w:after="0" w:afterAutospacing="0"/>
              <w:rPr>
                <w:rFonts w:eastAsiaTheme="minorHAnsi"/>
                <w:kern w:val="2"/>
                <w:sz w:val="20"/>
                <w:szCs w:val="20"/>
                <w:lang w:eastAsia="en-US"/>
                <w14:ligatures w14:val="standardContextual"/>
              </w:rPr>
            </w:pPr>
            <w:r w:rsidRPr="00B37393">
              <w:rPr>
                <w:color w:val="000000"/>
                <w:sz w:val="20"/>
                <w:szCs w:val="20"/>
              </w:rPr>
              <w:lastRenderedPageBreak/>
              <w:t>5 - Centro Local</w:t>
            </w:r>
          </w:p>
        </w:tc>
        <w:tc>
          <w:tcPr>
            <w:tcW w:w="1276" w:type="dxa"/>
            <w:vAlign w:val="center"/>
          </w:tcPr>
          <w:p w14:paraId="7DE98AD9" w14:textId="59379008" w:rsidR="00EC1D09" w:rsidRPr="00B37393" w:rsidRDefault="00051AD7" w:rsidP="00EC1D09">
            <w:pPr>
              <w:pStyle w:val="standard"/>
              <w:spacing w:before="0" w:beforeAutospacing="0" w:after="0" w:afterAutospacing="0"/>
              <w:jc w:val="center"/>
              <w:rPr>
                <w:rFonts w:eastAsiaTheme="minorHAnsi"/>
                <w:kern w:val="2"/>
                <w:sz w:val="20"/>
                <w:szCs w:val="20"/>
                <w:lang w:eastAsia="en-US"/>
                <w14:ligatures w14:val="standardContextual"/>
              </w:rPr>
            </w:pPr>
            <w:r>
              <w:rPr>
                <w:rFonts w:eastAsiaTheme="minorHAnsi"/>
                <w:kern w:val="2"/>
                <w:sz w:val="20"/>
                <w:szCs w:val="20"/>
                <w:lang w:eastAsia="en-US"/>
                <w14:ligatures w14:val="standardContextual"/>
              </w:rPr>
              <w:t>1578</w:t>
            </w:r>
          </w:p>
        </w:tc>
        <w:tc>
          <w:tcPr>
            <w:tcW w:w="1275" w:type="dxa"/>
            <w:vAlign w:val="center"/>
          </w:tcPr>
          <w:p w14:paraId="3A56E5DB" w14:textId="524CD28B" w:rsidR="00EC1D09" w:rsidRPr="00B37393" w:rsidRDefault="00051AD7" w:rsidP="00EC1D09">
            <w:pPr>
              <w:pStyle w:val="standard"/>
              <w:spacing w:before="0" w:beforeAutospacing="0" w:after="0" w:afterAutospacing="0"/>
              <w:jc w:val="center"/>
              <w:rPr>
                <w:color w:val="000000"/>
                <w:sz w:val="20"/>
                <w:szCs w:val="20"/>
              </w:rPr>
            </w:pPr>
            <w:r>
              <w:rPr>
                <w:color w:val="000000"/>
                <w:sz w:val="20"/>
                <w:szCs w:val="20"/>
              </w:rPr>
              <w:t>2392</w:t>
            </w:r>
          </w:p>
        </w:tc>
        <w:tc>
          <w:tcPr>
            <w:tcW w:w="1985" w:type="dxa"/>
            <w:vAlign w:val="center"/>
          </w:tcPr>
          <w:p w14:paraId="6E28A8CF" w14:textId="77777777" w:rsidR="00EC1D09" w:rsidRPr="00B37393" w:rsidRDefault="00EC1D09" w:rsidP="00EC1D09">
            <w:pPr>
              <w:pStyle w:val="standard"/>
              <w:spacing w:before="0" w:beforeAutospacing="0" w:after="0" w:afterAutospacing="0"/>
              <w:jc w:val="center"/>
              <w:rPr>
                <w:color w:val="000000"/>
                <w:sz w:val="20"/>
                <w:szCs w:val="20"/>
              </w:rPr>
            </w:pPr>
            <w:r w:rsidRPr="00B37393">
              <w:rPr>
                <w:color w:val="000000"/>
                <w:sz w:val="20"/>
                <w:szCs w:val="20"/>
              </w:rPr>
              <w:t>Sim, P-value = 0,000</w:t>
            </w:r>
          </w:p>
          <w:p w14:paraId="3C5F73F9" w14:textId="49CF80DB" w:rsidR="00EC1D09" w:rsidRPr="00B37393" w:rsidRDefault="00EC1D09" w:rsidP="00EC1D09">
            <w:pPr>
              <w:pStyle w:val="standard"/>
              <w:spacing w:before="0" w:beforeAutospacing="0" w:after="0" w:afterAutospacing="0"/>
              <w:jc w:val="center"/>
              <w:rPr>
                <w:color w:val="000000"/>
                <w:sz w:val="20"/>
                <w:szCs w:val="20"/>
              </w:rPr>
            </w:pPr>
            <w:r w:rsidRPr="00B37393">
              <w:rPr>
                <w:color w:val="000000"/>
                <w:sz w:val="20"/>
                <w:szCs w:val="20"/>
              </w:rPr>
              <w:t>(6</w:t>
            </w:r>
            <w:r w:rsidR="00CD71CD">
              <w:rPr>
                <w:color w:val="000000"/>
                <w:sz w:val="20"/>
                <w:szCs w:val="20"/>
              </w:rPr>
              <w:t>732,05</w:t>
            </w:r>
            <w:r w:rsidRPr="00B37393">
              <w:rPr>
                <w:color w:val="000000"/>
                <w:sz w:val="20"/>
                <w:szCs w:val="20"/>
              </w:rPr>
              <w:t xml:space="preserve"> x </w:t>
            </w:r>
            <w:r w:rsidR="00CD71CD">
              <w:rPr>
                <w:color w:val="000000"/>
                <w:sz w:val="20"/>
                <w:szCs w:val="20"/>
              </w:rPr>
              <w:t>4622,77</w:t>
            </w:r>
            <w:r w:rsidRPr="00B37393">
              <w:rPr>
                <w:color w:val="000000"/>
                <w:sz w:val="20"/>
                <w:szCs w:val="20"/>
              </w:rPr>
              <w:t>)</w:t>
            </w:r>
          </w:p>
        </w:tc>
        <w:tc>
          <w:tcPr>
            <w:tcW w:w="1984" w:type="dxa"/>
            <w:vAlign w:val="center"/>
          </w:tcPr>
          <w:p w14:paraId="4EC42DFC" w14:textId="77777777" w:rsidR="00EC1D09" w:rsidRPr="00B37393" w:rsidRDefault="00EC1D09" w:rsidP="00EC1D09">
            <w:pPr>
              <w:pStyle w:val="standard"/>
              <w:spacing w:before="0" w:beforeAutospacing="0" w:after="0" w:afterAutospacing="0"/>
              <w:jc w:val="center"/>
              <w:rPr>
                <w:color w:val="000000"/>
                <w:sz w:val="20"/>
                <w:szCs w:val="20"/>
              </w:rPr>
            </w:pPr>
            <w:r w:rsidRPr="00B37393">
              <w:rPr>
                <w:color w:val="000000"/>
                <w:sz w:val="20"/>
                <w:szCs w:val="20"/>
              </w:rPr>
              <w:t>Sim, P-value = 0,000</w:t>
            </w:r>
          </w:p>
          <w:p w14:paraId="088D67EF" w14:textId="2B486537" w:rsidR="00EC1D09" w:rsidRPr="00B37393" w:rsidRDefault="00EC1D09" w:rsidP="006437E3">
            <w:pPr>
              <w:pStyle w:val="standard"/>
              <w:spacing w:before="0" w:beforeAutospacing="0" w:after="0" w:afterAutospacing="0"/>
              <w:jc w:val="center"/>
              <w:rPr>
                <w:color w:val="000000"/>
                <w:sz w:val="20"/>
                <w:szCs w:val="20"/>
              </w:rPr>
            </w:pPr>
            <w:r w:rsidRPr="00B37393">
              <w:rPr>
                <w:color w:val="000000"/>
                <w:sz w:val="20"/>
                <w:szCs w:val="20"/>
              </w:rPr>
              <w:t>(</w:t>
            </w:r>
            <w:r w:rsidR="006437E3">
              <w:rPr>
                <w:color w:val="000000"/>
                <w:sz w:val="20"/>
                <w:szCs w:val="20"/>
              </w:rPr>
              <w:t>5641</w:t>
            </w:r>
            <w:r w:rsidRPr="00B37393">
              <w:rPr>
                <w:color w:val="000000"/>
                <w:sz w:val="20"/>
                <w:szCs w:val="20"/>
              </w:rPr>
              <w:t xml:space="preserve"> x </w:t>
            </w:r>
            <w:r w:rsidR="006437E3">
              <w:rPr>
                <w:color w:val="000000"/>
                <w:sz w:val="20"/>
                <w:szCs w:val="20"/>
              </w:rPr>
              <w:t>13757</w:t>
            </w:r>
            <w:r w:rsidRPr="00B37393">
              <w:rPr>
                <w:color w:val="000000"/>
                <w:sz w:val="20"/>
                <w:szCs w:val="20"/>
              </w:rPr>
              <w:t>)</w:t>
            </w:r>
          </w:p>
        </w:tc>
        <w:tc>
          <w:tcPr>
            <w:tcW w:w="1985" w:type="dxa"/>
            <w:vAlign w:val="center"/>
          </w:tcPr>
          <w:p w14:paraId="40EFDC56" w14:textId="023C5531" w:rsidR="00EC1D09" w:rsidRPr="00B37393" w:rsidRDefault="00EC1D09" w:rsidP="00EC1D09">
            <w:pPr>
              <w:pStyle w:val="standard"/>
              <w:spacing w:before="0" w:beforeAutospacing="0" w:after="0" w:afterAutospacing="0"/>
              <w:jc w:val="center"/>
              <w:rPr>
                <w:color w:val="000000"/>
                <w:sz w:val="20"/>
                <w:szCs w:val="20"/>
              </w:rPr>
            </w:pPr>
            <w:r w:rsidRPr="00B37393">
              <w:rPr>
                <w:color w:val="000000"/>
                <w:sz w:val="20"/>
                <w:szCs w:val="20"/>
              </w:rPr>
              <w:t>Não, P-value = 0,000</w:t>
            </w:r>
          </w:p>
          <w:p w14:paraId="5CED311D" w14:textId="60786630" w:rsidR="00EC1D09" w:rsidRPr="00B37393" w:rsidRDefault="00EC1D09" w:rsidP="00EC1D09">
            <w:pPr>
              <w:pStyle w:val="standard"/>
              <w:spacing w:before="0" w:beforeAutospacing="0" w:after="0" w:afterAutospacing="0"/>
              <w:jc w:val="center"/>
              <w:rPr>
                <w:color w:val="000000"/>
                <w:sz w:val="20"/>
                <w:szCs w:val="20"/>
              </w:rPr>
            </w:pPr>
            <w:r w:rsidRPr="00B37393">
              <w:rPr>
                <w:color w:val="000000"/>
                <w:sz w:val="20"/>
                <w:szCs w:val="20"/>
              </w:rPr>
              <w:t>(4</w:t>
            </w:r>
            <w:r w:rsidR="005F649B">
              <w:rPr>
                <w:color w:val="000000"/>
                <w:sz w:val="20"/>
                <w:szCs w:val="20"/>
              </w:rPr>
              <w:t>7,08</w:t>
            </w:r>
            <w:r w:rsidRPr="00B37393">
              <w:rPr>
                <w:color w:val="000000"/>
                <w:sz w:val="20"/>
                <w:szCs w:val="20"/>
              </w:rPr>
              <w:t xml:space="preserve"> x </w:t>
            </w:r>
            <w:r w:rsidR="005F649B">
              <w:rPr>
                <w:color w:val="000000"/>
                <w:sz w:val="20"/>
                <w:szCs w:val="20"/>
              </w:rPr>
              <w:t>48,26</w:t>
            </w:r>
            <w:r w:rsidRPr="00B37393">
              <w:rPr>
                <w:color w:val="000000"/>
                <w:sz w:val="20"/>
                <w:szCs w:val="20"/>
              </w:rPr>
              <w:t>)</w:t>
            </w:r>
          </w:p>
        </w:tc>
      </w:tr>
    </w:tbl>
    <w:p w14:paraId="04843E7E" w14:textId="77777777" w:rsidR="00DD44D5" w:rsidRDefault="00DD44D5" w:rsidP="00DD44D5">
      <w:pPr>
        <w:spacing w:after="120" w:line="360" w:lineRule="auto"/>
        <w:rPr>
          <w:rFonts w:ascii="Times New Roman" w:hAnsi="Times New Roman" w:cs="Times New Roman"/>
          <w:b/>
          <w:bCs/>
          <w:sz w:val="24"/>
          <w:szCs w:val="24"/>
        </w:rPr>
      </w:pPr>
    </w:p>
    <w:p w14:paraId="312BB3AB" w14:textId="4503F794" w:rsidR="00B37393" w:rsidRDefault="0082024D" w:rsidP="00B37393">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todas as 5 classes hierárquicas pode-se concluir que as medianas dos orçamentos municipais per capita dos municípios ineficientes são maiores que as medianas dos municípios eficientes. </w:t>
      </w:r>
      <w:r w:rsidR="006039F7">
        <w:rPr>
          <w:rFonts w:ascii="Times New Roman" w:hAnsi="Times New Roman" w:cs="Times New Roman"/>
          <w:sz w:val="24"/>
          <w:szCs w:val="24"/>
        </w:rPr>
        <w:t xml:space="preserve">Os valores das medianas dos orçamentos municipais per capita (ineficientes e eficientes) podem ser vistos na Tabela </w:t>
      </w:r>
      <w:r w:rsidR="007C5D29">
        <w:rPr>
          <w:rFonts w:ascii="Times New Roman" w:hAnsi="Times New Roman" w:cs="Times New Roman"/>
          <w:sz w:val="24"/>
          <w:szCs w:val="24"/>
        </w:rPr>
        <w:t>1</w:t>
      </w:r>
      <w:r w:rsidR="00074BD4">
        <w:rPr>
          <w:rFonts w:ascii="Times New Roman" w:hAnsi="Times New Roman" w:cs="Times New Roman"/>
          <w:sz w:val="24"/>
          <w:szCs w:val="24"/>
        </w:rPr>
        <w:t>2</w:t>
      </w:r>
      <w:r w:rsidR="006039F7">
        <w:rPr>
          <w:rFonts w:ascii="Times New Roman" w:hAnsi="Times New Roman" w:cs="Times New Roman"/>
          <w:sz w:val="24"/>
          <w:szCs w:val="24"/>
        </w:rPr>
        <w:t xml:space="preserve">. </w:t>
      </w:r>
      <w:r>
        <w:rPr>
          <w:rFonts w:ascii="Times New Roman" w:hAnsi="Times New Roman" w:cs="Times New Roman"/>
          <w:sz w:val="24"/>
          <w:szCs w:val="24"/>
        </w:rPr>
        <w:t xml:space="preserve">Todos os p-values dos testes foram iguais a 0,000, refutando </w:t>
      </w:r>
      <w:r w:rsidR="00B37393">
        <w:rPr>
          <w:rFonts w:ascii="Times New Roman" w:hAnsi="Times New Roman" w:cs="Times New Roman"/>
          <w:sz w:val="24"/>
          <w:szCs w:val="24"/>
        </w:rPr>
        <w:t>a hipóteses nula de igualdade das medianas, e aceitando-se assim que as medianas dos orçamentos municipais ineficientes são superiores a</w:t>
      </w:r>
      <w:r w:rsidR="007C5D29">
        <w:rPr>
          <w:rFonts w:ascii="Times New Roman" w:hAnsi="Times New Roman" w:cs="Times New Roman"/>
          <w:sz w:val="24"/>
          <w:szCs w:val="24"/>
        </w:rPr>
        <w:t>s</w:t>
      </w:r>
      <w:r w:rsidR="00B37393">
        <w:rPr>
          <w:rFonts w:ascii="Times New Roman" w:hAnsi="Times New Roman" w:cs="Times New Roman"/>
          <w:sz w:val="24"/>
          <w:szCs w:val="24"/>
        </w:rPr>
        <w:t xml:space="preserve"> dos municípios eficientes. </w:t>
      </w:r>
    </w:p>
    <w:p w14:paraId="4524A62F" w14:textId="5B05A861" w:rsidR="0082024D" w:rsidRDefault="00B37393" w:rsidP="00B37393">
      <w:pPr>
        <w:spacing w:after="120" w:line="360" w:lineRule="auto"/>
        <w:ind w:firstLine="708"/>
        <w:jc w:val="both"/>
        <w:rPr>
          <w:rFonts w:ascii="Times New Roman" w:hAnsi="Times New Roman" w:cs="Times New Roman"/>
          <w:sz w:val="24"/>
          <w:szCs w:val="24"/>
        </w:rPr>
      </w:pPr>
      <w:proofErr w:type="gramStart"/>
      <w:r>
        <w:rPr>
          <w:rFonts w:ascii="Times New Roman" w:hAnsi="Times New Roman" w:cs="Times New Roman"/>
          <w:sz w:val="24"/>
          <w:szCs w:val="24"/>
        </w:rPr>
        <w:t>O mesmo</w:t>
      </w:r>
      <w:proofErr w:type="gramEnd"/>
      <w:r>
        <w:rPr>
          <w:rFonts w:ascii="Times New Roman" w:hAnsi="Times New Roman" w:cs="Times New Roman"/>
          <w:sz w:val="24"/>
          <w:szCs w:val="24"/>
        </w:rPr>
        <w:t xml:space="preserve"> pode-se afirmar em relação a mediana das populações dos municípios, indicando que os municípios ineficientes são menores estatisticamente que os municípios eficientes. Para todas as hierarquias analisadas o p-value do teste de </w:t>
      </w:r>
      <w:r w:rsidRPr="0082024D">
        <w:rPr>
          <w:rFonts w:ascii="Times New Roman" w:hAnsi="Times New Roman" w:cs="Times New Roman"/>
          <w:sz w:val="24"/>
          <w:szCs w:val="24"/>
        </w:rPr>
        <w:t>Mann-Whitney</w:t>
      </w:r>
      <w:r>
        <w:rPr>
          <w:rFonts w:ascii="Times New Roman" w:hAnsi="Times New Roman" w:cs="Times New Roman"/>
          <w:sz w:val="24"/>
          <w:szCs w:val="24"/>
        </w:rPr>
        <w:t xml:space="preserve"> foi i</w:t>
      </w:r>
      <w:r w:rsidR="00074BD4">
        <w:rPr>
          <w:rFonts w:ascii="Times New Roman" w:hAnsi="Times New Roman" w:cs="Times New Roman"/>
          <w:sz w:val="24"/>
          <w:szCs w:val="24"/>
        </w:rPr>
        <w:t>nferior a</w:t>
      </w:r>
      <w:r>
        <w:rPr>
          <w:rFonts w:ascii="Times New Roman" w:hAnsi="Times New Roman" w:cs="Times New Roman"/>
          <w:sz w:val="24"/>
          <w:szCs w:val="24"/>
        </w:rPr>
        <w:t xml:space="preserve"> 0.000, aceitando assim a hipótese alternativa de que as medianas das populações dos municípios ineficientes são menores quando comparadas as populações dos municípios eficientes. </w:t>
      </w:r>
    </w:p>
    <w:p w14:paraId="29A923A7" w14:textId="1EBD1290" w:rsidR="006039F7" w:rsidRDefault="006039F7" w:rsidP="00B37393">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Já para igualdade da mediana dos ODS entre municípios ineficientes e eficientes, pode-se comprovar a significância estatística (p-value &gt; 0.05)</w:t>
      </w:r>
      <w:r w:rsidR="007C5D29">
        <w:rPr>
          <w:rFonts w:ascii="Times New Roman" w:hAnsi="Times New Roman" w:cs="Times New Roman"/>
          <w:sz w:val="24"/>
          <w:szCs w:val="24"/>
        </w:rPr>
        <w:t xml:space="preserve"> para</w:t>
      </w:r>
      <w:r>
        <w:rPr>
          <w:rFonts w:ascii="Times New Roman" w:hAnsi="Times New Roman" w:cs="Times New Roman"/>
          <w:sz w:val="24"/>
          <w:szCs w:val="24"/>
        </w:rPr>
        <w:t xml:space="preserve"> a igualdade dos ODS </w:t>
      </w:r>
      <w:r w:rsidR="007C5D29">
        <w:rPr>
          <w:rFonts w:ascii="Times New Roman" w:hAnsi="Times New Roman" w:cs="Times New Roman"/>
          <w:sz w:val="24"/>
          <w:szCs w:val="24"/>
        </w:rPr>
        <w:t>de</w:t>
      </w:r>
      <w:r>
        <w:rPr>
          <w:rFonts w:ascii="Times New Roman" w:hAnsi="Times New Roman" w:cs="Times New Roman"/>
          <w:sz w:val="24"/>
          <w:szCs w:val="24"/>
        </w:rPr>
        <w:t xml:space="preserve"> Metrópoles, Capitais Regionais</w:t>
      </w:r>
      <w:r w:rsidR="00CE4965">
        <w:rPr>
          <w:rFonts w:ascii="Times New Roman" w:hAnsi="Times New Roman" w:cs="Times New Roman"/>
          <w:sz w:val="24"/>
          <w:szCs w:val="24"/>
        </w:rPr>
        <w:t>,</w:t>
      </w:r>
      <w:r>
        <w:rPr>
          <w:rFonts w:ascii="Times New Roman" w:hAnsi="Times New Roman" w:cs="Times New Roman"/>
          <w:sz w:val="24"/>
          <w:szCs w:val="24"/>
        </w:rPr>
        <w:t xml:space="preserve"> Centros</w:t>
      </w:r>
      <w:r w:rsidR="00CE4965">
        <w:rPr>
          <w:rFonts w:ascii="Times New Roman" w:hAnsi="Times New Roman" w:cs="Times New Roman"/>
          <w:sz w:val="24"/>
          <w:szCs w:val="24"/>
        </w:rPr>
        <w:t xml:space="preserve"> </w:t>
      </w:r>
      <w:proofErr w:type="gramStart"/>
      <w:r w:rsidR="00CE4965">
        <w:rPr>
          <w:rFonts w:ascii="Times New Roman" w:hAnsi="Times New Roman" w:cs="Times New Roman"/>
          <w:sz w:val="24"/>
          <w:szCs w:val="24"/>
        </w:rPr>
        <w:t>Sub-Regionais</w:t>
      </w:r>
      <w:proofErr w:type="gramEnd"/>
      <w:r>
        <w:rPr>
          <w:rFonts w:ascii="Times New Roman" w:hAnsi="Times New Roman" w:cs="Times New Roman"/>
          <w:sz w:val="24"/>
          <w:szCs w:val="24"/>
        </w:rPr>
        <w:t xml:space="preserve"> </w:t>
      </w:r>
      <w:r w:rsidR="00CE4965">
        <w:rPr>
          <w:rFonts w:ascii="Times New Roman" w:hAnsi="Times New Roman" w:cs="Times New Roman"/>
          <w:sz w:val="24"/>
          <w:szCs w:val="24"/>
        </w:rPr>
        <w:t xml:space="preserve">e Centros </w:t>
      </w:r>
      <w:r>
        <w:rPr>
          <w:rFonts w:ascii="Times New Roman" w:hAnsi="Times New Roman" w:cs="Times New Roman"/>
          <w:sz w:val="24"/>
          <w:szCs w:val="24"/>
        </w:rPr>
        <w:t>de Zona. Já para Centros Locais, essa igualdade não pode ser comprovada (p-value &lt; 0.05), mesmo que a diferença entre as medianas seja próxim</w:t>
      </w:r>
      <w:r w:rsidR="008B5B8A">
        <w:rPr>
          <w:rFonts w:ascii="Times New Roman" w:hAnsi="Times New Roman" w:cs="Times New Roman"/>
          <w:sz w:val="24"/>
          <w:szCs w:val="24"/>
        </w:rPr>
        <w:t>a</w:t>
      </w:r>
      <w:r>
        <w:rPr>
          <w:rFonts w:ascii="Times New Roman" w:hAnsi="Times New Roman" w:cs="Times New Roman"/>
          <w:sz w:val="24"/>
          <w:szCs w:val="24"/>
        </w:rPr>
        <w:t xml:space="preserve"> a </w:t>
      </w:r>
      <w:r w:rsidR="00CE4965">
        <w:rPr>
          <w:rFonts w:ascii="Times New Roman" w:hAnsi="Times New Roman" w:cs="Times New Roman"/>
          <w:sz w:val="24"/>
          <w:szCs w:val="24"/>
        </w:rPr>
        <w:t>1</w:t>
      </w:r>
      <w:r>
        <w:rPr>
          <w:rFonts w:ascii="Times New Roman" w:hAnsi="Times New Roman" w:cs="Times New Roman"/>
          <w:sz w:val="24"/>
          <w:szCs w:val="24"/>
        </w:rPr>
        <w:t xml:space="preserve"> ponto, conforme pode ser observado na Tabela </w:t>
      </w:r>
      <w:r w:rsidR="007C5D29">
        <w:rPr>
          <w:rFonts w:ascii="Times New Roman" w:hAnsi="Times New Roman" w:cs="Times New Roman"/>
          <w:sz w:val="24"/>
          <w:szCs w:val="24"/>
        </w:rPr>
        <w:t>1</w:t>
      </w:r>
      <w:r w:rsidR="00CE4965">
        <w:rPr>
          <w:rFonts w:ascii="Times New Roman" w:hAnsi="Times New Roman" w:cs="Times New Roman"/>
          <w:sz w:val="24"/>
          <w:szCs w:val="24"/>
        </w:rPr>
        <w:t>2</w:t>
      </w:r>
      <w:r>
        <w:rPr>
          <w:rFonts w:ascii="Times New Roman" w:hAnsi="Times New Roman" w:cs="Times New Roman"/>
          <w:sz w:val="24"/>
          <w:szCs w:val="24"/>
        </w:rPr>
        <w:t xml:space="preserve">.  </w:t>
      </w:r>
      <w:r w:rsidR="007C5D29">
        <w:rPr>
          <w:rFonts w:ascii="Times New Roman" w:hAnsi="Times New Roman" w:cs="Times New Roman"/>
          <w:sz w:val="24"/>
          <w:szCs w:val="24"/>
        </w:rPr>
        <w:t>Destaca-se,</w:t>
      </w:r>
      <w:r w:rsidR="00C46B89">
        <w:rPr>
          <w:rFonts w:ascii="Times New Roman" w:hAnsi="Times New Roman" w:cs="Times New Roman"/>
          <w:sz w:val="24"/>
          <w:szCs w:val="24"/>
        </w:rPr>
        <w:t xml:space="preserve"> que </w:t>
      </w:r>
      <w:r w:rsidR="00CE4965">
        <w:rPr>
          <w:rFonts w:ascii="Times New Roman" w:hAnsi="Times New Roman" w:cs="Times New Roman"/>
          <w:sz w:val="24"/>
          <w:szCs w:val="24"/>
        </w:rPr>
        <w:t>os</w:t>
      </w:r>
      <w:r w:rsidR="00C46B89">
        <w:rPr>
          <w:rFonts w:ascii="Times New Roman" w:hAnsi="Times New Roman" w:cs="Times New Roman"/>
          <w:sz w:val="24"/>
          <w:szCs w:val="24"/>
        </w:rPr>
        <w:t xml:space="preserve"> Centros Locais, compreendem o maior número de municípios pesquisados e </w:t>
      </w:r>
      <w:r w:rsidR="00CE4965">
        <w:rPr>
          <w:rFonts w:ascii="Times New Roman" w:hAnsi="Times New Roman" w:cs="Times New Roman"/>
          <w:sz w:val="24"/>
          <w:szCs w:val="24"/>
        </w:rPr>
        <w:t>corresponde a</w:t>
      </w:r>
      <w:r w:rsidR="00C46B89">
        <w:rPr>
          <w:rFonts w:ascii="Times New Roman" w:hAnsi="Times New Roman" w:cs="Times New Roman"/>
          <w:sz w:val="24"/>
          <w:szCs w:val="24"/>
        </w:rPr>
        <w:t xml:space="preserve"> hierarquias </w:t>
      </w:r>
      <w:r w:rsidR="007C5D29">
        <w:rPr>
          <w:rFonts w:ascii="Times New Roman" w:hAnsi="Times New Roman" w:cs="Times New Roman"/>
          <w:sz w:val="24"/>
          <w:szCs w:val="24"/>
        </w:rPr>
        <w:t>n</w:t>
      </w:r>
      <w:r w:rsidR="00CE4965">
        <w:rPr>
          <w:rFonts w:ascii="Times New Roman" w:hAnsi="Times New Roman" w:cs="Times New Roman"/>
          <w:sz w:val="24"/>
          <w:szCs w:val="24"/>
        </w:rPr>
        <w:t>a qual</w:t>
      </w:r>
      <w:r w:rsidR="00C46B89">
        <w:rPr>
          <w:rFonts w:ascii="Times New Roman" w:hAnsi="Times New Roman" w:cs="Times New Roman"/>
          <w:sz w:val="24"/>
          <w:szCs w:val="24"/>
        </w:rPr>
        <w:t xml:space="preserve"> o número de cidades ineficientes supera </w:t>
      </w:r>
      <w:r w:rsidR="00CC2DBA">
        <w:rPr>
          <w:rFonts w:ascii="Times New Roman" w:hAnsi="Times New Roman" w:cs="Times New Roman"/>
          <w:sz w:val="24"/>
          <w:szCs w:val="24"/>
        </w:rPr>
        <w:t>a de</w:t>
      </w:r>
      <w:r w:rsidR="00C46B89">
        <w:rPr>
          <w:rFonts w:ascii="Times New Roman" w:hAnsi="Times New Roman" w:cs="Times New Roman"/>
          <w:sz w:val="24"/>
          <w:szCs w:val="24"/>
        </w:rPr>
        <w:t xml:space="preserve"> eficientes.  </w:t>
      </w:r>
      <w:r>
        <w:rPr>
          <w:rFonts w:ascii="Times New Roman" w:hAnsi="Times New Roman" w:cs="Times New Roman"/>
          <w:sz w:val="24"/>
          <w:szCs w:val="24"/>
        </w:rPr>
        <w:t xml:space="preserve">  </w:t>
      </w:r>
    </w:p>
    <w:p w14:paraId="0E16562C" w14:textId="4230FB88" w:rsidR="00A30FA7" w:rsidRDefault="00A30FA7" w:rsidP="005169D7">
      <w:pPr>
        <w:spacing w:after="120" w:line="360" w:lineRule="auto"/>
        <w:ind w:firstLine="708"/>
        <w:jc w:val="both"/>
        <w:rPr>
          <w:rFonts w:ascii="Times New Roman" w:hAnsi="Times New Roman" w:cs="Times New Roman"/>
          <w:sz w:val="24"/>
          <w:szCs w:val="24"/>
        </w:rPr>
      </w:pPr>
      <w:r w:rsidRPr="00A30FA7">
        <w:rPr>
          <w:rFonts w:ascii="Times New Roman" w:hAnsi="Times New Roman" w:cs="Times New Roman"/>
          <w:sz w:val="24"/>
          <w:szCs w:val="24"/>
        </w:rPr>
        <w:t>Quando se analisam todos os 5</w:t>
      </w:r>
      <w:r w:rsidR="006940A8">
        <w:rPr>
          <w:rFonts w:ascii="Times New Roman" w:hAnsi="Times New Roman" w:cs="Times New Roman"/>
          <w:sz w:val="24"/>
          <w:szCs w:val="24"/>
        </w:rPr>
        <w:t>393</w:t>
      </w:r>
      <w:r w:rsidRPr="00A30FA7">
        <w:rPr>
          <w:rFonts w:ascii="Times New Roman" w:hAnsi="Times New Roman" w:cs="Times New Roman"/>
          <w:sz w:val="24"/>
          <w:szCs w:val="24"/>
        </w:rPr>
        <w:t xml:space="preserve"> municípios</w:t>
      </w:r>
      <w:r>
        <w:rPr>
          <w:rFonts w:ascii="Times New Roman" w:hAnsi="Times New Roman" w:cs="Times New Roman"/>
          <w:sz w:val="24"/>
          <w:szCs w:val="24"/>
        </w:rPr>
        <w:t xml:space="preserve"> conjuntamente</w:t>
      </w:r>
      <w:r w:rsidR="00465B1F">
        <w:rPr>
          <w:rFonts w:ascii="Times New Roman" w:hAnsi="Times New Roman" w:cs="Times New Roman"/>
          <w:sz w:val="24"/>
          <w:szCs w:val="24"/>
        </w:rPr>
        <w:t>,</w:t>
      </w:r>
      <w:r>
        <w:rPr>
          <w:rFonts w:ascii="Times New Roman" w:hAnsi="Times New Roman" w:cs="Times New Roman"/>
          <w:sz w:val="24"/>
          <w:szCs w:val="24"/>
        </w:rPr>
        <w:t xml:space="preserve"> </w:t>
      </w:r>
      <w:r w:rsidR="00535F08">
        <w:rPr>
          <w:rFonts w:ascii="Times New Roman" w:hAnsi="Times New Roman" w:cs="Times New Roman"/>
          <w:sz w:val="24"/>
          <w:szCs w:val="24"/>
        </w:rPr>
        <w:t xml:space="preserve">pode-se </w:t>
      </w:r>
      <w:r w:rsidR="006039F7">
        <w:rPr>
          <w:rFonts w:ascii="Times New Roman" w:hAnsi="Times New Roman" w:cs="Times New Roman"/>
          <w:sz w:val="24"/>
          <w:szCs w:val="24"/>
        </w:rPr>
        <w:t xml:space="preserve">verificar </w:t>
      </w:r>
      <w:r w:rsidR="00535F08">
        <w:rPr>
          <w:rFonts w:ascii="Times New Roman" w:hAnsi="Times New Roman" w:cs="Times New Roman"/>
          <w:sz w:val="24"/>
          <w:szCs w:val="24"/>
        </w:rPr>
        <w:t xml:space="preserve">que os </w:t>
      </w:r>
      <w:r w:rsidR="006940A8">
        <w:rPr>
          <w:rFonts w:ascii="Times New Roman" w:hAnsi="Times New Roman" w:cs="Times New Roman"/>
          <w:sz w:val="24"/>
          <w:szCs w:val="24"/>
        </w:rPr>
        <w:t>2688</w:t>
      </w:r>
      <w:r w:rsidR="00465B1F">
        <w:rPr>
          <w:rFonts w:ascii="Times New Roman" w:hAnsi="Times New Roman" w:cs="Times New Roman"/>
          <w:sz w:val="24"/>
          <w:szCs w:val="24"/>
        </w:rPr>
        <w:t xml:space="preserve"> </w:t>
      </w:r>
      <w:r w:rsidR="00535F08">
        <w:rPr>
          <w:rFonts w:ascii="Times New Roman" w:hAnsi="Times New Roman" w:cs="Times New Roman"/>
          <w:sz w:val="24"/>
          <w:szCs w:val="24"/>
        </w:rPr>
        <w:t>municípios considerados eficientes (</w:t>
      </w:r>
      <w:r w:rsidR="006940A8">
        <w:rPr>
          <w:rFonts w:ascii="Times New Roman" w:hAnsi="Times New Roman" w:cs="Times New Roman"/>
          <w:sz w:val="24"/>
          <w:szCs w:val="24"/>
        </w:rPr>
        <w:t>49,84</w:t>
      </w:r>
      <w:r w:rsidR="00465B1F">
        <w:rPr>
          <w:rFonts w:ascii="Times New Roman" w:hAnsi="Times New Roman" w:cs="Times New Roman"/>
          <w:sz w:val="24"/>
          <w:szCs w:val="24"/>
        </w:rPr>
        <w:t>%</w:t>
      </w:r>
      <w:r w:rsidR="00535F08">
        <w:rPr>
          <w:rFonts w:ascii="Times New Roman" w:hAnsi="Times New Roman" w:cs="Times New Roman"/>
          <w:sz w:val="24"/>
          <w:szCs w:val="24"/>
        </w:rPr>
        <w:t xml:space="preserve">) e </w:t>
      </w:r>
      <w:r w:rsidR="00465B1F">
        <w:rPr>
          <w:rFonts w:ascii="Times New Roman" w:hAnsi="Times New Roman" w:cs="Times New Roman"/>
          <w:sz w:val="24"/>
          <w:szCs w:val="24"/>
        </w:rPr>
        <w:t xml:space="preserve">os </w:t>
      </w:r>
      <w:r w:rsidR="006940A8">
        <w:rPr>
          <w:rFonts w:ascii="Times New Roman" w:hAnsi="Times New Roman" w:cs="Times New Roman"/>
          <w:sz w:val="24"/>
          <w:szCs w:val="24"/>
        </w:rPr>
        <w:t>2705</w:t>
      </w:r>
      <w:r w:rsidR="00465B1F">
        <w:rPr>
          <w:rFonts w:ascii="Times New Roman" w:hAnsi="Times New Roman" w:cs="Times New Roman"/>
          <w:sz w:val="24"/>
          <w:szCs w:val="24"/>
        </w:rPr>
        <w:t xml:space="preserve"> </w:t>
      </w:r>
      <w:r w:rsidR="00535F08">
        <w:rPr>
          <w:rFonts w:ascii="Times New Roman" w:hAnsi="Times New Roman" w:cs="Times New Roman"/>
          <w:sz w:val="24"/>
          <w:szCs w:val="24"/>
        </w:rPr>
        <w:t>ineficientes (</w:t>
      </w:r>
      <w:r w:rsidR="006940A8">
        <w:rPr>
          <w:rFonts w:ascii="Times New Roman" w:hAnsi="Times New Roman" w:cs="Times New Roman"/>
          <w:sz w:val="24"/>
          <w:szCs w:val="24"/>
        </w:rPr>
        <w:t>50,16</w:t>
      </w:r>
      <w:r w:rsidR="00465B1F">
        <w:rPr>
          <w:rFonts w:ascii="Times New Roman" w:hAnsi="Times New Roman" w:cs="Times New Roman"/>
          <w:sz w:val="24"/>
          <w:szCs w:val="24"/>
        </w:rPr>
        <w:t>%</w:t>
      </w:r>
      <w:r w:rsidR="00535F08">
        <w:rPr>
          <w:rFonts w:ascii="Times New Roman" w:hAnsi="Times New Roman" w:cs="Times New Roman"/>
          <w:sz w:val="24"/>
          <w:szCs w:val="24"/>
        </w:rPr>
        <w:t>) apresentam estatisticamente a mesma mediana</w:t>
      </w:r>
      <w:r w:rsidR="009E5B52">
        <w:rPr>
          <w:rFonts w:ascii="Times New Roman" w:hAnsi="Times New Roman" w:cs="Times New Roman"/>
          <w:sz w:val="24"/>
          <w:szCs w:val="24"/>
        </w:rPr>
        <w:t xml:space="preserve"> para os ODS</w:t>
      </w:r>
      <w:r w:rsidR="00535F08">
        <w:rPr>
          <w:rFonts w:ascii="Times New Roman" w:hAnsi="Times New Roman" w:cs="Times New Roman"/>
          <w:sz w:val="24"/>
          <w:szCs w:val="24"/>
        </w:rPr>
        <w:t xml:space="preserve"> (p-value = </w:t>
      </w:r>
      <w:r w:rsidR="009134FD">
        <w:rPr>
          <w:rFonts w:ascii="Times New Roman" w:hAnsi="Times New Roman" w:cs="Times New Roman"/>
          <w:sz w:val="24"/>
          <w:szCs w:val="24"/>
        </w:rPr>
        <w:t>0,134</w:t>
      </w:r>
      <w:r w:rsidR="00535F08">
        <w:rPr>
          <w:rFonts w:ascii="Times New Roman" w:hAnsi="Times New Roman" w:cs="Times New Roman"/>
          <w:sz w:val="24"/>
          <w:szCs w:val="24"/>
        </w:rPr>
        <w:t>), sendo igual</w:t>
      </w:r>
      <w:r w:rsidR="00465B1F">
        <w:rPr>
          <w:rFonts w:ascii="Times New Roman" w:hAnsi="Times New Roman" w:cs="Times New Roman"/>
          <w:sz w:val="24"/>
          <w:szCs w:val="24"/>
        </w:rPr>
        <w:t xml:space="preserve"> </w:t>
      </w:r>
      <w:r w:rsidR="00535F08">
        <w:rPr>
          <w:rFonts w:ascii="Times New Roman" w:hAnsi="Times New Roman" w:cs="Times New Roman"/>
          <w:sz w:val="24"/>
          <w:szCs w:val="24"/>
        </w:rPr>
        <w:t>a</w:t>
      </w:r>
      <w:r w:rsidR="009134FD">
        <w:rPr>
          <w:rFonts w:ascii="Times New Roman" w:hAnsi="Times New Roman" w:cs="Times New Roman"/>
          <w:sz w:val="24"/>
          <w:szCs w:val="24"/>
        </w:rPr>
        <w:t xml:space="preserve"> 48,91</w:t>
      </w:r>
      <w:r w:rsidR="00535F08">
        <w:rPr>
          <w:rFonts w:ascii="Times New Roman" w:hAnsi="Times New Roman" w:cs="Times New Roman"/>
          <w:sz w:val="24"/>
          <w:szCs w:val="24"/>
        </w:rPr>
        <w:t xml:space="preserve"> e 48,</w:t>
      </w:r>
      <w:r w:rsidR="009134FD">
        <w:rPr>
          <w:rFonts w:ascii="Times New Roman" w:hAnsi="Times New Roman" w:cs="Times New Roman"/>
          <w:sz w:val="24"/>
          <w:szCs w:val="24"/>
        </w:rPr>
        <w:t>77</w:t>
      </w:r>
      <w:r w:rsidR="00535F08">
        <w:rPr>
          <w:rFonts w:ascii="Times New Roman" w:hAnsi="Times New Roman" w:cs="Times New Roman"/>
          <w:sz w:val="24"/>
          <w:szCs w:val="24"/>
        </w:rPr>
        <w:t>, respectivamente. Já em relação ao orçamento per capita dos municípios brasileiros</w:t>
      </w:r>
      <w:r w:rsidR="00465B1F">
        <w:rPr>
          <w:rFonts w:ascii="Times New Roman" w:hAnsi="Times New Roman" w:cs="Times New Roman"/>
          <w:sz w:val="24"/>
          <w:szCs w:val="24"/>
        </w:rPr>
        <w:t>,</w:t>
      </w:r>
      <w:r w:rsidR="00535F08">
        <w:rPr>
          <w:rFonts w:ascii="Times New Roman" w:hAnsi="Times New Roman" w:cs="Times New Roman"/>
          <w:sz w:val="24"/>
          <w:szCs w:val="24"/>
        </w:rPr>
        <w:t xml:space="preserve"> pode-se verificar que a mediana dos municípios ineficientes (</w:t>
      </w:r>
      <w:r w:rsidR="009134FD">
        <w:rPr>
          <w:rFonts w:ascii="Times New Roman" w:hAnsi="Times New Roman" w:cs="Times New Roman"/>
          <w:sz w:val="24"/>
          <w:szCs w:val="24"/>
        </w:rPr>
        <w:t>6680,12</w:t>
      </w:r>
      <w:r w:rsidR="00535F08">
        <w:rPr>
          <w:rFonts w:ascii="Times New Roman" w:hAnsi="Times New Roman" w:cs="Times New Roman"/>
          <w:sz w:val="24"/>
          <w:szCs w:val="24"/>
        </w:rPr>
        <w:t xml:space="preserve"> R$/hab) é superior as dos municípios eficientes (</w:t>
      </w:r>
      <w:r w:rsidR="009134FD">
        <w:rPr>
          <w:rFonts w:ascii="Times New Roman" w:hAnsi="Times New Roman" w:cs="Times New Roman"/>
          <w:sz w:val="24"/>
          <w:szCs w:val="24"/>
        </w:rPr>
        <w:t>4534,40</w:t>
      </w:r>
      <w:r w:rsidR="00535F08" w:rsidRPr="00535F08">
        <w:rPr>
          <w:rFonts w:ascii="Times New Roman" w:hAnsi="Times New Roman" w:cs="Times New Roman"/>
          <w:sz w:val="24"/>
          <w:szCs w:val="24"/>
        </w:rPr>
        <w:t xml:space="preserve"> </w:t>
      </w:r>
      <w:r w:rsidR="00535F08">
        <w:rPr>
          <w:rFonts w:ascii="Times New Roman" w:hAnsi="Times New Roman" w:cs="Times New Roman"/>
          <w:sz w:val="24"/>
          <w:szCs w:val="24"/>
        </w:rPr>
        <w:t>R$/</w:t>
      </w:r>
      <w:proofErr w:type="spellStart"/>
      <w:r w:rsidR="00535F08">
        <w:rPr>
          <w:rFonts w:ascii="Times New Roman" w:hAnsi="Times New Roman" w:cs="Times New Roman"/>
          <w:sz w:val="24"/>
          <w:szCs w:val="24"/>
        </w:rPr>
        <w:t>hab</w:t>
      </w:r>
      <w:proofErr w:type="spellEnd"/>
      <w:r w:rsidR="00535F08">
        <w:rPr>
          <w:rFonts w:ascii="Times New Roman" w:hAnsi="Times New Roman" w:cs="Times New Roman"/>
          <w:sz w:val="24"/>
          <w:szCs w:val="24"/>
        </w:rPr>
        <w:t>), com um p-</w:t>
      </w:r>
      <w:proofErr w:type="spellStart"/>
      <w:r w:rsidR="00535F08">
        <w:rPr>
          <w:rFonts w:ascii="Times New Roman" w:hAnsi="Times New Roman" w:cs="Times New Roman"/>
          <w:sz w:val="24"/>
          <w:szCs w:val="24"/>
        </w:rPr>
        <w:t>value</w:t>
      </w:r>
      <w:proofErr w:type="spellEnd"/>
      <w:r w:rsidR="00535F08">
        <w:rPr>
          <w:rFonts w:ascii="Times New Roman" w:hAnsi="Times New Roman" w:cs="Times New Roman"/>
          <w:sz w:val="24"/>
          <w:szCs w:val="24"/>
        </w:rPr>
        <w:t xml:space="preserve"> de 0,000. Por fim, em relação a população, pode-se verificar que os municípios ineficientes tendem a possuir populações menores (</w:t>
      </w:r>
      <w:r w:rsidR="009134FD">
        <w:rPr>
          <w:rFonts w:ascii="Times New Roman" w:hAnsi="Times New Roman" w:cs="Times New Roman"/>
          <w:sz w:val="24"/>
          <w:szCs w:val="24"/>
        </w:rPr>
        <w:t>6037</w:t>
      </w:r>
      <w:r w:rsidR="00465B1F">
        <w:rPr>
          <w:rFonts w:ascii="Times New Roman" w:hAnsi="Times New Roman" w:cs="Times New Roman"/>
          <w:sz w:val="24"/>
          <w:szCs w:val="24"/>
        </w:rPr>
        <w:t xml:space="preserve"> </w:t>
      </w:r>
      <w:r w:rsidR="00535F08">
        <w:rPr>
          <w:rFonts w:ascii="Times New Roman" w:hAnsi="Times New Roman" w:cs="Times New Roman"/>
          <w:sz w:val="24"/>
          <w:szCs w:val="24"/>
        </w:rPr>
        <w:t>habitantes)</w:t>
      </w:r>
      <w:r w:rsidR="00465B1F">
        <w:rPr>
          <w:rFonts w:ascii="Times New Roman" w:hAnsi="Times New Roman" w:cs="Times New Roman"/>
          <w:sz w:val="24"/>
          <w:szCs w:val="24"/>
        </w:rPr>
        <w:t xml:space="preserve">, em relação a </w:t>
      </w:r>
      <w:r w:rsidR="00465B1F">
        <w:rPr>
          <w:rFonts w:ascii="Times New Roman" w:hAnsi="Times New Roman" w:cs="Times New Roman"/>
          <w:sz w:val="24"/>
          <w:szCs w:val="24"/>
        </w:rPr>
        <w:lastRenderedPageBreak/>
        <w:t>mediana dos dados,</w:t>
      </w:r>
      <w:r w:rsidR="00535F08">
        <w:rPr>
          <w:rFonts w:ascii="Times New Roman" w:hAnsi="Times New Roman" w:cs="Times New Roman"/>
          <w:sz w:val="24"/>
          <w:szCs w:val="24"/>
        </w:rPr>
        <w:t xml:space="preserve"> do que os municípios considerados eficientes (</w:t>
      </w:r>
      <w:r w:rsidR="009134FD">
        <w:rPr>
          <w:rFonts w:ascii="Times New Roman" w:hAnsi="Times New Roman" w:cs="Times New Roman"/>
          <w:sz w:val="24"/>
          <w:szCs w:val="24"/>
        </w:rPr>
        <w:t>20237</w:t>
      </w:r>
      <w:r w:rsidR="005169D7">
        <w:rPr>
          <w:rFonts w:ascii="Times New Roman" w:hAnsi="Times New Roman" w:cs="Times New Roman"/>
          <w:sz w:val="24"/>
          <w:szCs w:val="24"/>
        </w:rPr>
        <w:t xml:space="preserve"> </w:t>
      </w:r>
      <w:r w:rsidR="00535F08">
        <w:rPr>
          <w:rFonts w:ascii="Times New Roman" w:hAnsi="Times New Roman" w:cs="Times New Roman"/>
          <w:sz w:val="24"/>
          <w:szCs w:val="24"/>
        </w:rPr>
        <w:t xml:space="preserve">habitantes), com p-value = 0.000.  </w:t>
      </w:r>
    </w:p>
    <w:p w14:paraId="2A06098F" w14:textId="2EE695CD" w:rsidR="0055487C" w:rsidRDefault="0055487C" w:rsidP="0055487C">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se verificar a situação da eficiência dos municípios brasileiros agrupados por regiões e estados, foi elaborada a</w:t>
      </w:r>
      <w:r w:rsidRPr="00CC4B95">
        <w:rPr>
          <w:rFonts w:ascii="Times New Roman" w:hAnsi="Times New Roman" w:cs="Times New Roman"/>
          <w:sz w:val="24"/>
          <w:szCs w:val="24"/>
        </w:rPr>
        <w:t xml:space="preserve"> Tabela 1</w:t>
      </w:r>
      <w:r>
        <w:rPr>
          <w:rFonts w:ascii="Times New Roman" w:hAnsi="Times New Roman" w:cs="Times New Roman"/>
          <w:sz w:val="24"/>
          <w:szCs w:val="24"/>
        </w:rPr>
        <w:t>3</w:t>
      </w:r>
      <w:r w:rsidRPr="00CC4B95">
        <w:rPr>
          <w:rFonts w:ascii="Times New Roman" w:hAnsi="Times New Roman" w:cs="Times New Roman"/>
          <w:sz w:val="24"/>
          <w:szCs w:val="24"/>
        </w:rPr>
        <w:t xml:space="preserve"> </w:t>
      </w:r>
      <w:r>
        <w:rPr>
          <w:rFonts w:ascii="Times New Roman" w:hAnsi="Times New Roman" w:cs="Times New Roman"/>
          <w:sz w:val="24"/>
          <w:szCs w:val="24"/>
        </w:rPr>
        <w:t>considerando esta divisão</w:t>
      </w:r>
      <w:r w:rsidRPr="00CC4B95">
        <w:rPr>
          <w:rFonts w:ascii="Times New Roman" w:hAnsi="Times New Roman" w:cs="Times New Roman"/>
          <w:sz w:val="24"/>
          <w:szCs w:val="24"/>
        </w:rPr>
        <w:t>.</w:t>
      </w:r>
      <w:r>
        <w:rPr>
          <w:rFonts w:ascii="Times New Roman" w:hAnsi="Times New Roman" w:cs="Times New Roman"/>
          <w:sz w:val="24"/>
          <w:szCs w:val="24"/>
        </w:rPr>
        <w:t xml:space="preserve"> Ressalta-se, que o modelo DEA não foi reaplicado aos dados agrupados por estados ou regiões, visto que de tal maneira não atenderiam aos pressupostos necessários para a aplicação do modelo DEA CCR.</w:t>
      </w:r>
      <w:r w:rsidRPr="00CC4B95">
        <w:rPr>
          <w:rFonts w:ascii="Times New Roman" w:hAnsi="Times New Roman" w:cs="Times New Roman"/>
          <w:sz w:val="24"/>
          <w:szCs w:val="24"/>
        </w:rPr>
        <w:t xml:space="preserve"> </w:t>
      </w:r>
      <w:r>
        <w:rPr>
          <w:rFonts w:ascii="Times New Roman" w:hAnsi="Times New Roman" w:cs="Times New Roman"/>
          <w:sz w:val="24"/>
          <w:szCs w:val="24"/>
        </w:rPr>
        <w:t xml:space="preserve">Assim os dados da eficiência calculado por hierarquia foram utilizados para composição dessa tabela. </w:t>
      </w:r>
    </w:p>
    <w:p w14:paraId="44A98153" w14:textId="2F05DB9C" w:rsidR="0055487C" w:rsidRPr="0055487C" w:rsidRDefault="0055487C" w:rsidP="0055487C">
      <w:pPr>
        <w:spacing w:after="120" w:line="360" w:lineRule="auto"/>
        <w:jc w:val="center"/>
        <w:rPr>
          <w:rFonts w:ascii="Times New Roman" w:hAnsi="Times New Roman" w:cs="Times New Roman"/>
          <w:sz w:val="20"/>
          <w:szCs w:val="20"/>
        </w:rPr>
      </w:pPr>
      <w:r w:rsidRPr="0055487C">
        <w:rPr>
          <w:rFonts w:ascii="Times New Roman" w:hAnsi="Times New Roman" w:cs="Times New Roman"/>
          <w:sz w:val="20"/>
          <w:szCs w:val="20"/>
        </w:rPr>
        <w:t>Tabela 13 – Análise de Eficiência por Regiões e Estados</w:t>
      </w:r>
    </w:p>
    <w:tbl>
      <w:tblPr>
        <w:tblW w:w="8505" w:type="dxa"/>
        <w:tblCellMar>
          <w:left w:w="70" w:type="dxa"/>
          <w:right w:w="70" w:type="dxa"/>
        </w:tblCellMar>
        <w:tblLook w:val="04A0" w:firstRow="1" w:lastRow="0" w:firstColumn="1" w:lastColumn="0" w:noHBand="0" w:noVBand="1"/>
      </w:tblPr>
      <w:tblGrid>
        <w:gridCol w:w="2127"/>
        <w:gridCol w:w="1096"/>
        <w:gridCol w:w="1124"/>
        <w:gridCol w:w="985"/>
        <w:gridCol w:w="994"/>
        <w:gridCol w:w="993"/>
        <w:gridCol w:w="1186"/>
      </w:tblGrid>
      <w:tr w:rsidR="005613FB" w:rsidRPr="00D9263A" w14:paraId="3EEDD0D5" w14:textId="4D3A9EA4" w:rsidTr="008029DA">
        <w:trPr>
          <w:trHeight w:val="288"/>
        </w:trPr>
        <w:tc>
          <w:tcPr>
            <w:tcW w:w="2127" w:type="dxa"/>
            <w:tcBorders>
              <w:top w:val="single" w:sz="4" w:space="0" w:color="95B3D7"/>
              <w:left w:val="nil"/>
              <w:right w:val="nil"/>
            </w:tcBorders>
            <w:shd w:val="clear" w:color="DCE6F1" w:fill="DCE6F1"/>
            <w:noWrap/>
            <w:vAlign w:val="center"/>
            <w:hideMark/>
          </w:tcPr>
          <w:p w14:paraId="35D3353B" w14:textId="77777777" w:rsidR="005613FB" w:rsidRPr="00D9263A" w:rsidRDefault="005613FB"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Região/ Estado</w:t>
            </w:r>
          </w:p>
        </w:tc>
        <w:tc>
          <w:tcPr>
            <w:tcW w:w="989" w:type="dxa"/>
            <w:tcBorders>
              <w:top w:val="single" w:sz="4" w:space="0" w:color="95B3D7"/>
              <w:left w:val="nil"/>
              <w:right w:val="nil"/>
            </w:tcBorders>
            <w:shd w:val="clear" w:color="DCE6F1" w:fill="DCE6F1"/>
            <w:vAlign w:val="center"/>
          </w:tcPr>
          <w:p w14:paraId="73943815" w14:textId="241D61CF" w:rsidR="008029DA" w:rsidRDefault="008029DA"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Municípios</w:t>
            </w:r>
          </w:p>
          <w:p w14:paraId="118B5E66" w14:textId="403CB262" w:rsidR="005613FB" w:rsidRPr="00D9263A" w:rsidRDefault="005613FB"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Eficiente</w:t>
            </w:r>
            <w:r>
              <w:rPr>
                <w:rFonts w:ascii="Times New Roman" w:eastAsia="Times New Roman" w:hAnsi="Times New Roman" w:cs="Times New Roman"/>
                <w:b/>
                <w:bCs/>
                <w:color w:val="000000"/>
                <w:kern w:val="0"/>
                <w:sz w:val="20"/>
                <w:szCs w:val="20"/>
                <w:lang w:eastAsia="pt-BR"/>
                <w14:ligatures w14:val="none"/>
              </w:rPr>
              <w:t>s</w:t>
            </w:r>
          </w:p>
        </w:tc>
        <w:tc>
          <w:tcPr>
            <w:tcW w:w="1132" w:type="dxa"/>
            <w:tcBorders>
              <w:top w:val="single" w:sz="4" w:space="0" w:color="95B3D7"/>
              <w:left w:val="nil"/>
              <w:right w:val="nil"/>
            </w:tcBorders>
            <w:shd w:val="clear" w:color="DCE6F1" w:fill="DCE6F1"/>
            <w:vAlign w:val="center"/>
          </w:tcPr>
          <w:p w14:paraId="5A9FDDE5" w14:textId="77777777" w:rsidR="008029DA" w:rsidRDefault="008029DA"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Pr>
                <w:rFonts w:ascii="Times New Roman" w:eastAsia="Times New Roman" w:hAnsi="Times New Roman" w:cs="Times New Roman"/>
                <w:b/>
                <w:bCs/>
                <w:color w:val="000000"/>
                <w:kern w:val="0"/>
                <w:sz w:val="20"/>
                <w:szCs w:val="20"/>
                <w:lang w:eastAsia="pt-BR"/>
                <w14:ligatures w14:val="none"/>
              </w:rPr>
              <w:t>Municípios</w:t>
            </w:r>
          </w:p>
          <w:p w14:paraId="2AB129F3" w14:textId="08761493" w:rsidR="005613FB" w:rsidRPr="00D9263A" w:rsidRDefault="005613FB"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Ineficiente</w:t>
            </w:r>
            <w:r>
              <w:rPr>
                <w:rFonts w:ascii="Times New Roman" w:eastAsia="Times New Roman" w:hAnsi="Times New Roman" w:cs="Times New Roman"/>
                <w:b/>
                <w:bCs/>
                <w:color w:val="000000"/>
                <w:kern w:val="0"/>
                <w:sz w:val="20"/>
                <w:szCs w:val="20"/>
                <w:lang w:eastAsia="pt-BR"/>
                <w14:ligatures w14:val="none"/>
              </w:rPr>
              <w:t>s</w:t>
            </w:r>
          </w:p>
        </w:tc>
        <w:tc>
          <w:tcPr>
            <w:tcW w:w="985" w:type="dxa"/>
            <w:tcBorders>
              <w:top w:val="single" w:sz="4" w:space="0" w:color="95B3D7"/>
              <w:left w:val="nil"/>
              <w:right w:val="nil"/>
            </w:tcBorders>
            <w:shd w:val="clear" w:color="DCE6F1" w:fill="DCE6F1"/>
            <w:vAlign w:val="center"/>
          </w:tcPr>
          <w:p w14:paraId="69A32046" w14:textId="60BC529E" w:rsidR="005613FB" w:rsidRPr="00D9263A" w:rsidRDefault="005613FB"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 Eficiência</w:t>
            </w:r>
          </w:p>
        </w:tc>
        <w:tc>
          <w:tcPr>
            <w:tcW w:w="1004" w:type="dxa"/>
            <w:tcBorders>
              <w:top w:val="single" w:sz="4" w:space="0" w:color="95B3D7"/>
              <w:left w:val="nil"/>
              <w:right w:val="nil"/>
            </w:tcBorders>
            <w:shd w:val="clear" w:color="DCE6F1" w:fill="DCE6F1"/>
            <w:vAlign w:val="center"/>
          </w:tcPr>
          <w:p w14:paraId="321A04D5" w14:textId="33BA5F8D" w:rsidR="005613FB" w:rsidRPr="00D9263A" w:rsidRDefault="005613FB"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Média Eficiência</w:t>
            </w:r>
          </w:p>
        </w:tc>
        <w:tc>
          <w:tcPr>
            <w:tcW w:w="993" w:type="dxa"/>
            <w:tcBorders>
              <w:top w:val="single" w:sz="4" w:space="0" w:color="95B3D7"/>
              <w:left w:val="nil"/>
              <w:right w:val="nil"/>
            </w:tcBorders>
            <w:shd w:val="clear" w:color="DCE6F1" w:fill="DCE6F1"/>
            <w:noWrap/>
            <w:vAlign w:val="center"/>
          </w:tcPr>
          <w:p w14:paraId="02ADD761" w14:textId="3DC90345" w:rsidR="005613FB" w:rsidRPr="005613FB" w:rsidRDefault="005613FB"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5613FB">
              <w:rPr>
                <w:rFonts w:ascii="Times New Roman" w:hAnsi="Times New Roman" w:cs="Times New Roman"/>
                <w:b/>
                <w:bCs/>
                <w:color w:val="000000"/>
                <w:sz w:val="20"/>
                <w:szCs w:val="20"/>
              </w:rPr>
              <w:t>Média ODS</w:t>
            </w:r>
          </w:p>
        </w:tc>
        <w:tc>
          <w:tcPr>
            <w:tcW w:w="1275" w:type="dxa"/>
            <w:tcBorders>
              <w:top w:val="single" w:sz="4" w:space="0" w:color="95B3D7"/>
              <w:left w:val="nil"/>
              <w:right w:val="nil"/>
            </w:tcBorders>
            <w:shd w:val="clear" w:color="DCE6F1" w:fill="DCE6F1"/>
            <w:vAlign w:val="center"/>
          </w:tcPr>
          <w:p w14:paraId="5CE4E254" w14:textId="44E92BA8" w:rsidR="005613FB" w:rsidRPr="005613FB" w:rsidRDefault="005613FB" w:rsidP="008029D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5613FB">
              <w:rPr>
                <w:rFonts w:ascii="Times New Roman" w:hAnsi="Times New Roman" w:cs="Times New Roman"/>
                <w:b/>
                <w:bCs/>
                <w:color w:val="000000"/>
                <w:sz w:val="20"/>
                <w:szCs w:val="20"/>
              </w:rPr>
              <w:t>Média d</w:t>
            </w:r>
            <w:r w:rsidR="008029DA">
              <w:rPr>
                <w:rFonts w:ascii="Times New Roman" w:hAnsi="Times New Roman" w:cs="Times New Roman"/>
                <w:b/>
                <w:bCs/>
                <w:color w:val="000000"/>
                <w:sz w:val="20"/>
                <w:szCs w:val="20"/>
              </w:rPr>
              <w:t>o</w:t>
            </w:r>
            <w:r w:rsidRPr="005613FB">
              <w:rPr>
                <w:rFonts w:ascii="Times New Roman" w:hAnsi="Times New Roman" w:cs="Times New Roman"/>
                <w:b/>
                <w:bCs/>
                <w:color w:val="000000"/>
                <w:sz w:val="20"/>
                <w:szCs w:val="20"/>
              </w:rPr>
              <w:t xml:space="preserve"> Orçamento per capita</w:t>
            </w:r>
          </w:p>
        </w:tc>
      </w:tr>
      <w:tr w:rsidR="0093246A" w:rsidRPr="00D9263A" w14:paraId="06EA3BFC" w14:textId="53CB87CE" w:rsidTr="008029DA">
        <w:trPr>
          <w:trHeight w:val="288"/>
        </w:trPr>
        <w:tc>
          <w:tcPr>
            <w:tcW w:w="2127" w:type="dxa"/>
            <w:tcBorders>
              <w:top w:val="nil"/>
              <w:left w:val="nil"/>
              <w:bottom w:val="single" w:sz="4" w:space="0" w:color="auto"/>
              <w:right w:val="nil"/>
            </w:tcBorders>
            <w:shd w:val="clear" w:color="auto" w:fill="auto"/>
            <w:noWrap/>
            <w:vAlign w:val="center"/>
            <w:hideMark/>
          </w:tcPr>
          <w:p w14:paraId="447147E2" w14:textId="7C6BB9D5" w:rsidR="005613FB" w:rsidRPr="00D9263A" w:rsidRDefault="005613FB" w:rsidP="0093246A">
            <w:pPr>
              <w:spacing w:after="0" w:line="240" w:lineRule="auto"/>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CENTRO-OESTE</w:t>
            </w:r>
          </w:p>
        </w:tc>
        <w:tc>
          <w:tcPr>
            <w:tcW w:w="989" w:type="dxa"/>
            <w:tcBorders>
              <w:top w:val="nil"/>
              <w:left w:val="nil"/>
              <w:bottom w:val="single" w:sz="4" w:space="0" w:color="auto"/>
              <w:right w:val="nil"/>
            </w:tcBorders>
            <w:vAlign w:val="center"/>
          </w:tcPr>
          <w:p w14:paraId="25098143" w14:textId="0FF06A22"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155</w:t>
            </w:r>
          </w:p>
        </w:tc>
        <w:tc>
          <w:tcPr>
            <w:tcW w:w="1132" w:type="dxa"/>
            <w:tcBorders>
              <w:top w:val="nil"/>
              <w:left w:val="nil"/>
              <w:bottom w:val="single" w:sz="4" w:space="0" w:color="auto"/>
              <w:right w:val="nil"/>
            </w:tcBorders>
            <w:vAlign w:val="center"/>
          </w:tcPr>
          <w:p w14:paraId="78B0ACA5" w14:textId="15245FE3"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288</w:t>
            </w:r>
          </w:p>
        </w:tc>
        <w:tc>
          <w:tcPr>
            <w:tcW w:w="985" w:type="dxa"/>
            <w:tcBorders>
              <w:top w:val="nil"/>
              <w:left w:val="nil"/>
              <w:bottom w:val="single" w:sz="4" w:space="0" w:color="auto"/>
              <w:right w:val="nil"/>
            </w:tcBorders>
            <w:vAlign w:val="center"/>
          </w:tcPr>
          <w:p w14:paraId="2CDC36D2" w14:textId="2F7F5085"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34,99%</w:t>
            </w:r>
          </w:p>
        </w:tc>
        <w:tc>
          <w:tcPr>
            <w:tcW w:w="1004" w:type="dxa"/>
            <w:tcBorders>
              <w:top w:val="nil"/>
              <w:left w:val="nil"/>
              <w:bottom w:val="single" w:sz="4" w:space="0" w:color="auto"/>
              <w:right w:val="nil"/>
            </w:tcBorders>
            <w:vAlign w:val="center"/>
          </w:tcPr>
          <w:p w14:paraId="172FD9F4" w14:textId="4240DBFA"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0,820</w:t>
            </w:r>
          </w:p>
        </w:tc>
        <w:tc>
          <w:tcPr>
            <w:tcW w:w="993" w:type="dxa"/>
            <w:tcBorders>
              <w:top w:val="nil"/>
              <w:left w:val="nil"/>
              <w:bottom w:val="single" w:sz="4" w:space="0" w:color="auto"/>
              <w:right w:val="nil"/>
            </w:tcBorders>
            <w:shd w:val="clear" w:color="auto" w:fill="auto"/>
            <w:noWrap/>
            <w:vAlign w:val="center"/>
          </w:tcPr>
          <w:p w14:paraId="48DF7980" w14:textId="51FBC187" w:rsidR="005613FB" w:rsidRPr="005613FB"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5613FB">
              <w:rPr>
                <w:rFonts w:ascii="Times New Roman" w:hAnsi="Times New Roman" w:cs="Times New Roman"/>
                <w:b/>
                <w:bCs/>
                <w:color w:val="000000"/>
                <w:sz w:val="20"/>
                <w:szCs w:val="20"/>
              </w:rPr>
              <w:t>48,76</w:t>
            </w:r>
          </w:p>
        </w:tc>
        <w:tc>
          <w:tcPr>
            <w:tcW w:w="1275" w:type="dxa"/>
            <w:tcBorders>
              <w:top w:val="nil"/>
              <w:left w:val="nil"/>
              <w:bottom w:val="single" w:sz="4" w:space="0" w:color="auto"/>
              <w:right w:val="nil"/>
            </w:tcBorders>
            <w:vAlign w:val="center"/>
          </w:tcPr>
          <w:p w14:paraId="4225DB21" w14:textId="4F936160" w:rsidR="005613FB" w:rsidRPr="005613FB" w:rsidRDefault="005613FB" w:rsidP="0093246A">
            <w:pPr>
              <w:spacing w:after="0" w:line="240" w:lineRule="auto"/>
              <w:jc w:val="center"/>
              <w:rPr>
                <w:rFonts w:ascii="Times New Roman" w:hAnsi="Times New Roman" w:cs="Times New Roman"/>
                <w:b/>
                <w:bCs/>
                <w:color w:val="000000"/>
                <w:sz w:val="20"/>
                <w:szCs w:val="20"/>
              </w:rPr>
            </w:pPr>
            <w:r w:rsidRPr="005613FB">
              <w:rPr>
                <w:rFonts w:ascii="Times New Roman" w:hAnsi="Times New Roman" w:cs="Times New Roman"/>
                <w:b/>
                <w:bCs/>
                <w:color w:val="000000"/>
                <w:sz w:val="20"/>
                <w:szCs w:val="20"/>
              </w:rPr>
              <w:t>R$</w:t>
            </w:r>
            <w:r>
              <w:rPr>
                <w:rFonts w:ascii="Times New Roman" w:hAnsi="Times New Roman" w:cs="Times New Roman"/>
                <w:b/>
                <w:bCs/>
                <w:color w:val="000000"/>
                <w:sz w:val="20"/>
                <w:szCs w:val="20"/>
              </w:rPr>
              <w:t xml:space="preserve"> </w:t>
            </w:r>
            <w:r w:rsidRPr="005613FB">
              <w:rPr>
                <w:rFonts w:ascii="Times New Roman" w:hAnsi="Times New Roman" w:cs="Times New Roman"/>
                <w:b/>
                <w:bCs/>
                <w:color w:val="000000"/>
                <w:sz w:val="20"/>
                <w:szCs w:val="20"/>
              </w:rPr>
              <w:t>7.320,89</w:t>
            </w:r>
          </w:p>
        </w:tc>
      </w:tr>
      <w:tr w:rsidR="0093246A" w:rsidRPr="00D9263A" w14:paraId="33D52FBE" w14:textId="41544D0A" w:rsidTr="008029DA">
        <w:trPr>
          <w:trHeight w:val="288"/>
        </w:trPr>
        <w:tc>
          <w:tcPr>
            <w:tcW w:w="2127" w:type="dxa"/>
            <w:tcBorders>
              <w:top w:val="single" w:sz="4" w:space="0" w:color="auto"/>
              <w:left w:val="nil"/>
              <w:bottom w:val="nil"/>
              <w:right w:val="nil"/>
            </w:tcBorders>
            <w:shd w:val="clear" w:color="auto" w:fill="auto"/>
            <w:noWrap/>
            <w:vAlign w:val="center"/>
            <w:hideMark/>
          </w:tcPr>
          <w:p w14:paraId="630BEE30" w14:textId="612FCBF3"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Goiás</w:t>
            </w:r>
          </w:p>
        </w:tc>
        <w:tc>
          <w:tcPr>
            <w:tcW w:w="989" w:type="dxa"/>
            <w:tcBorders>
              <w:top w:val="single" w:sz="4" w:space="0" w:color="auto"/>
              <w:left w:val="nil"/>
              <w:bottom w:val="nil"/>
              <w:right w:val="nil"/>
            </w:tcBorders>
            <w:vAlign w:val="center"/>
          </w:tcPr>
          <w:p w14:paraId="3AF50426" w14:textId="4D43E19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92</w:t>
            </w:r>
          </w:p>
        </w:tc>
        <w:tc>
          <w:tcPr>
            <w:tcW w:w="1132" w:type="dxa"/>
            <w:tcBorders>
              <w:top w:val="single" w:sz="4" w:space="0" w:color="auto"/>
              <w:left w:val="nil"/>
              <w:bottom w:val="nil"/>
              <w:right w:val="nil"/>
            </w:tcBorders>
            <w:vAlign w:val="center"/>
          </w:tcPr>
          <w:p w14:paraId="64ACF839" w14:textId="4032E4B4"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144</w:t>
            </w:r>
          </w:p>
        </w:tc>
        <w:tc>
          <w:tcPr>
            <w:tcW w:w="985" w:type="dxa"/>
            <w:tcBorders>
              <w:top w:val="single" w:sz="4" w:space="0" w:color="auto"/>
              <w:left w:val="nil"/>
              <w:bottom w:val="nil"/>
              <w:right w:val="nil"/>
            </w:tcBorders>
            <w:vAlign w:val="center"/>
          </w:tcPr>
          <w:p w14:paraId="5ABB9B6A" w14:textId="7B7CAEB8"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38,98%</w:t>
            </w:r>
          </w:p>
        </w:tc>
        <w:tc>
          <w:tcPr>
            <w:tcW w:w="1004" w:type="dxa"/>
            <w:tcBorders>
              <w:top w:val="single" w:sz="4" w:space="0" w:color="auto"/>
              <w:left w:val="nil"/>
              <w:bottom w:val="nil"/>
              <w:right w:val="nil"/>
            </w:tcBorders>
            <w:vAlign w:val="center"/>
          </w:tcPr>
          <w:p w14:paraId="6A46233F" w14:textId="7947C72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0,835</w:t>
            </w:r>
          </w:p>
        </w:tc>
        <w:tc>
          <w:tcPr>
            <w:tcW w:w="993" w:type="dxa"/>
            <w:tcBorders>
              <w:top w:val="single" w:sz="4" w:space="0" w:color="auto"/>
              <w:left w:val="nil"/>
              <w:bottom w:val="nil"/>
              <w:right w:val="nil"/>
            </w:tcBorders>
            <w:shd w:val="clear" w:color="auto" w:fill="auto"/>
            <w:noWrap/>
            <w:vAlign w:val="center"/>
          </w:tcPr>
          <w:p w14:paraId="5BBD97C1" w14:textId="1D3AFB48"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48,99</w:t>
            </w:r>
          </w:p>
        </w:tc>
        <w:tc>
          <w:tcPr>
            <w:tcW w:w="1275" w:type="dxa"/>
            <w:tcBorders>
              <w:top w:val="single" w:sz="4" w:space="0" w:color="auto"/>
              <w:left w:val="nil"/>
              <w:bottom w:val="nil"/>
              <w:right w:val="nil"/>
            </w:tcBorders>
            <w:vAlign w:val="center"/>
          </w:tcPr>
          <w:p w14:paraId="5A1C607B" w14:textId="25BF64DF"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6.833,29</w:t>
            </w:r>
          </w:p>
        </w:tc>
      </w:tr>
      <w:tr w:rsidR="0093246A" w:rsidRPr="00D9263A" w14:paraId="71A48C0F" w14:textId="0DAE4573" w:rsidTr="008029DA">
        <w:trPr>
          <w:trHeight w:val="288"/>
        </w:trPr>
        <w:tc>
          <w:tcPr>
            <w:tcW w:w="2127" w:type="dxa"/>
            <w:tcBorders>
              <w:top w:val="nil"/>
              <w:left w:val="nil"/>
              <w:bottom w:val="nil"/>
              <w:right w:val="nil"/>
            </w:tcBorders>
            <w:shd w:val="clear" w:color="auto" w:fill="auto"/>
            <w:noWrap/>
            <w:vAlign w:val="center"/>
            <w:hideMark/>
          </w:tcPr>
          <w:p w14:paraId="14956677" w14:textId="5C59DAB1"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Mato Grosso do Sul</w:t>
            </w:r>
          </w:p>
        </w:tc>
        <w:tc>
          <w:tcPr>
            <w:tcW w:w="989" w:type="dxa"/>
            <w:tcBorders>
              <w:top w:val="nil"/>
              <w:left w:val="nil"/>
              <w:bottom w:val="nil"/>
              <w:right w:val="nil"/>
            </w:tcBorders>
            <w:vAlign w:val="center"/>
          </w:tcPr>
          <w:p w14:paraId="1B591DE0" w14:textId="51B0C66A"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29</w:t>
            </w:r>
          </w:p>
        </w:tc>
        <w:tc>
          <w:tcPr>
            <w:tcW w:w="1132" w:type="dxa"/>
            <w:tcBorders>
              <w:top w:val="nil"/>
              <w:left w:val="nil"/>
              <w:bottom w:val="nil"/>
              <w:right w:val="nil"/>
            </w:tcBorders>
            <w:vAlign w:val="center"/>
          </w:tcPr>
          <w:p w14:paraId="44DBED05" w14:textId="05B8ABD9"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106</w:t>
            </w:r>
          </w:p>
        </w:tc>
        <w:tc>
          <w:tcPr>
            <w:tcW w:w="985" w:type="dxa"/>
            <w:tcBorders>
              <w:top w:val="nil"/>
              <w:left w:val="nil"/>
              <w:bottom w:val="nil"/>
              <w:right w:val="nil"/>
            </w:tcBorders>
            <w:vAlign w:val="center"/>
          </w:tcPr>
          <w:p w14:paraId="4420C011" w14:textId="18A5676C"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21,48%</w:t>
            </w:r>
          </w:p>
        </w:tc>
        <w:tc>
          <w:tcPr>
            <w:tcW w:w="1004" w:type="dxa"/>
            <w:tcBorders>
              <w:top w:val="nil"/>
              <w:left w:val="nil"/>
              <w:bottom w:val="nil"/>
              <w:right w:val="nil"/>
            </w:tcBorders>
            <w:vAlign w:val="center"/>
          </w:tcPr>
          <w:p w14:paraId="3775318E" w14:textId="1C7D4792"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0,769</w:t>
            </w:r>
          </w:p>
        </w:tc>
        <w:tc>
          <w:tcPr>
            <w:tcW w:w="993" w:type="dxa"/>
            <w:tcBorders>
              <w:top w:val="nil"/>
              <w:left w:val="nil"/>
              <w:bottom w:val="nil"/>
              <w:right w:val="nil"/>
            </w:tcBorders>
            <w:shd w:val="clear" w:color="auto" w:fill="auto"/>
            <w:noWrap/>
            <w:vAlign w:val="center"/>
          </w:tcPr>
          <w:p w14:paraId="42889FEC" w14:textId="33CDE988"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47,42</w:t>
            </w:r>
          </w:p>
        </w:tc>
        <w:tc>
          <w:tcPr>
            <w:tcW w:w="1275" w:type="dxa"/>
            <w:tcBorders>
              <w:top w:val="nil"/>
              <w:left w:val="nil"/>
              <w:bottom w:val="nil"/>
              <w:right w:val="nil"/>
            </w:tcBorders>
            <w:vAlign w:val="center"/>
          </w:tcPr>
          <w:p w14:paraId="71AAFC6E" w14:textId="637BA865"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8.164,81</w:t>
            </w:r>
          </w:p>
        </w:tc>
      </w:tr>
      <w:tr w:rsidR="0093246A" w:rsidRPr="00D9263A" w14:paraId="165B3A8B" w14:textId="47A2F5E1" w:rsidTr="008029DA">
        <w:trPr>
          <w:trHeight w:val="288"/>
        </w:trPr>
        <w:tc>
          <w:tcPr>
            <w:tcW w:w="2127" w:type="dxa"/>
            <w:tcBorders>
              <w:top w:val="nil"/>
              <w:left w:val="nil"/>
              <w:right w:val="nil"/>
            </w:tcBorders>
            <w:shd w:val="clear" w:color="auto" w:fill="auto"/>
            <w:noWrap/>
            <w:vAlign w:val="center"/>
            <w:hideMark/>
          </w:tcPr>
          <w:p w14:paraId="509E22EB" w14:textId="5337888C"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Mato Grosso</w:t>
            </w:r>
          </w:p>
        </w:tc>
        <w:tc>
          <w:tcPr>
            <w:tcW w:w="989" w:type="dxa"/>
            <w:tcBorders>
              <w:top w:val="nil"/>
              <w:left w:val="nil"/>
              <w:right w:val="nil"/>
            </w:tcBorders>
            <w:vAlign w:val="center"/>
          </w:tcPr>
          <w:p w14:paraId="25380D2E" w14:textId="0D2F5B66"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34</w:t>
            </w:r>
          </w:p>
        </w:tc>
        <w:tc>
          <w:tcPr>
            <w:tcW w:w="1132" w:type="dxa"/>
            <w:tcBorders>
              <w:top w:val="nil"/>
              <w:left w:val="nil"/>
              <w:right w:val="nil"/>
            </w:tcBorders>
            <w:vAlign w:val="center"/>
          </w:tcPr>
          <w:p w14:paraId="725E58E7" w14:textId="6CD203BC"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38</w:t>
            </w:r>
          </w:p>
        </w:tc>
        <w:tc>
          <w:tcPr>
            <w:tcW w:w="985" w:type="dxa"/>
            <w:tcBorders>
              <w:top w:val="nil"/>
              <w:left w:val="nil"/>
              <w:right w:val="nil"/>
            </w:tcBorders>
            <w:vAlign w:val="center"/>
          </w:tcPr>
          <w:p w14:paraId="288582CA" w14:textId="4FE63F87"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47,22%</w:t>
            </w:r>
          </w:p>
        </w:tc>
        <w:tc>
          <w:tcPr>
            <w:tcW w:w="1004" w:type="dxa"/>
            <w:tcBorders>
              <w:top w:val="nil"/>
              <w:left w:val="nil"/>
              <w:right w:val="nil"/>
            </w:tcBorders>
            <w:vAlign w:val="center"/>
          </w:tcPr>
          <w:p w14:paraId="24F75660" w14:textId="4F1FFE2D"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0,869</w:t>
            </w:r>
          </w:p>
        </w:tc>
        <w:tc>
          <w:tcPr>
            <w:tcW w:w="993" w:type="dxa"/>
            <w:tcBorders>
              <w:top w:val="nil"/>
              <w:left w:val="nil"/>
              <w:right w:val="nil"/>
            </w:tcBorders>
            <w:shd w:val="clear" w:color="auto" w:fill="auto"/>
            <w:noWrap/>
            <w:vAlign w:val="center"/>
          </w:tcPr>
          <w:p w14:paraId="5DAE7ACB" w14:textId="6CCCABDE"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50,54</w:t>
            </w:r>
          </w:p>
        </w:tc>
        <w:tc>
          <w:tcPr>
            <w:tcW w:w="1275" w:type="dxa"/>
            <w:tcBorders>
              <w:top w:val="nil"/>
              <w:left w:val="nil"/>
              <w:right w:val="nil"/>
            </w:tcBorders>
            <w:vAlign w:val="center"/>
          </w:tcPr>
          <w:p w14:paraId="51BFA48F" w14:textId="5C06393D"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7.336,78</w:t>
            </w:r>
          </w:p>
        </w:tc>
      </w:tr>
      <w:tr w:rsidR="0093246A" w:rsidRPr="00D9263A" w14:paraId="35CF1CC6" w14:textId="4018EA66" w:rsidTr="008029DA">
        <w:trPr>
          <w:trHeight w:val="288"/>
        </w:trPr>
        <w:tc>
          <w:tcPr>
            <w:tcW w:w="2127" w:type="dxa"/>
            <w:tcBorders>
              <w:top w:val="nil"/>
              <w:left w:val="nil"/>
              <w:bottom w:val="single" w:sz="4" w:space="0" w:color="auto"/>
              <w:right w:val="nil"/>
            </w:tcBorders>
            <w:shd w:val="clear" w:color="auto" w:fill="auto"/>
            <w:noWrap/>
            <w:vAlign w:val="center"/>
            <w:hideMark/>
          </w:tcPr>
          <w:p w14:paraId="44E197A6" w14:textId="4D104C7D" w:rsidR="005613FB" w:rsidRPr="00D9263A" w:rsidRDefault="005613FB" w:rsidP="0093246A">
            <w:pPr>
              <w:spacing w:after="0" w:line="240" w:lineRule="auto"/>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NORDESTE</w:t>
            </w:r>
          </w:p>
        </w:tc>
        <w:tc>
          <w:tcPr>
            <w:tcW w:w="989" w:type="dxa"/>
            <w:tcBorders>
              <w:top w:val="nil"/>
              <w:left w:val="nil"/>
              <w:bottom w:val="single" w:sz="4" w:space="0" w:color="auto"/>
              <w:right w:val="nil"/>
            </w:tcBorders>
            <w:vAlign w:val="center"/>
          </w:tcPr>
          <w:p w14:paraId="48FBF7C8" w14:textId="1966DFEA"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969</w:t>
            </w:r>
          </w:p>
        </w:tc>
        <w:tc>
          <w:tcPr>
            <w:tcW w:w="1132" w:type="dxa"/>
            <w:tcBorders>
              <w:top w:val="nil"/>
              <w:left w:val="nil"/>
              <w:bottom w:val="single" w:sz="4" w:space="0" w:color="auto"/>
              <w:right w:val="nil"/>
            </w:tcBorders>
            <w:vAlign w:val="center"/>
          </w:tcPr>
          <w:p w14:paraId="055D9A03" w14:textId="1AA8C623"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772</w:t>
            </w:r>
          </w:p>
        </w:tc>
        <w:tc>
          <w:tcPr>
            <w:tcW w:w="985" w:type="dxa"/>
            <w:tcBorders>
              <w:top w:val="nil"/>
              <w:left w:val="nil"/>
              <w:bottom w:val="single" w:sz="4" w:space="0" w:color="auto"/>
              <w:right w:val="nil"/>
            </w:tcBorders>
            <w:vAlign w:val="center"/>
          </w:tcPr>
          <w:p w14:paraId="72EA1D35" w14:textId="57C5F40C"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55,66%</w:t>
            </w:r>
          </w:p>
        </w:tc>
        <w:tc>
          <w:tcPr>
            <w:tcW w:w="1004" w:type="dxa"/>
            <w:tcBorders>
              <w:top w:val="nil"/>
              <w:left w:val="nil"/>
              <w:bottom w:val="single" w:sz="4" w:space="0" w:color="auto"/>
              <w:right w:val="nil"/>
            </w:tcBorders>
            <w:vAlign w:val="center"/>
          </w:tcPr>
          <w:p w14:paraId="1A6F7C55" w14:textId="60304733"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0,914</w:t>
            </w:r>
          </w:p>
        </w:tc>
        <w:tc>
          <w:tcPr>
            <w:tcW w:w="993" w:type="dxa"/>
            <w:tcBorders>
              <w:top w:val="nil"/>
              <w:left w:val="nil"/>
              <w:bottom w:val="single" w:sz="4" w:space="0" w:color="auto"/>
              <w:right w:val="nil"/>
            </w:tcBorders>
            <w:shd w:val="clear" w:color="auto" w:fill="auto"/>
            <w:noWrap/>
            <w:vAlign w:val="center"/>
          </w:tcPr>
          <w:p w14:paraId="1D839B24" w14:textId="7373060B" w:rsidR="005613FB" w:rsidRPr="005613FB"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5613FB">
              <w:rPr>
                <w:rFonts w:ascii="Times New Roman" w:hAnsi="Times New Roman" w:cs="Times New Roman"/>
                <w:b/>
                <w:bCs/>
                <w:color w:val="000000"/>
                <w:sz w:val="20"/>
                <w:szCs w:val="20"/>
              </w:rPr>
              <w:t>44,34</w:t>
            </w:r>
          </w:p>
        </w:tc>
        <w:tc>
          <w:tcPr>
            <w:tcW w:w="1275" w:type="dxa"/>
            <w:tcBorders>
              <w:top w:val="nil"/>
              <w:left w:val="nil"/>
              <w:bottom w:val="single" w:sz="4" w:space="0" w:color="auto"/>
              <w:right w:val="nil"/>
            </w:tcBorders>
            <w:vAlign w:val="center"/>
          </w:tcPr>
          <w:p w14:paraId="16E52CD7" w14:textId="188D17F5" w:rsidR="005613FB" w:rsidRPr="005613FB" w:rsidRDefault="005613FB" w:rsidP="0093246A">
            <w:pPr>
              <w:spacing w:after="0" w:line="240" w:lineRule="auto"/>
              <w:jc w:val="center"/>
              <w:rPr>
                <w:rFonts w:ascii="Times New Roman" w:hAnsi="Times New Roman" w:cs="Times New Roman"/>
                <w:b/>
                <w:bCs/>
                <w:color w:val="000000"/>
                <w:sz w:val="20"/>
                <w:szCs w:val="20"/>
              </w:rPr>
            </w:pPr>
            <w:r w:rsidRPr="005613FB">
              <w:rPr>
                <w:rFonts w:ascii="Times New Roman" w:hAnsi="Times New Roman" w:cs="Times New Roman"/>
                <w:b/>
                <w:bCs/>
                <w:color w:val="000000"/>
                <w:sz w:val="20"/>
                <w:szCs w:val="20"/>
              </w:rPr>
              <w:t>R$</w:t>
            </w:r>
            <w:r>
              <w:rPr>
                <w:rFonts w:ascii="Times New Roman" w:hAnsi="Times New Roman" w:cs="Times New Roman"/>
                <w:b/>
                <w:bCs/>
                <w:color w:val="000000"/>
                <w:sz w:val="20"/>
                <w:szCs w:val="20"/>
              </w:rPr>
              <w:t xml:space="preserve"> </w:t>
            </w:r>
            <w:r w:rsidRPr="005613FB">
              <w:rPr>
                <w:rFonts w:ascii="Times New Roman" w:hAnsi="Times New Roman" w:cs="Times New Roman"/>
                <w:b/>
                <w:bCs/>
                <w:color w:val="000000"/>
                <w:sz w:val="20"/>
                <w:szCs w:val="20"/>
              </w:rPr>
              <w:t>5.039,80</w:t>
            </w:r>
          </w:p>
        </w:tc>
      </w:tr>
      <w:tr w:rsidR="0093246A" w:rsidRPr="00D9263A" w14:paraId="428B5BC5" w14:textId="70F5E927" w:rsidTr="008029DA">
        <w:trPr>
          <w:trHeight w:val="288"/>
        </w:trPr>
        <w:tc>
          <w:tcPr>
            <w:tcW w:w="2127" w:type="dxa"/>
            <w:tcBorders>
              <w:top w:val="single" w:sz="4" w:space="0" w:color="auto"/>
              <w:left w:val="nil"/>
              <w:bottom w:val="nil"/>
              <w:right w:val="nil"/>
            </w:tcBorders>
            <w:shd w:val="clear" w:color="auto" w:fill="auto"/>
            <w:noWrap/>
            <w:vAlign w:val="center"/>
            <w:hideMark/>
          </w:tcPr>
          <w:p w14:paraId="658FB55D" w14:textId="6310FBDE"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Alagoas</w:t>
            </w:r>
          </w:p>
        </w:tc>
        <w:tc>
          <w:tcPr>
            <w:tcW w:w="989" w:type="dxa"/>
            <w:tcBorders>
              <w:top w:val="single" w:sz="4" w:space="0" w:color="auto"/>
              <w:left w:val="nil"/>
              <w:bottom w:val="nil"/>
              <w:right w:val="nil"/>
            </w:tcBorders>
            <w:vAlign w:val="center"/>
          </w:tcPr>
          <w:p w14:paraId="4FEF6B01" w14:textId="37285D6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18</w:t>
            </w:r>
          </w:p>
        </w:tc>
        <w:tc>
          <w:tcPr>
            <w:tcW w:w="1132" w:type="dxa"/>
            <w:tcBorders>
              <w:top w:val="single" w:sz="4" w:space="0" w:color="auto"/>
              <w:left w:val="nil"/>
              <w:bottom w:val="nil"/>
              <w:right w:val="nil"/>
            </w:tcBorders>
            <w:vAlign w:val="center"/>
          </w:tcPr>
          <w:p w14:paraId="2EE8DCF5" w14:textId="2292EA4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67</w:t>
            </w:r>
          </w:p>
        </w:tc>
        <w:tc>
          <w:tcPr>
            <w:tcW w:w="985" w:type="dxa"/>
            <w:tcBorders>
              <w:top w:val="single" w:sz="4" w:space="0" w:color="auto"/>
              <w:left w:val="nil"/>
              <w:bottom w:val="nil"/>
              <w:right w:val="nil"/>
            </w:tcBorders>
            <w:vAlign w:val="center"/>
          </w:tcPr>
          <w:p w14:paraId="36716371" w14:textId="7932FE7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21,18%</w:t>
            </w:r>
          </w:p>
        </w:tc>
        <w:tc>
          <w:tcPr>
            <w:tcW w:w="1004" w:type="dxa"/>
            <w:tcBorders>
              <w:top w:val="single" w:sz="4" w:space="0" w:color="auto"/>
              <w:left w:val="nil"/>
              <w:bottom w:val="nil"/>
              <w:right w:val="nil"/>
            </w:tcBorders>
            <w:vAlign w:val="center"/>
          </w:tcPr>
          <w:p w14:paraId="3700C7FC" w14:textId="3459C093"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0,760</w:t>
            </w:r>
          </w:p>
        </w:tc>
        <w:tc>
          <w:tcPr>
            <w:tcW w:w="993" w:type="dxa"/>
            <w:tcBorders>
              <w:top w:val="single" w:sz="4" w:space="0" w:color="auto"/>
              <w:left w:val="nil"/>
              <w:bottom w:val="nil"/>
              <w:right w:val="nil"/>
            </w:tcBorders>
            <w:shd w:val="clear" w:color="auto" w:fill="auto"/>
            <w:noWrap/>
            <w:vAlign w:val="center"/>
          </w:tcPr>
          <w:p w14:paraId="552D9E08" w14:textId="27FC2371"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43,63</w:t>
            </w:r>
          </w:p>
        </w:tc>
        <w:tc>
          <w:tcPr>
            <w:tcW w:w="1275" w:type="dxa"/>
            <w:tcBorders>
              <w:top w:val="single" w:sz="4" w:space="0" w:color="auto"/>
              <w:left w:val="nil"/>
              <w:bottom w:val="nil"/>
              <w:right w:val="nil"/>
            </w:tcBorders>
            <w:vAlign w:val="center"/>
          </w:tcPr>
          <w:p w14:paraId="24FE6E16" w14:textId="6A7CDDC5"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6.751,67</w:t>
            </w:r>
          </w:p>
        </w:tc>
      </w:tr>
      <w:tr w:rsidR="0093246A" w:rsidRPr="00D9263A" w14:paraId="62869A56" w14:textId="4FD211A4" w:rsidTr="008029DA">
        <w:trPr>
          <w:trHeight w:val="288"/>
        </w:trPr>
        <w:tc>
          <w:tcPr>
            <w:tcW w:w="2127" w:type="dxa"/>
            <w:tcBorders>
              <w:top w:val="nil"/>
              <w:left w:val="nil"/>
              <w:bottom w:val="nil"/>
              <w:right w:val="nil"/>
            </w:tcBorders>
            <w:shd w:val="clear" w:color="auto" w:fill="auto"/>
            <w:noWrap/>
            <w:vAlign w:val="center"/>
            <w:hideMark/>
          </w:tcPr>
          <w:p w14:paraId="774C63C3" w14:textId="6F50C885"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Bahia</w:t>
            </w:r>
          </w:p>
        </w:tc>
        <w:tc>
          <w:tcPr>
            <w:tcW w:w="989" w:type="dxa"/>
            <w:tcBorders>
              <w:top w:val="nil"/>
              <w:left w:val="nil"/>
              <w:bottom w:val="nil"/>
              <w:right w:val="nil"/>
            </w:tcBorders>
            <w:vAlign w:val="center"/>
          </w:tcPr>
          <w:p w14:paraId="37E73715" w14:textId="723DA609"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249</w:t>
            </w:r>
          </w:p>
        </w:tc>
        <w:tc>
          <w:tcPr>
            <w:tcW w:w="1132" w:type="dxa"/>
            <w:tcBorders>
              <w:top w:val="nil"/>
              <w:left w:val="nil"/>
              <w:bottom w:val="nil"/>
              <w:right w:val="nil"/>
            </w:tcBorders>
            <w:vAlign w:val="center"/>
          </w:tcPr>
          <w:p w14:paraId="3C38F0F4" w14:textId="421790E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157</w:t>
            </w:r>
          </w:p>
        </w:tc>
        <w:tc>
          <w:tcPr>
            <w:tcW w:w="985" w:type="dxa"/>
            <w:tcBorders>
              <w:top w:val="nil"/>
              <w:left w:val="nil"/>
              <w:bottom w:val="nil"/>
              <w:right w:val="nil"/>
            </w:tcBorders>
            <w:vAlign w:val="center"/>
          </w:tcPr>
          <w:p w14:paraId="6F808FB0" w14:textId="1D1F65B5"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61,33%</w:t>
            </w:r>
          </w:p>
        </w:tc>
        <w:tc>
          <w:tcPr>
            <w:tcW w:w="1004" w:type="dxa"/>
            <w:tcBorders>
              <w:top w:val="nil"/>
              <w:left w:val="nil"/>
              <w:bottom w:val="nil"/>
              <w:right w:val="nil"/>
            </w:tcBorders>
            <w:vAlign w:val="center"/>
          </w:tcPr>
          <w:p w14:paraId="321544FB" w14:textId="588D9E87"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0,942</w:t>
            </w:r>
          </w:p>
        </w:tc>
        <w:tc>
          <w:tcPr>
            <w:tcW w:w="993" w:type="dxa"/>
            <w:tcBorders>
              <w:top w:val="nil"/>
              <w:left w:val="nil"/>
              <w:bottom w:val="nil"/>
              <w:right w:val="nil"/>
            </w:tcBorders>
            <w:shd w:val="clear" w:color="auto" w:fill="auto"/>
            <w:noWrap/>
            <w:vAlign w:val="center"/>
          </w:tcPr>
          <w:p w14:paraId="489C2FD1" w14:textId="0546249F"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44,19</w:t>
            </w:r>
          </w:p>
        </w:tc>
        <w:tc>
          <w:tcPr>
            <w:tcW w:w="1275" w:type="dxa"/>
            <w:tcBorders>
              <w:top w:val="nil"/>
              <w:left w:val="nil"/>
              <w:bottom w:val="nil"/>
              <w:right w:val="nil"/>
            </w:tcBorders>
            <w:vAlign w:val="center"/>
          </w:tcPr>
          <w:p w14:paraId="48FB9DA4" w14:textId="738DDB47"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4.724,59</w:t>
            </w:r>
          </w:p>
        </w:tc>
      </w:tr>
      <w:tr w:rsidR="0093246A" w:rsidRPr="00D9263A" w14:paraId="2F52CB06" w14:textId="77DB66FB" w:rsidTr="008029DA">
        <w:trPr>
          <w:trHeight w:val="288"/>
        </w:trPr>
        <w:tc>
          <w:tcPr>
            <w:tcW w:w="2127" w:type="dxa"/>
            <w:tcBorders>
              <w:top w:val="nil"/>
              <w:left w:val="nil"/>
              <w:bottom w:val="nil"/>
              <w:right w:val="nil"/>
            </w:tcBorders>
            <w:shd w:val="clear" w:color="auto" w:fill="auto"/>
            <w:noWrap/>
            <w:vAlign w:val="center"/>
            <w:hideMark/>
          </w:tcPr>
          <w:p w14:paraId="60DBD2BF" w14:textId="1AAB87A3"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Ceará</w:t>
            </w:r>
          </w:p>
        </w:tc>
        <w:tc>
          <w:tcPr>
            <w:tcW w:w="989" w:type="dxa"/>
            <w:tcBorders>
              <w:top w:val="nil"/>
              <w:left w:val="nil"/>
              <w:bottom w:val="nil"/>
              <w:right w:val="nil"/>
            </w:tcBorders>
            <w:vAlign w:val="center"/>
          </w:tcPr>
          <w:p w14:paraId="38D9FA8C" w14:textId="4C078FB6"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127</w:t>
            </w:r>
          </w:p>
        </w:tc>
        <w:tc>
          <w:tcPr>
            <w:tcW w:w="1132" w:type="dxa"/>
            <w:tcBorders>
              <w:top w:val="nil"/>
              <w:left w:val="nil"/>
              <w:bottom w:val="nil"/>
              <w:right w:val="nil"/>
            </w:tcBorders>
            <w:vAlign w:val="center"/>
          </w:tcPr>
          <w:p w14:paraId="1D6D98EA" w14:textId="59211DD2"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57</w:t>
            </w:r>
          </w:p>
        </w:tc>
        <w:tc>
          <w:tcPr>
            <w:tcW w:w="985" w:type="dxa"/>
            <w:tcBorders>
              <w:top w:val="nil"/>
              <w:left w:val="nil"/>
              <w:bottom w:val="nil"/>
              <w:right w:val="nil"/>
            </w:tcBorders>
            <w:vAlign w:val="center"/>
          </w:tcPr>
          <w:p w14:paraId="10900A80" w14:textId="6681DFEC"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69,02%</w:t>
            </w:r>
          </w:p>
        </w:tc>
        <w:tc>
          <w:tcPr>
            <w:tcW w:w="1004" w:type="dxa"/>
            <w:tcBorders>
              <w:top w:val="nil"/>
              <w:left w:val="nil"/>
              <w:bottom w:val="nil"/>
              <w:right w:val="nil"/>
            </w:tcBorders>
            <w:vAlign w:val="center"/>
          </w:tcPr>
          <w:p w14:paraId="00EF7A8A" w14:textId="1F784A63"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0,961</w:t>
            </w:r>
          </w:p>
        </w:tc>
        <w:tc>
          <w:tcPr>
            <w:tcW w:w="993" w:type="dxa"/>
            <w:tcBorders>
              <w:top w:val="nil"/>
              <w:left w:val="nil"/>
              <w:bottom w:val="nil"/>
              <w:right w:val="nil"/>
            </w:tcBorders>
            <w:shd w:val="clear" w:color="auto" w:fill="auto"/>
            <w:noWrap/>
            <w:vAlign w:val="center"/>
          </w:tcPr>
          <w:p w14:paraId="6C30CCBD" w14:textId="2AFFF0DC"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46,09</w:t>
            </w:r>
          </w:p>
        </w:tc>
        <w:tc>
          <w:tcPr>
            <w:tcW w:w="1275" w:type="dxa"/>
            <w:tcBorders>
              <w:top w:val="nil"/>
              <w:left w:val="nil"/>
              <w:bottom w:val="nil"/>
              <w:right w:val="nil"/>
            </w:tcBorders>
            <w:vAlign w:val="center"/>
          </w:tcPr>
          <w:p w14:paraId="370A932F" w14:textId="4A9EA556"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4.569,48</w:t>
            </w:r>
          </w:p>
        </w:tc>
      </w:tr>
      <w:tr w:rsidR="0093246A" w:rsidRPr="00D9263A" w14:paraId="1DDFC7D3" w14:textId="2BBD5069" w:rsidTr="008029DA">
        <w:trPr>
          <w:trHeight w:val="288"/>
        </w:trPr>
        <w:tc>
          <w:tcPr>
            <w:tcW w:w="2127" w:type="dxa"/>
            <w:tcBorders>
              <w:top w:val="nil"/>
              <w:left w:val="nil"/>
              <w:bottom w:val="nil"/>
              <w:right w:val="nil"/>
            </w:tcBorders>
            <w:shd w:val="clear" w:color="auto" w:fill="auto"/>
            <w:noWrap/>
            <w:vAlign w:val="center"/>
            <w:hideMark/>
          </w:tcPr>
          <w:p w14:paraId="164363E6" w14:textId="476B4F15"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Maranhão</w:t>
            </w:r>
          </w:p>
        </w:tc>
        <w:tc>
          <w:tcPr>
            <w:tcW w:w="989" w:type="dxa"/>
            <w:tcBorders>
              <w:top w:val="nil"/>
              <w:left w:val="nil"/>
              <w:bottom w:val="nil"/>
              <w:right w:val="nil"/>
            </w:tcBorders>
            <w:vAlign w:val="center"/>
          </w:tcPr>
          <w:p w14:paraId="79309FF0" w14:textId="64CA6FC9"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153</w:t>
            </w:r>
          </w:p>
        </w:tc>
        <w:tc>
          <w:tcPr>
            <w:tcW w:w="1132" w:type="dxa"/>
            <w:tcBorders>
              <w:top w:val="nil"/>
              <w:left w:val="nil"/>
              <w:bottom w:val="nil"/>
              <w:right w:val="nil"/>
            </w:tcBorders>
            <w:vAlign w:val="center"/>
          </w:tcPr>
          <w:p w14:paraId="5974B18C" w14:textId="452F5839"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61</w:t>
            </w:r>
          </w:p>
        </w:tc>
        <w:tc>
          <w:tcPr>
            <w:tcW w:w="985" w:type="dxa"/>
            <w:tcBorders>
              <w:top w:val="nil"/>
              <w:left w:val="nil"/>
              <w:bottom w:val="nil"/>
              <w:right w:val="nil"/>
            </w:tcBorders>
            <w:vAlign w:val="center"/>
          </w:tcPr>
          <w:p w14:paraId="6CCC2F55" w14:textId="44585341"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71,50%</w:t>
            </w:r>
          </w:p>
        </w:tc>
        <w:tc>
          <w:tcPr>
            <w:tcW w:w="1004" w:type="dxa"/>
            <w:tcBorders>
              <w:top w:val="nil"/>
              <w:left w:val="nil"/>
              <w:bottom w:val="nil"/>
              <w:right w:val="nil"/>
            </w:tcBorders>
            <w:vAlign w:val="center"/>
          </w:tcPr>
          <w:p w14:paraId="7040CA29" w14:textId="0B7EC892"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0,957</w:t>
            </w:r>
          </w:p>
        </w:tc>
        <w:tc>
          <w:tcPr>
            <w:tcW w:w="993" w:type="dxa"/>
            <w:tcBorders>
              <w:top w:val="nil"/>
              <w:left w:val="nil"/>
              <w:bottom w:val="nil"/>
              <w:right w:val="nil"/>
            </w:tcBorders>
            <w:shd w:val="clear" w:color="auto" w:fill="auto"/>
            <w:noWrap/>
            <w:vAlign w:val="center"/>
          </w:tcPr>
          <w:p w14:paraId="325C234E" w14:textId="0EDBA8CF"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40,63</w:t>
            </w:r>
          </w:p>
        </w:tc>
        <w:tc>
          <w:tcPr>
            <w:tcW w:w="1275" w:type="dxa"/>
            <w:tcBorders>
              <w:top w:val="nil"/>
              <w:left w:val="nil"/>
              <w:bottom w:val="nil"/>
              <w:right w:val="nil"/>
            </w:tcBorders>
            <w:vAlign w:val="center"/>
          </w:tcPr>
          <w:p w14:paraId="18C299EC" w14:textId="19AF6C95"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4.803,10</w:t>
            </w:r>
          </w:p>
        </w:tc>
      </w:tr>
      <w:tr w:rsidR="0093246A" w:rsidRPr="00D9263A" w14:paraId="2C5C71A0" w14:textId="7C97BB09" w:rsidTr="008029DA">
        <w:trPr>
          <w:trHeight w:val="288"/>
        </w:trPr>
        <w:tc>
          <w:tcPr>
            <w:tcW w:w="2127" w:type="dxa"/>
            <w:tcBorders>
              <w:top w:val="nil"/>
              <w:left w:val="nil"/>
              <w:bottom w:val="nil"/>
              <w:right w:val="nil"/>
            </w:tcBorders>
            <w:shd w:val="clear" w:color="auto" w:fill="auto"/>
            <w:noWrap/>
            <w:vAlign w:val="center"/>
            <w:hideMark/>
          </w:tcPr>
          <w:p w14:paraId="2D019DA7" w14:textId="0FDD7A6E"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Paraíba</w:t>
            </w:r>
          </w:p>
        </w:tc>
        <w:tc>
          <w:tcPr>
            <w:tcW w:w="989" w:type="dxa"/>
            <w:tcBorders>
              <w:top w:val="nil"/>
              <w:left w:val="nil"/>
              <w:bottom w:val="nil"/>
              <w:right w:val="nil"/>
            </w:tcBorders>
            <w:vAlign w:val="center"/>
          </w:tcPr>
          <w:p w14:paraId="7347C112" w14:textId="19E1485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93</w:t>
            </w:r>
          </w:p>
        </w:tc>
        <w:tc>
          <w:tcPr>
            <w:tcW w:w="1132" w:type="dxa"/>
            <w:tcBorders>
              <w:top w:val="nil"/>
              <w:left w:val="nil"/>
              <w:bottom w:val="nil"/>
              <w:right w:val="nil"/>
            </w:tcBorders>
            <w:vAlign w:val="center"/>
          </w:tcPr>
          <w:p w14:paraId="22C6D3DE" w14:textId="72A1913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122</w:t>
            </w:r>
          </w:p>
        </w:tc>
        <w:tc>
          <w:tcPr>
            <w:tcW w:w="985" w:type="dxa"/>
            <w:tcBorders>
              <w:top w:val="nil"/>
              <w:left w:val="nil"/>
              <w:bottom w:val="nil"/>
              <w:right w:val="nil"/>
            </w:tcBorders>
            <w:vAlign w:val="center"/>
          </w:tcPr>
          <w:p w14:paraId="40BAA21F" w14:textId="3B4BDF3D"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43,26%</w:t>
            </w:r>
          </w:p>
        </w:tc>
        <w:tc>
          <w:tcPr>
            <w:tcW w:w="1004" w:type="dxa"/>
            <w:tcBorders>
              <w:top w:val="nil"/>
              <w:left w:val="nil"/>
              <w:bottom w:val="nil"/>
              <w:right w:val="nil"/>
            </w:tcBorders>
            <w:vAlign w:val="center"/>
          </w:tcPr>
          <w:p w14:paraId="52EA5B1F" w14:textId="68C00A4A"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0,864</w:t>
            </w:r>
          </w:p>
        </w:tc>
        <w:tc>
          <w:tcPr>
            <w:tcW w:w="993" w:type="dxa"/>
            <w:tcBorders>
              <w:top w:val="nil"/>
              <w:left w:val="nil"/>
              <w:bottom w:val="nil"/>
              <w:right w:val="nil"/>
            </w:tcBorders>
            <w:shd w:val="clear" w:color="auto" w:fill="auto"/>
            <w:noWrap/>
            <w:vAlign w:val="center"/>
          </w:tcPr>
          <w:p w14:paraId="3209EBC2" w14:textId="25337A62"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45,39</w:t>
            </w:r>
          </w:p>
        </w:tc>
        <w:tc>
          <w:tcPr>
            <w:tcW w:w="1275" w:type="dxa"/>
            <w:tcBorders>
              <w:top w:val="nil"/>
              <w:left w:val="nil"/>
              <w:bottom w:val="nil"/>
              <w:right w:val="nil"/>
            </w:tcBorders>
            <w:vAlign w:val="center"/>
          </w:tcPr>
          <w:p w14:paraId="63EF5356" w14:textId="70084D4F"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5.570,68</w:t>
            </w:r>
          </w:p>
        </w:tc>
      </w:tr>
      <w:tr w:rsidR="0093246A" w:rsidRPr="00D9263A" w14:paraId="0EFF3A4D" w14:textId="6F5CE8E0" w:rsidTr="008029DA">
        <w:trPr>
          <w:trHeight w:val="288"/>
        </w:trPr>
        <w:tc>
          <w:tcPr>
            <w:tcW w:w="2127" w:type="dxa"/>
            <w:tcBorders>
              <w:top w:val="nil"/>
              <w:left w:val="nil"/>
              <w:bottom w:val="nil"/>
              <w:right w:val="nil"/>
            </w:tcBorders>
            <w:shd w:val="clear" w:color="auto" w:fill="auto"/>
            <w:noWrap/>
            <w:vAlign w:val="center"/>
            <w:hideMark/>
          </w:tcPr>
          <w:p w14:paraId="717FDA71" w14:textId="47DC3508"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Pernambuco</w:t>
            </w:r>
          </w:p>
        </w:tc>
        <w:tc>
          <w:tcPr>
            <w:tcW w:w="989" w:type="dxa"/>
            <w:tcBorders>
              <w:top w:val="nil"/>
              <w:left w:val="nil"/>
              <w:bottom w:val="nil"/>
              <w:right w:val="nil"/>
            </w:tcBorders>
            <w:vAlign w:val="center"/>
          </w:tcPr>
          <w:p w14:paraId="116FDF57" w14:textId="2A579EA3"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134</w:t>
            </w:r>
          </w:p>
        </w:tc>
        <w:tc>
          <w:tcPr>
            <w:tcW w:w="1132" w:type="dxa"/>
            <w:tcBorders>
              <w:top w:val="nil"/>
              <w:left w:val="nil"/>
              <w:bottom w:val="nil"/>
              <w:right w:val="nil"/>
            </w:tcBorders>
            <w:vAlign w:val="center"/>
          </w:tcPr>
          <w:p w14:paraId="0BD7BE96" w14:textId="7E6DA05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48</w:t>
            </w:r>
          </w:p>
        </w:tc>
        <w:tc>
          <w:tcPr>
            <w:tcW w:w="985" w:type="dxa"/>
            <w:tcBorders>
              <w:top w:val="nil"/>
              <w:left w:val="nil"/>
              <w:bottom w:val="nil"/>
              <w:right w:val="nil"/>
            </w:tcBorders>
            <w:vAlign w:val="center"/>
          </w:tcPr>
          <w:p w14:paraId="6EB739E2" w14:textId="4EAC19BE"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73,63%</w:t>
            </w:r>
          </w:p>
        </w:tc>
        <w:tc>
          <w:tcPr>
            <w:tcW w:w="1004" w:type="dxa"/>
            <w:tcBorders>
              <w:top w:val="nil"/>
              <w:left w:val="nil"/>
              <w:bottom w:val="nil"/>
              <w:right w:val="nil"/>
            </w:tcBorders>
            <w:vAlign w:val="center"/>
          </w:tcPr>
          <w:p w14:paraId="0634988D" w14:textId="3B647174"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0,959</w:t>
            </w:r>
          </w:p>
        </w:tc>
        <w:tc>
          <w:tcPr>
            <w:tcW w:w="993" w:type="dxa"/>
            <w:tcBorders>
              <w:top w:val="nil"/>
              <w:left w:val="nil"/>
              <w:bottom w:val="nil"/>
              <w:right w:val="nil"/>
            </w:tcBorders>
            <w:shd w:val="clear" w:color="auto" w:fill="auto"/>
            <w:noWrap/>
            <w:vAlign w:val="center"/>
          </w:tcPr>
          <w:p w14:paraId="50EC20A7" w14:textId="445C2D78"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44,86</w:t>
            </w:r>
          </w:p>
        </w:tc>
        <w:tc>
          <w:tcPr>
            <w:tcW w:w="1275" w:type="dxa"/>
            <w:tcBorders>
              <w:top w:val="nil"/>
              <w:left w:val="nil"/>
              <w:bottom w:val="nil"/>
              <w:right w:val="nil"/>
            </w:tcBorders>
            <w:vAlign w:val="center"/>
          </w:tcPr>
          <w:p w14:paraId="5A5EC306" w14:textId="29F289B9"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R$ 4.161,29</w:t>
            </w:r>
          </w:p>
        </w:tc>
      </w:tr>
      <w:tr w:rsidR="0093246A" w:rsidRPr="00D9263A" w14:paraId="13F26615" w14:textId="006C9B85" w:rsidTr="008029DA">
        <w:trPr>
          <w:trHeight w:val="288"/>
        </w:trPr>
        <w:tc>
          <w:tcPr>
            <w:tcW w:w="2127" w:type="dxa"/>
            <w:tcBorders>
              <w:top w:val="nil"/>
              <w:left w:val="nil"/>
              <w:bottom w:val="nil"/>
              <w:right w:val="nil"/>
            </w:tcBorders>
            <w:shd w:val="clear" w:color="auto" w:fill="auto"/>
            <w:noWrap/>
            <w:vAlign w:val="center"/>
            <w:hideMark/>
          </w:tcPr>
          <w:p w14:paraId="706C5943" w14:textId="0F62E671"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Piauí</w:t>
            </w:r>
          </w:p>
        </w:tc>
        <w:tc>
          <w:tcPr>
            <w:tcW w:w="989" w:type="dxa"/>
            <w:tcBorders>
              <w:top w:val="nil"/>
              <w:left w:val="nil"/>
              <w:bottom w:val="nil"/>
              <w:right w:val="nil"/>
            </w:tcBorders>
            <w:vAlign w:val="center"/>
          </w:tcPr>
          <w:p w14:paraId="1A529F56" w14:textId="17614A68"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95</w:t>
            </w:r>
          </w:p>
        </w:tc>
        <w:tc>
          <w:tcPr>
            <w:tcW w:w="1132" w:type="dxa"/>
            <w:tcBorders>
              <w:top w:val="nil"/>
              <w:left w:val="nil"/>
              <w:bottom w:val="nil"/>
              <w:right w:val="nil"/>
            </w:tcBorders>
            <w:vAlign w:val="center"/>
          </w:tcPr>
          <w:p w14:paraId="6EB76435" w14:textId="0A703467"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126</w:t>
            </w:r>
          </w:p>
        </w:tc>
        <w:tc>
          <w:tcPr>
            <w:tcW w:w="985" w:type="dxa"/>
            <w:tcBorders>
              <w:top w:val="nil"/>
              <w:left w:val="nil"/>
              <w:bottom w:val="nil"/>
              <w:right w:val="nil"/>
            </w:tcBorders>
            <w:vAlign w:val="center"/>
          </w:tcPr>
          <w:p w14:paraId="0C8C276A" w14:textId="0D9704E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42,99%</w:t>
            </w:r>
          </w:p>
        </w:tc>
        <w:tc>
          <w:tcPr>
            <w:tcW w:w="1004" w:type="dxa"/>
            <w:tcBorders>
              <w:top w:val="nil"/>
              <w:left w:val="nil"/>
              <w:bottom w:val="nil"/>
              <w:right w:val="nil"/>
            </w:tcBorders>
            <w:vAlign w:val="center"/>
          </w:tcPr>
          <w:p w14:paraId="77D0BF2F" w14:textId="75A2B45A"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0,901</w:t>
            </w:r>
          </w:p>
        </w:tc>
        <w:tc>
          <w:tcPr>
            <w:tcW w:w="993" w:type="dxa"/>
            <w:tcBorders>
              <w:top w:val="nil"/>
              <w:left w:val="nil"/>
              <w:bottom w:val="nil"/>
              <w:right w:val="nil"/>
            </w:tcBorders>
            <w:shd w:val="clear" w:color="auto" w:fill="auto"/>
            <w:noWrap/>
            <w:vAlign w:val="center"/>
          </w:tcPr>
          <w:p w14:paraId="07A94F83" w14:textId="53C6BE2C"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45,24</w:t>
            </w:r>
          </w:p>
        </w:tc>
        <w:tc>
          <w:tcPr>
            <w:tcW w:w="1275" w:type="dxa"/>
            <w:tcBorders>
              <w:top w:val="nil"/>
              <w:left w:val="nil"/>
              <w:bottom w:val="nil"/>
              <w:right w:val="nil"/>
            </w:tcBorders>
            <w:vAlign w:val="center"/>
          </w:tcPr>
          <w:p w14:paraId="6196E4BA" w14:textId="31F48FC5"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5.280,36</w:t>
            </w:r>
          </w:p>
        </w:tc>
      </w:tr>
      <w:tr w:rsidR="0093246A" w:rsidRPr="00D9263A" w14:paraId="7F58597B" w14:textId="74D1A23D" w:rsidTr="008029DA">
        <w:trPr>
          <w:trHeight w:val="288"/>
        </w:trPr>
        <w:tc>
          <w:tcPr>
            <w:tcW w:w="2127" w:type="dxa"/>
            <w:tcBorders>
              <w:top w:val="nil"/>
              <w:left w:val="nil"/>
              <w:bottom w:val="nil"/>
              <w:right w:val="nil"/>
            </w:tcBorders>
            <w:shd w:val="clear" w:color="auto" w:fill="auto"/>
            <w:noWrap/>
            <w:vAlign w:val="center"/>
            <w:hideMark/>
          </w:tcPr>
          <w:p w14:paraId="5542EEAC" w14:textId="0D48BE03"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Rio Grande do Norte</w:t>
            </w:r>
          </w:p>
        </w:tc>
        <w:tc>
          <w:tcPr>
            <w:tcW w:w="989" w:type="dxa"/>
            <w:tcBorders>
              <w:top w:val="nil"/>
              <w:left w:val="nil"/>
              <w:bottom w:val="nil"/>
              <w:right w:val="nil"/>
            </w:tcBorders>
            <w:vAlign w:val="center"/>
          </w:tcPr>
          <w:p w14:paraId="18A03183" w14:textId="7DEDDCA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70</w:t>
            </w:r>
          </w:p>
        </w:tc>
        <w:tc>
          <w:tcPr>
            <w:tcW w:w="1132" w:type="dxa"/>
            <w:tcBorders>
              <w:top w:val="nil"/>
              <w:left w:val="nil"/>
              <w:bottom w:val="nil"/>
              <w:right w:val="nil"/>
            </w:tcBorders>
            <w:vAlign w:val="center"/>
          </w:tcPr>
          <w:p w14:paraId="54981B65" w14:textId="2935D0C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90</w:t>
            </w:r>
          </w:p>
        </w:tc>
        <w:tc>
          <w:tcPr>
            <w:tcW w:w="985" w:type="dxa"/>
            <w:tcBorders>
              <w:top w:val="nil"/>
              <w:left w:val="nil"/>
              <w:bottom w:val="nil"/>
              <w:right w:val="nil"/>
            </w:tcBorders>
            <w:vAlign w:val="center"/>
          </w:tcPr>
          <w:p w14:paraId="6A5FE35B" w14:textId="10961B83"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43,75%</w:t>
            </w:r>
          </w:p>
        </w:tc>
        <w:tc>
          <w:tcPr>
            <w:tcW w:w="1004" w:type="dxa"/>
            <w:tcBorders>
              <w:top w:val="nil"/>
              <w:left w:val="nil"/>
              <w:bottom w:val="nil"/>
              <w:right w:val="nil"/>
            </w:tcBorders>
            <w:vAlign w:val="center"/>
          </w:tcPr>
          <w:p w14:paraId="7BA208F3" w14:textId="69AA282F"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0,860</w:t>
            </w:r>
          </w:p>
        </w:tc>
        <w:tc>
          <w:tcPr>
            <w:tcW w:w="993" w:type="dxa"/>
            <w:tcBorders>
              <w:top w:val="nil"/>
              <w:left w:val="nil"/>
              <w:bottom w:val="nil"/>
              <w:right w:val="nil"/>
            </w:tcBorders>
            <w:shd w:val="clear" w:color="auto" w:fill="auto"/>
            <w:noWrap/>
            <w:vAlign w:val="center"/>
          </w:tcPr>
          <w:p w14:paraId="03CB1B6C" w14:textId="15DDFC24"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45,04</w:t>
            </w:r>
          </w:p>
        </w:tc>
        <w:tc>
          <w:tcPr>
            <w:tcW w:w="1275" w:type="dxa"/>
            <w:tcBorders>
              <w:top w:val="nil"/>
              <w:left w:val="nil"/>
              <w:bottom w:val="nil"/>
              <w:right w:val="nil"/>
            </w:tcBorders>
            <w:vAlign w:val="center"/>
          </w:tcPr>
          <w:p w14:paraId="2949EE54" w14:textId="378BFB7C"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R$ 5.736,74</w:t>
            </w:r>
          </w:p>
        </w:tc>
      </w:tr>
      <w:tr w:rsidR="0093246A" w:rsidRPr="00D9263A" w14:paraId="383C8CC4" w14:textId="1448E336" w:rsidTr="008029DA">
        <w:trPr>
          <w:trHeight w:val="288"/>
        </w:trPr>
        <w:tc>
          <w:tcPr>
            <w:tcW w:w="2127" w:type="dxa"/>
            <w:tcBorders>
              <w:top w:val="nil"/>
              <w:left w:val="nil"/>
              <w:right w:val="nil"/>
            </w:tcBorders>
            <w:shd w:val="clear" w:color="auto" w:fill="auto"/>
            <w:noWrap/>
            <w:vAlign w:val="center"/>
            <w:hideMark/>
          </w:tcPr>
          <w:p w14:paraId="7B6DB100" w14:textId="474C8436"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Sergipe</w:t>
            </w:r>
          </w:p>
        </w:tc>
        <w:tc>
          <w:tcPr>
            <w:tcW w:w="989" w:type="dxa"/>
            <w:tcBorders>
              <w:top w:val="nil"/>
              <w:left w:val="nil"/>
              <w:right w:val="nil"/>
            </w:tcBorders>
            <w:vAlign w:val="center"/>
          </w:tcPr>
          <w:p w14:paraId="7AF215CF" w14:textId="3FD48ABC"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30</w:t>
            </w:r>
          </w:p>
        </w:tc>
        <w:tc>
          <w:tcPr>
            <w:tcW w:w="1132" w:type="dxa"/>
            <w:tcBorders>
              <w:top w:val="nil"/>
              <w:left w:val="nil"/>
              <w:right w:val="nil"/>
            </w:tcBorders>
            <w:vAlign w:val="center"/>
          </w:tcPr>
          <w:p w14:paraId="343B97F1" w14:textId="57DB2B35"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44</w:t>
            </w:r>
          </w:p>
        </w:tc>
        <w:tc>
          <w:tcPr>
            <w:tcW w:w="985" w:type="dxa"/>
            <w:tcBorders>
              <w:top w:val="nil"/>
              <w:left w:val="nil"/>
              <w:right w:val="nil"/>
            </w:tcBorders>
            <w:vAlign w:val="center"/>
          </w:tcPr>
          <w:p w14:paraId="6D40C832" w14:textId="0E157316"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40,54%</w:t>
            </w:r>
          </w:p>
        </w:tc>
        <w:tc>
          <w:tcPr>
            <w:tcW w:w="1004" w:type="dxa"/>
            <w:tcBorders>
              <w:top w:val="nil"/>
              <w:left w:val="nil"/>
              <w:right w:val="nil"/>
            </w:tcBorders>
            <w:vAlign w:val="center"/>
          </w:tcPr>
          <w:p w14:paraId="694D2996" w14:textId="67ECDCDF"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0,879</w:t>
            </w:r>
          </w:p>
        </w:tc>
        <w:tc>
          <w:tcPr>
            <w:tcW w:w="993" w:type="dxa"/>
            <w:tcBorders>
              <w:top w:val="nil"/>
              <w:left w:val="nil"/>
              <w:right w:val="nil"/>
            </w:tcBorders>
            <w:shd w:val="clear" w:color="auto" w:fill="auto"/>
            <w:noWrap/>
            <w:vAlign w:val="center"/>
          </w:tcPr>
          <w:p w14:paraId="3A2C4DCD" w14:textId="3256B05D"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43,80</w:t>
            </w:r>
          </w:p>
        </w:tc>
        <w:tc>
          <w:tcPr>
            <w:tcW w:w="1275" w:type="dxa"/>
            <w:tcBorders>
              <w:top w:val="nil"/>
              <w:left w:val="nil"/>
              <w:right w:val="nil"/>
            </w:tcBorders>
            <w:vAlign w:val="center"/>
          </w:tcPr>
          <w:p w14:paraId="4B414829" w14:textId="599245BB"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5.049,85</w:t>
            </w:r>
          </w:p>
        </w:tc>
      </w:tr>
      <w:tr w:rsidR="0093246A" w:rsidRPr="00D9263A" w14:paraId="76B84940" w14:textId="227A39EB" w:rsidTr="008029DA">
        <w:trPr>
          <w:trHeight w:val="288"/>
        </w:trPr>
        <w:tc>
          <w:tcPr>
            <w:tcW w:w="2127" w:type="dxa"/>
            <w:tcBorders>
              <w:top w:val="nil"/>
              <w:left w:val="nil"/>
              <w:bottom w:val="single" w:sz="4" w:space="0" w:color="auto"/>
              <w:right w:val="nil"/>
            </w:tcBorders>
            <w:shd w:val="clear" w:color="auto" w:fill="auto"/>
            <w:noWrap/>
            <w:vAlign w:val="center"/>
            <w:hideMark/>
          </w:tcPr>
          <w:p w14:paraId="05F11678" w14:textId="7F7268EB" w:rsidR="005613FB" w:rsidRPr="00D9263A" w:rsidRDefault="005613FB" w:rsidP="0093246A">
            <w:pPr>
              <w:spacing w:after="0" w:line="240" w:lineRule="auto"/>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NORTE</w:t>
            </w:r>
          </w:p>
        </w:tc>
        <w:tc>
          <w:tcPr>
            <w:tcW w:w="989" w:type="dxa"/>
            <w:tcBorders>
              <w:top w:val="nil"/>
              <w:left w:val="nil"/>
              <w:bottom w:val="single" w:sz="4" w:space="0" w:color="auto"/>
              <w:right w:val="nil"/>
            </w:tcBorders>
            <w:vAlign w:val="center"/>
          </w:tcPr>
          <w:p w14:paraId="74B69BB7" w14:textId="04E2349A"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210</w:t>
            </w:r>
          </w:p>
        </w:tc>
        <w:tc>
          <w:tcPr>
            <w:tcW w:w="1132" w:type="dxa"/>
            <w:tcBorders>
              <w:top w:val="nil"/>
              <w:left w:val="nil"/>
              <w:bottom w:val="single" w:sz="4" w:space="0" w:color="auto"/>
              <w:right w:val="nil"/>
            </w:tcBorders>
            <w:vAlign w:val="center"/>
          </w:tcPr>
          <w:p w14:paraId="1C80B7F0" w14:textId="7508A666"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217</w:t>
            </w:r>
          </w:p>
        </w:tc>
        <w:tc>
          <w:tcPr>
            <w:tcW w:w="985" w:type="dxa"/>
            <w:tcBorders>
              <w:top w:val="nil"/>
              <w:left w:val="nil"/>
              <w:bottom w:val="single" w:sz="4" w:space="0" w:color="auto"/>
              <w:right w:val="nil"/>
            </w:tcBorders>
            <w:vAlign w:val="center"/>
          </w:tcPr>
          <w:p w14:paraId="111D40CA" w14:textId="67E48892"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49,18%</w:t>
            </w:r>
          </w:p>
        </w:tc>
        <w:tc>
          <w:tcPr>
            <w:tcW w:w="1004" w:type="dxa"/>
            <w:tcBorders>
              <w:top w:val="nil"/>
              <w:left w:val="nil"/>
              <w:bottom w:val="single" w:sz="4" w:space="0" w:color="auto"/>
              <w:right w:val="nil"/>
            </w:tcBorders>
            <w:vAlign w:val="center"/>
          </w:tcPr>
          <w:p w14:paraId="2A4B4D9E" w14:textId="45582A12"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0,876</w:t>
            </w:r>
          </w:p>
        </w:tc>
        <w:tc>
          <w:tcPr>
            <w:tcW w:w="993" w:type="dxa"/>
            <w:tcBorders>
              <w:top w:val="nil"/>
              <w:left w:val="nil"/>
              <w:bottom w:val="single" w:sz="4" w:space="0" w:color="auto"/>
              <w:right w:val="nil"/>
            </w:tcBorders>
            <w:shd w:val="clear" w:color="auto" w:fill="auto"/>
            <w:noWrap/>
            <w:vAlign w:val="center"/>
          </w:tcPr>
          <w:p w14:paraId="0CF7B637" w14:textId="4137EBE5" w:rsidR="005613FB" w:rsidRPr="005613FB"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5613FB">
              <w:rPr>
                <w:rFonts w:ascii="Times New Roman" w:hAnsi="Times New Roman" w:cs="Times New Roman"/>
                <w:b/>
                <w:bCs/>
                <w:color w:val="000000"/>
                <w:sz w:val="20"/>
                <w:szCs w:val="20"/>
              </w:rPr>
              <w:t>41,95</w:t>
            </w:r>
          </w:p>
        </w:tc>
        <w:tc>
          <w:tcPr>
            <w:tcW w:w="1275" w:type="dxa"/>
            <w:tcBorders>
              <w:top w:val="nil"/>
              <w:left w:val="nil"/>
              <w:bottom w:val="single" w:sz="4" w:space="0" w:color="auto"/>
              <w:right w:val="nil"/>
            </w:tcBorders>
            <w:vAlign w:val="center"/>
          </w:tcPr>
          <w:p w14:paraId="460CAADC" w14:textId="5895AEB1" w:rsidR="005613FB" w:rsidRPr="005613FB" w:rsidRDefault="005613FB" w:rsidP="0093246A">
            <w:pPr>
              <w:spacing w:after="0" w:line="240" w:lineRule="auto"/>
              <w:jc w:val="center"/>
              <w:rPr>
                <w:rFonts w:ascii="Times New Roman" w:hAnsi="Times New Roman" w:cs="Times New Roman"/>
                <w:b/>
                <w:bCs/>
                <w:color w:val="000000"/>
                <w:sz w:val="20"/>
                <w:szCs w:val="20"/>
              </w:rPr>
            </w:pPr>
            <w:r w:rsidRPr="005613FB">
              <w:rPr>
                <w:rFonts w:ascii="Times New Roman" w:hAnsi="Times New Roman" w:cs="Times New Roman"/>
                <w:b/>
                <w:bCs/>
                <w:color w:val="000000"/>
                <w:sz w:val="20"/>
                <w:szCs w:val="20"/>
              </w:rPr>
              <w:t>R$ 5.772,77</w:t>
            </w:r>
          </w:p>
        </w:tc>
      </w:tr>
      <w:tr w:rsidR="0093246A" w:rsidRPr="00D9263A" w14:paraId="4D3B5D9A" w14:textId="6F03A67E" w:rsidTr="008029DA">
        <w:trPr>
          <w:trHeight w:val="288"/>
        </w:trPr>
        <w:tc>
          <w:tcPr>
            <w:tcW w:w="2127" w:type="dxa"/>
            <w:tcBorders>
              <w:top w:val="single" w:sz="4" w:space="0" w:color="auto"/>
              <w:left w:val="nil"/>
              <w:bottom w:val="nil"/>
              <w:right w:val="nil"/>
            </w:tcBorders>
            <w:shd w:val="clear" w:color="auto" w:fill="auto"/>
            <w:noWrap/>
            <w:vAlign w:val="center"/>
            <w:hideMark/>
          </w:tcPr>
          <w:p w14:paraId="16DF21DA" w14:textId="41AC1053"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Acre</w:t>
            </w:r>
          </w:p>
        </w:tc>
        <w:tc>
          <w:tcPr>
            <w:tcW w:w="989" w:type="dxa"/>
            <w:tcBorders>
              <w:top w:val="single" w:sz="4" w:space="0" w:color="auto"/>
              <w:left w:val="nil"/>
              <w:bottom w:val="nil"/>
              <w:right w:val="nil"/>
            </w:tcBorders>
            <w:vAlign w:val="center"/>
          </w:tcPr>
          <w:p w14:paraId="1E333153" w14:textId="6252D6FE"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18</w:t>
            </w:r>
          </w:p>
        </w:tc>
        <w:tc>
          <w:tcPr>
            <w:tcW w:w="1132" w:type="dxa"/>
            <w:tcBorders>
              <w:top w:val="single" w:sz="4" w:space="0" w:color="auto"/>
              <w:left w:val="nil"/>
              <w:bottom w:val="nil"/>
              <w:right w:val="nil"/>
            </w:tcBorders>
            <w:vAlign w:val="center"/>
          </w:tcPr>
          <w:p w14:paraId="2CF80011" w14:textId="1F0EC20A"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w:t>
            </w:r>
          </w:p>
        </w:tc>
        <w:tc>
          <w:tcPr>
            <w:tcW w:w="985" w:type="dxa"/>
            <w:tcBorders>
              <w:top w:val="single" w:sz="4" w:space="0" w:color="auto"/>
              <w:left w:val="nil"/>
              <w:bottom w:val="nil"/>
              <w:right w:val="nil"/>
            </w:tcBorders>
            <w:vAlign w:val="center"/>
          </w:tcPr>
          <w:p w14:paraId="41274785" w14:textId="1436C577"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94,74%</w:t>
            </w:r>
          </w:p>
        </w:tc>
        <w:tc>
          <w:tcPr>
            <w:tcW w:w="1004" w:type="dxa"/>
            <w:tcBorders>
              <w:top w:val="single" w:sz="4" w:space="0" w:color="auto"/>
              <w:left w:val="nil"/>
              <w:bottom w:val="nil"/>
              <w:right w:val="nil"/>
            </w:tcBorders>
            <w:vAlign w:val="center"/>
          </w:tcPr>
          <w:p w14:paraId="1AEF8DC3" w14:textId="144212D1"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0,981</w:t>
            </w:r>
          </w:p>
        </w:tc>
        <w:tc>
          <w:tcPr>
            <w:tcW w:w="993" w:type="dxa"/>
            <w:tcBorders>
              <w:top w:val="single" w:sz="4" w:space="0" w:color="auto"/>
              <w:left w:val="nil"/>
              <w:bottom w:val="nil"/>
              <w:right w:val="nil"/>
            </w:tcBorders>
            <w:shd w:val="clear" w:color="auto" w:fill="auto"/>
            <w:noWrap/>
            <w:vAlign w:val="center"/>
          </w:tcPr>
          <w:p w14:paraId="09225694" w14:textId="4C4FB9B8"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41,88</w:t>
            </w:r>
          </w:p>
        </w:tc>
        <w:tc>
          <w:tcPr>
            <w:tcW w:w="1275" w:type="dxa"/>
            <w:tcBorders>
              <w:top w:val="single" w:sz="4" w:space="0" w:color="auto"/>
              <w:left w:val="nil"/>
              <w:bottom w:val="nil"/>
              <w:right w:val="nil"/>
            </w:tcBorders>
            <w:vAlign w:val="center"/>
          </w:tcPr>
          <w:p w14:paraId="7A17112D" w14:textId="336A7FEE"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4.076,68</w:t>
            </w:r>
          </w:p>
        </w:tc>
      </w:tr>
      <w:tr w:rsidR="0093246A" w:rsidRPr="00D9263A" w14:paraId="38DAB291" w14:textId="61FAF0A5" w:rsidTr="008029DA">
        <w:trPr>
          <w:trHeight w:val="288"/>
        </w:trPr>
        <w:tc>
          <w:tcPr>
            <w:tcW w:w="2127" w:type="dxa"/>
            <w:tcBorders>
              <w:top w:val="nil"/>
              <w:left w:val="nil"/>
              <w:bottom w:val="nil"/>
              <w:right w:val="nil"/>
            </w:tcBorders>
            <w:shd w:val="clear" w:color="auto" w:fill="auto"/>
            <w:noWrap/>
            <w:vAlign w:val="center"/>
            <w:hideMark/>
          </w:tcPr>
          <w:p w14:paraId="7982B189" w14:textId="3BB69BBB"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Amazona</w:t>
            </w:r>
          </w:p>
        </w:tc>
        <w:tc>
          <w:tcPr>
            <w:tcW w:w="989" w:type="dxa"/>
            <w:tcBorders>
              <w:top w:val="nil"/>
              <w:left w:val="nil"/>
              <w:bottom w:val="nil"/>
              <w:right w:val="nil"/>
            </w:tcBorders>
            <w:vAlign w:val="center"/>
          </w:tcPr>
          <w:p w14:paraId="6A9DD726" w14:textId="45D89253"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w:t>
            </w:r>
          </w:p>
        </w:tc>
        <w:tc>
          <w:tcPr>
            <w:tcW w:w="1132" w:type="dxa"/>
            <w:tcBorders>
              <w:top w:val="nil"/>
              <w:left w:val="nil"/>
              <w:bottom w:val="nil"/>
              <w:right w:val="nil"/>
            </w:tcBorders>
            <w:vAlign w:val="center"/>
          </w:tcPr>
          <w:p w14:paraId="4453CCDB" w14:textId="20724F0C"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6</w:t>
            </w:r>
          </w:p>
        </w:tc>
        <w:tc>
          <w:tcPr>
            <w:tcW w:w="985" w:type="dxa"/>
            <w:tcBorders>
              <w:top w:val="nil"/>
              <w:left w:val="nil"/>
              <w:bottom w:val="nil"/>
              <w:right w:val="nil"/>
            </w:tcBorders>
            <w:vAlign w:val="center"/>
          </w:tcPr>
          <w:p w14:paraId="5DE6D7A8" w14:textId="5C4F517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40,00%</w:t>
            </w:r>
          </w:p>
        </w:tc>
        <w:tc>
          <w:tcPr>
            <w:tcW w:w="1004" w:type="dxa"/>
            <w:tcBorders>
              <w:top w:val="nil"/>
              <w:left w:val="nil"/>
              <w:bottom w:val="nil"/>
              <w:right w:val="nil"/>
            </w:tcBorders>
            <w:vAlign w:val="center"/>
          </w:tcPr>
          <w:p w14:paraId="7BEC29A9" w14:textId="69F5B884"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0,842</w:t>
            </w:r>
          </w:p>
        </w:tc>
        <w:tc>
          <w:tcPr>
            <w:tcW w:w="993" w:type="dxa"/>
            <w:tcBorders>
              <w:top w:val="nil"/>
              <w:left w:val="nil"/>
              <w:bottom w:val="nil"/>
              <w:right w:val="nil"/>
            </w:tcBorders>
            <w:shd w:val="clear" w:color="auto" w:fill="auto"/>
            <w:noWrap/>
            <w:vAlign w:val="center"/>
          </w:tcPr>
          <w:p w14:paraId="25E1D7BF" w14:textId="4564CFBF"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42,00</w:t>
            </w:r>
          </w:p>
        </w:tc>
        <w:tc>
          <w:tcPr>
            <w:tcW w:w="1275" w:type="dxa"/>
            <w:tcBorders>
              <w:top w:val="nil"/>
              <w:left w:val="nil"/>
              <w:bottom w:val="nil"/>
              <w:right w:val="nil"/>
            </w:tcBorders>
            <w:vAlign w:val="center"/>
          </w:tcPr>
          <w:p w14:paraId="72EEC92C" w14:textId="6CEDC673"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7.712,62</w:t>
            </w:r>
          </w:p>
        </w:tc>
      </w:tr>
      <w:tr w:rsidR="0093246A" w:rsidRPr="00D9263A" w14:paraId="0392E9D6" w14:textId="4DA89804" w:rsidTr="008029DA">
        <w:trPr>
          <w:trHeight w:val="288"/>
        </w:trPr>
        <w:tc>
          <w:tcPr>
            <w:tcW w:w="2127" w:type="dxa"/>
            <w:tcBorders>
              <w:top w:val="nil"/>
              <w:left w:val="nil"/>
              <w:bottom w:val="nil"/>
              <w:right w:val="nil"/>
            </w:tcBorders>
            <w:shd w:val="clear" w:color="auto" w:fill="auto"/>
            <w:noWrap/>
            <w:vAlign w:val="center"/>
            <w:hideMark/>
          </w:tcPr>
          <w:p w14:paraId="39012677" w14:textId="61B5A185"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Amapá</w:t>
            </w:r>
          </w:p>
        </w:tc>
        <w:tc>
          <w:tcPr>
            <w:tcW w:w="989" w:type="dxa"/>
            <w:tcBorders>
              <w:top w:val="nil"/>
              <w:left w:val="nil"/>
              <w:bottom w:val="nil"/>
              <w:right w:val="nil"/>
            </w:tcBorders>
            <w:vAlign w:val="center"/>
          </w:tcPr>
          <w:p w14:paraId="6438CCBE" w14:textId="12B4A22E"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32</w:t>
            </w:r>
          </w:p>
        </w:tc>
        <w:tc>
          <w:tcPr>
            <w:tcW w:w="1132" w:type="dxa"/>
            <w:tcBorders>
              <w:top w:val="nil"/>
              <w:left w:val="nil"/>
              <w:bottom w:val="nil"/>
              <w:right w:val="nil"/>
            </w:tcBorders>
            <w:vAlign w:val="center"/>
          </w:tcPr>
          <w:p w14:paraId="721371C8" w14:textId="36BE8CB6"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29</w:t>
            </w:r>
          </w:p>
        </w:tc>
        <w:tc>
          <w:tcPr>
            <w:tcW w:w="985" w:type="dxa"/>
            <w:tcBorders>
              <w:top w:val="nil"/>
              <w:left w:val="nil"/>
              <w:bottom w:val="nil"/>
              <w:right w:val="nil"/>
            </w:tcBorders>
            <w:vAlign w:val="center"/>
          </w:tcPr>
          <w:p w14:paraId="6F0100E9" w14:textId="4728FF54"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52,46%</w:t>
            </w:r>
          </w:p>
        </w:tc>
        <w:tc>
          <w:tcPr>
            <w:tcW w:w="1004" w:type="dxa"/>
            <w:tcBorders>
              <w:top w:val="nil"/>
              <w:left w:val="nil"/>
              <w:bottom w:val="nil"/>
              <w:right w:val="nil"/>
            </w:tcBorders>
            <w:vAlign w:val="center"/>
          </w:tcPr>
          <w:p w14:paraId="148CE335" w14:textId="0AD811DC"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0,932</w:t>
            </w:r>
          </w:p>
        </w:tc>
        <w:tc>
          <w:tcPr>
            <w:tcW w:w="993" w:type="dxa"/>
            <w:tcBorders>
              <w:top w:val="nil"/>
              <w:left w:val="nil"/>
              <w:bottom w:val="nil"/>
              <w:right w:val="nil"/>
            </w:tcBorders>
            <w:shd w:val="clear" w:color="auto" w:fill="auto"/>
            <w:noWrap/>
            <w:vAlign w:val="center"/>
          </w:tcPr>
          <w:p w14:paraId="7C2D6923" w14:textId="7C57F041"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40,33</w:t>
            </w:r>
          </w:p>
        </w:tc>
        <w:tc>
          <w:tcPr>
            <w:tcW w:w="1275" w:type="dxa"/>
            <w:tcBorders>
              <w:top w:val="nil"/>
              <w:left w:val="nil"/>
              <w:bottom w:val="nil"/>
              <w:right w:val="nil"/>
            </w:tcBorders>
            <w:vAlign w:val="center"/>
          </w:tcPr>
          <w:p w14:paraId="57DCB52E" w14:textId="3968F686"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4.988,13</w:t>
            </w:r>
          </w:p>
        </w:tc>
      </w:tr>
      <w:tr w:rsidR="0093246A" w:rsidRPr="00D9263A" w14:paraId="2441267F" w14:textId="491F9CD9" w:rsidTr="008029DA">
        <w:trPr>
          <w:trHeight w:val="288"/>
        </w:trPr>
        <w:tc>
          <w:tcPr>
            <w:tcW w:w="2127" w:type="dxa"/>
            <w:tcBorders>
              <w:top w:val="nil"/>
              <w:left w:val="nil"/>
              <w:bottom w:val="nil"/>
              <w:right w:val="nil"/>
            </w:tcBorders>
            <w:shd w:val="clear" w:color="auto" w:fill="auto"/>
            <w:noWrap/>
            <w:vAlign w:val="center"/>
            <w:hideMark/>
          </w:tcPr>
          <w:p w14:paraId="36216D4A" w14:textId="46DB2AE3"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Pará</w:t>
            </w:r>
          </w:p>
        </w:tc>
        <w:tc>
          <w:tcPr>
            <w:tcW w:w="989" w:type="dxa"/>
            <w:tcBorders>
              <w:top w:val="nil"/>
              <w:left w:val="nil"/>
              <w:bottom w:val="nil"/>
              <w:right w:val="nil"/>
            </w:tcBorders>
            <w:vAlign w:val="center"/>
          </w:tcPr>
          <w:p w14:paraId="06B6D548" w14:textId="1E31DE52"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93</w:t>
            </w:r>
          </w:p>
        </w:tc>
        <w:tc>
          <w:tcPr>
            <w:tcW w:w="1132" w:type="dxa"/>
            <w:tcBorders>
              <w:top w:val="nil"/>
              <w:left w:val="nil"/>
              <w:bottom w:val="nil"/>
              <w:right w:val="nil"/>
            </w:tcBorders>
            <w:vAlign w:val="center"/>
          </w:tcPr>
          <w:p w14:paraId="2F20CF0C" w14:textId="7A2AA882"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42</w:t>
            </w:r>
          </w:p>
        </w:tc>
        <w:tc>
          <w:tcPr>
            <w:tcW w:w="985" w:type="dxa"/>
            <w:tcBorders>
              <w:top w:val="nil"/>
              <w:left w:val="nil"/>
              <w:bottom w:val="nil"/>
              <w:right w:val="nil"/>
            </w:tcBorders>
            <w:vAlign w:val="center"/>
          </w:tcPr>
          <w:p w14:paraId="18B3D96D" w14:textId="518F7052"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68,89%</w:t>
            </w:r>
          </w:p>
        </w:tc>
        <w:tc>
          <w:tcPr>
            <w:tcW w:w="1004" w:type="dxa"/>
            <w:tcBorders>
              <w:top w:val="nil"/>
              <w:left w:val="nil"/>
              <w:bottom w:val="nil"/>
              <w:right w:val="nil"/>
            </w:tcBorders>
            <w:vAlign w:val="center"/>
          </w:tcPr>
          <w:p w14:paraId="46A8EAD0" w14:textId="06D4E59D"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0,946</w:t>
            </w:r>
          </w:p>
        </w:tc>
        <w:tc>
          <w:tcPr>
            <w:tcW w:w="993" w:type="dxa"/>
            <w:tcBorders>
              <w:top w:val="nil"/>
              <w:left w:val="nil"/>
              <w:bottom w:val="nil"/>
              <w:right w:val="nil"/>
            </w:tcBorders>
            <w:shd w:val="clear" w:color="auto" w:fill="auto"/>
            <w:noWrap/>
            <w:vAlign w:val="center"/>
          </w:tcPr>
          <w:p w14:paraId="3B6A92B7" w14:textId="6F78FF84"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39,41</w:t>
            </w:r>
          </w:p>
        </w:tc>
        <w:tc>
          <w:tcPr>
            <w:tcW w:w="1275" w:type="dxa"/>
            <w:tcBorders>
              <w:top w:val="nil"/>
              <w:left w:val="nil"/>
              <w:bottom w:val="nil"/>
              <w:right w:val="nil"/>
            </w:tcBorders>
            <w:vAlign w:val="center"/>
          </w:tcPr>
          <w:p w14:paraId="5CD10354" w14:textId="753B92EF"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R$ 4.821,47</w:t>
            </w:r>
          </w:p>
        </w:tc>
      </w:tr>
      <w:tr w:rsidR="0093246A" w:rsidRPr="00D9263A" w14:paraId="146041C7" w14:textId="597986D4" w:rsidTr="008029DA">
        <w:trPr>
          <w:trHeight w:val="288"/>
        </w:trPr>
        <w:tc>
          <w:tcPr>
            <w:tcW w:w="2127" w:type="dxa"/>
            <w:tcBorders>
              <w:top w:val="nil"/>
              <w:left w:val="nil"/>
              <w:bottom w:val="nil"/>
              <w:right w:val="nil"/>
            </w:tcBorders>
            <w:shd w:val="clear" w:color="auto" w:fill="auto"/>
            <w:noWrap/>
            <w:vAlign w:val="center"/>
            <w:hideMark/>
          </w:tcPr>
          <w:p w14:paraId="726E9A05" w14:textId="1A9C6D42"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Rondônia</w:t>
            </w:r>
          </w:p>
        </w:tc>
        <w:tc>
          <w:tcPr>
            <w:tcW w:w="989" w:type="dxa"/>
            <w:tcBorders>
              <w:top w:val="nil"/>
              <w:left w:val="nil"/>
              <w:bottom w:val="nil"/>
              <w:right w:val="nil"/>
            </w:tcBorders>
            <w:vAlign w:val="center"/>
          </w:tcPr>
          <w:p w14:paraId="464E4234" w14:textId="30797A2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23</w:t>
            </w:r>
          </w:p>
        </w:tc>
        <w:tc>
          <w:tcPr>
            <w:tcW w:w="1132" w:type="dxa"/>
            <w:tcBorders>
              <w:top w:val="nil"/>
              <w:left w:val="nil"/>
              <w:bottom w:val="nil"/>
              <w:right w:val="nil"/>
            </w:tcBorders>
            <w:vAlign w:val="center"/>
          </w:tcPr>
          <w:p w14:paraId="434EAC71" w14:textId="3F4ED90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28</w:t>
            </w:r>
          </w:p>
        </w:tc>
        <w:tc>
          <w:tcPr>
            <w:tcW w:w="985" w:type="dxa"/>
            <w:tcBorders>
              <w:top w:val="nil"/>
              <w:left w:val="nil"/>
              <w:bottom w:val="nil"/>
              <w:right w:val="nil"/>
            </w:tcBorders>
            <w:vAlign w:val="center"/>
          </w:tcPr>
          <w:p w14:paraId="3C3A45F0" w14:textId="4EE95668"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45,10%</w:t>
            </w:r>
          </w:p>
        </w:tc>
        <w:tc>
          <w:tcPr>
            <w:tcW w:w="1004" w:type="dxa"/>
            <w:tcBorders>
              <w:top w:val="nil"/>
              <w:left w:val="nil"/>
              <w:bottom w:val="nil"/>
              <w:right w:val="nil"/>
            </w:tcBorders>
            <w:vAlign w:val="center"/>
          </w:tcPr>
          <w:p w14:paraId="2299EEB1" w14:textId="68A4C4B2"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0,851</w:t>
            </w:r>
          </w:p>
        </w:tc>
        <w:tc>
          <w:tcPr>
            <w:tcW w:w="993" w:type="dxa"/>
            <w:tcBorders>
              <w:top w:val="nil"/>
              <w:left w:val="nil"/>
              <w:bottom w:val="nil"/>
              <w:right w:val="nil"/>
            </w:tcBorders>
            <w:shd w:val="clear" w:color="auto" w:fill="auto"/>
            <w:noWrap/>
            <w:vAlign w:val="center"/>
          </w:tcPr>
          <w:p w14:paraId="1817A163" w14:textId="6C3FAE1C"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44,90</w:t>
            </w:r>
          </w:p>
        </w:tc>
        <w:tc>
          <w:tcPr>
            <w:tcW w:w="1275" w:type="dxa"/>
            <w:tcBorders>
              <w:top w:val="nil"/>
              <w:left w:val="nil"/>
              <w:bottom w:val="nil"/>
              <w:right w:val="nil"/>
            </w:tcBorders>
            <w:vAlign w:val="center"/>
          </w:tcPr>
          <w:p w14:paraId="263660A3" w14:textId="2C519078"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6.222,15</w:t>
            </w:r>
          </w:p>
        </w:tc>
      </w:tr>
      <w:tr w:rsidR="0093246A" w:rsidRPr="00D9263A" w14:paraId="21F12E32" w14:textId="0F261D17" w:rsidTr="008029DA">
        <w:trPr>
          <w:trHeight w:val="288"/>
        </w:trPr>
        <w:tc>
          <w:tcPr>
            <w:tcW w:w="2127" w:type="dxa"/>
            <w:tcBorders>
              <w:top w:val="nil"/>
              <w:left w:val="nil"/>
              <w:bottom w:val="nil"/>
              <w:right w:val="nil"/>
            </w:tcBorders>
            <w:shd w:val="clear" w:color="auto" w:fill="auto"/>
            <w:noWrap/>
            <w:vAlign w:val="center"/>
            <w:hideMark/>
          </w:tcPr>
          <w:p w14:paraId="4BC81B5A" w14:textId="4B351FBE"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Roraima</w:t>
            </w:r>
          </w:p>
        </w:tc>
        <w:tc>
          <w:tcPr>
            <w:tcW w:w="989" w:type="dxa"/>
            <w:tcBorders>
              <w:top w:val="nil"/>
              <w:left w:val="nil"/>
              <w:bottom w:val="nil"/>
              <w:right w:val="nil"/>
            </w:tcBorders>
            <w:vAlign w:val="center"/>
          </w:tcPr>
          <w:p w14:paraId="2F3B16E5" w14:textId="141AD69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12</w:t>
            </w:r>
          </w:p>
        </w:tc>
        <w:tc>
          <w:tcPr>
            <w:tcW w:w="1132" w:type="dxa"/>
            <w:tcBorders>
              <w:top w:val="nil"/>
              <w:left w:val="nil"/>
              <w:bottom w:val="nil"/>
              <w:right w:val="nil"/>
            </w:tcBorders>
            <w:vAlign w:val="center"/>
          </w:tcPr>
          <w:p w14:paraId="08EA1002" w14:textId="64A7A809"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w:t>
            </w:r>
          </w:p>
        </w:tc>
        <w:tc>
          <w:tcPr>
            <w:tcW w:w="985" w:type="dxa"/>
            <w:tcBorders>
              <w:top w:val="nil"/>
              <w:left w:val="nil"/>
              <w:bottom w:val="nil"/>
              <w:right w:val="nil"/>
            </w:tcBorders>
            <w:vAlign w:val="center"/>
          </w:tcPr>
          <w:p w14:paraId="1674D4C7" w14:textId="0EE65629"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80,00%</w:t>
            </w:r>
          </w:p>
        </w:tc>
        <w:tc>
          <w:tcPr>
            <w:tcW w:w="1004" w:type="dxa"/>
            <w:tcBorders>
              <w:top w:val="nil"/>
              <w:left w:val="nil"/>
              <w:bottom w:val="nil"/>
              <w:right w:val="nil"/>
            </w:tcBorders>
            <w:vAlign w:val="center"/>
          </w:tcPr>
          <w:p w14:paraId="1B1384AD" w14:textId="35842428"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0,976</w:t>
            </w:r>
          </w:p>
        </w:tc>
        <w:tc>
          <w:tcPr>
            <w:tcW w:w="993" w:type="dxa"/>
            <w:tcBorders>
              <w:top w:val="nil"/>
              <w:left w:val="nil"/>
              <w:bottom w:val="nil"/>
              <w:right w:val="nil"/>
            </w:tcBorders>
            <w:shd w:val="clear" w:color="auto" w:fill="auto"/>
            <w:noWrap/>
            <w:vAlign w:val="center"/>
          </w:tcPr>
          <w:p w14:paraId="56CE1E0A" w14:textId="4F4AB312"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41,44</w:t>
            </w:r>
          </w:p>
        </w:tc>
        <w:tc>
          <w:tcPr>
            <w:tcW w:w="1275" w:type="dxa"/>
            <w:tcBorders>
              <w:top w:val="nil"/>
              <w:left w:val="nil"/>
              <w:bottom w:val="nil"/>
              <w:right w:val="nil"/>
            </w:tcBorders>
            <w:vAlign w:val="center"/>
          </w:tcPr>
          <w:p w14:paraId="4436C6F5" w14:textId="78C52D79"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R$ 6.215,33</w:t>
            </w:r>
          </w:p>
        </w:tc>
      </w:tr>
      <w:tr w:rsidR="0093246A" w:rsidRPr="00D9263A" w14:paraId="7717CF3F" w14:textId="047B8969" w:rsidTr="008029DA">
        <w:trPr>
          <w:trHeight w:val="288"/>
        </w:trPr>
        <w:tc>
          <w:tcPr>
            <w:tcW w:w="2127" w:type="dxa"/>
            <w:tcBorders>
              <w:top w:val="nil"/>
              <w:left w:val="nil"/>
              <w:right w:val="nil"/>
            </w:tcBorders>
            <w:shd w:val="clear" w:color="auto" w:fill="auto"/>
            <w:noWrap/>
            <w:vAlign w:val="center"/>
            <w:hideMark/>
          </w:tcPr>
          <w:p w14:paraId="3C85F32E" w14:textId="7F34A521"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Tocantins</w:t>
            </w:r>
          </w:p>
        </w:tc>
        <w:tc>
          <w:tcPr>
            <w:tcW w:w="989" w:type="dxa"/>
            <w:tcBorders>
              <w:top w:val="nil"/>
              <w:left w:val="nil"/>
              <w:right w:val="nil"/>
            </w:tcBorders>
            <w:vAlign w:val="center"/>
          </w:tcPr>
          <w:p w14:paraId="5D2908FC" w14:textId="296BF464"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28</w:t>
            </w:r>
          </w:p>
        </w:tc>
        <w:tc>
          <w:tcPr>
            <w:tcW w:w="1132" w:type="dxa"/>
            <w:tcBorders>
              <w:top w:val="nil"/>
              <w:left w:val="nil"/>
              <w:right w:val="nil"/>
            </w:tcBorders>
            <w:vAlign w:val="center"/>
          </w:tcPr>
          <w:p w14:paraId="0A4A86AA" w14:textId="2D8B5C59"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108</w:t>
            </w:r>
          </w:p>
        </w:tc>
        <w:tc>
          <w:tcPr>
            <w:tcW w:w="985" w:type="dxa"/>
            <w:tcBorders>
              <w:top w:val="nil"/>
              <w:left w:val="nil"/>
              <w:right w:val="nil"/>
            </w:tcBorders>
            <w:vAlign w:val="center"/>
          </w:tcPr>
          <w:p w14:paraId="681CD670" w14:textId="566288C3"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20,59%</w:t>
            </w:r>
          </w:p>
        </w:tc>
        <w:tc>
          <w:tcPr>
            <w:tcW w:w="1004" w:type="dxa"/>
            <w:tcBorders>
              <w:top w:val="nil"/>
              <w:left w:val="nil"/>
              <w:right w:val="nil"/>
            </w:tcBorders>
            <w:vAlign w:val="center"/>
          </w:tcPr>
          <w:p w14:paraId="355B66BF" w14:textId="1D259727"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0,766</w:t>
            </w:r>
          </w:p>
        </w:tc>
        <w:tc>
          <w:tcPr>
            <w:tcW w:w="993" w:type="dxa"/>
            <w:tcBorders>
              <w:top w:val="nil"/>
              <w:left w:val="nil"/>
              <w:right w:val="nil"/>
            </w:tcBorders>
            <w:shd w:val="clear" w:color="auto" w:fill="auto"/>
            <w:noWrap/>
            <w:vAlign w:val="center"/>
          </w:tcPr>
          <w:p w14:paraId="79CEFC55" w14:textId="32F7E62E"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44,16</w:t>
            </w:r>
          </w:p>
        </w:tc>
        <w:tc>
          <w:tcPr>
            <w:tcW w:w="1275" w:type="dxa"/>
            <w:tcBorders>
              <w:top w:val="nil"/>
              <w:left w:val="nil"/>
              <w:right w:val="nil"/>
            </w:tcBorders>
            <w:vAlign w:val="center"/>
          </w:tcPr>
          <w:p w14:paraId="125343E9" w14:textId="0A3B9F4E"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6.946,00</w:t>
            </w:r>
          </w:p>
        </w:tc>
      </w:tr>
      <w:tr w:rsidR="0093246A" w:rsidRPr="00D9263A" w14:paraId="1DEC7216" w14:textId="1F60EF0E" w:rsidTr="008029DA">
        <w:trPr>
          <w:trHeight w:val="288"/>
        </w:trPr>
        <w:tc>
          <w:tcPr>
            <w:tcW w:w="2127" w:type="dxa"/>
            <w:tcBorders>
              <w:top w:val="nil"/>
              <w:left w:val="nil"/>
              <w:bottom w:val="single" w:sz="4" w:space="0" w:color="auto"/>
              <w:right w:val="nil"/>
            </w:tcBorders>
            <w:shd w:val="clear" w:color="auto" w:fill="auto"/>
            <w:noWrap/>
            <w:vAlign w:val="center"/>
            <w:hideMark/>
          </w:tcPr>
          <w:p w14:paraId="6776A762" w14:textId="7235F15B" w:rsidR="005613FB" w:rsidRPr="00D9263A" w:rsidRDefault="005613FB" w:rsidP="0093246A">
            <w:pPr>
              <w:spacing w:after="0" w:line="240" w:lineRule="auto"/>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SUDESTE</w:t>
            </w:r>
          </w:p>
        </w:tc>
        <w:tc>
          <w:tcPr>
            <w:tcW w:w="989" w:type="dxa"/>
            <w:tcBorders>
              <w:top w:val="nil"/>
              <w:left w:val="nil"/>
              <w:bottom w:val="single" w:sz="4" w:space="0" w:color="auto"/>
              <w:right w:val="nil"/>
            </w:tcBorders>
            <w:vAlign w:val="center"/>
          </w:tcPr>
          <w:p w14:paraId="196456CC" w14:textId="462485BD"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840</w:t>
            </w:r>
          </w:p>
        </w:tc>
        <w:tc>
          <w:tcPr>
            <w:tcW w:w="1132" w:type="dxa"/>
            <w:tcBorders>
              <w:top w:val="nil"/>
              <w:left w:val="nil"/>
              <w:bottom w:val="single" w:sz="4" w:space="0" w:color="auto"/>
              <w:right w:val="nil"/>
            </w:tcBorders>
            <w:vAlign w:val="center"/>
          </w:tcPr>
          <w:p w14:paraId="39629711" w14:textId="022B83F2"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791</w:t>
            </w:r>
          </w:p>
        </w:tc>
        <w:tc>
          <w:tcPr>
            <w:tcW w:w="985" w:type="dxa"/>
            <w:tcBorders>
              <w:top w:val="nil"/>
              <w:left w:val="nil"/>
              <w:bottom w:val="single" w:sz="4" w:space="0" w:color="auto"/>
              <w:right w:val="nil"/>
            </w:tcBorders>
            <w:vAlign w:val="center"/>
          </w:tcPr>
          <w:p w14:paraId="164A418B" w14:textId="5A719E0C"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51,50%</w:t>
            </w:r>
          </w:p>
        </w:tc>
        <w:tc>
          <w:tcPr>
            <w:tcW w:w="1004" w:type="dxa"/>
            <w:tcBorders>
              <w:top w:val="nil"/>
              <w:left w:val="nil"/>
              <w:bottom w:val="single" w:sz="4" w:space="0" w:color="auto"/>
              <w:right w:val="nil"/>
            </w:tcBorders>
            <w:vAlign w:val="center"/>
          </w:tcPr>
          <w:p w14:paraId="39C12738" w14:textId="53C928F9"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0,883</w:t>
            </w:r>
          </w:p>
        </w:tc>
        <w:tc>
          <w:tcPr>
            <w:tcW w:w="993" w:type="dxa"/>
            <w:tcBorders>
              <w:top w:val="nil"/>
              <w:left w:val="nil"/>
              <w:bottom w:val="single" w:sz="4" w:space="0" w:color="auto"/>
              <w:right w:val="nil"/>
            </w:tcBorders>
            <w:shd w:val="clear" w:color="auto" w:fill="auto"/>
            <w:noWrap/>
            <w:vAlign w:val="center"/>
          </w:tcPr>
          <w:p w14:paraId="4E005269" w14:textId="00476DAE" w:rsidR="005613FB" w:rsidRPr="005613FB"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5613FB">
              <w:rPr>
                <w:rFonts w:ascii="Times New Roman" w:hAnsi="Times New Roman" w:cs="Times New Roman"/>
                <w:b/>
                <w:bCs/>
                <w:color w:val="000000"/>
                <w:sz w:val="20"/>
                <w:szCs w:val="20"/>
              </w:rPr>
              <w:t>52,62</w:t>
            </w:r>
          </w:p>
        </w:tc>
        <w:tc>
          <w:tcPr>
            <w:tcW w:w="1275" w:type="dxa"/>
            <w:tcBorders>
              <w:top w:val="nil"/>
              <w:left w:val="nil"/>
              <w:bottom w:val="single" w:sz="4" w:space="0" w:color="auto"/>
              <w:right w:val="nil"/>
            </w:tcBorders>
            <w:vAlign w:val="center"/>
          </w:tcPr>
          <w:p w14:paraId="64BFA268" w14:textId="4206530D" w:rsidR="005613FB" w:rsidRPr="005613FB" w:rsidRDefault="005613FB" w:rsidP="0093246A">
            <w:pPr>
              <w:spacing w:after="0" w:line="240" w:lineRule="auto"/>
              <w:jc w:val="center"/>
              <w:rPr>
                <w:rFonts w:ascii="Times New Roman" w:hAnsi="Times New Roman" w:cs="Times New Roman"/>
                <w:b/>
                <w:bCs/>
                <w:color w:val="000000"/>
                <w:sz w:val="20"/>
                <w:szCs w:val="20"/>
              </w:rPr>
            </w:pPr>
            <w:r w:rsidRPr="005613FB">
              <w:rPr>
                <w:rFonts w:ascii="Times New Roman" w:hAnsi="Times New Roman" w:cs="Times New Roman"/>
                <w:b/>
                <w:bCs/>
                <w:color w:val="000000"/>
                <w:sz w:val="20"/>
                <w:szCs w:val="20"/>
              </w:rPr>
              <w:t>R$</w:t>
            </w:r>
            <w:r w:rsidR="0093246A">
              <w:rPr>
                <w:rFonts w:ascii="Times New Roman" w:hAnsi="Times New Roman" w:cs="Times New Roman"/>
                <w:b/>
                <w:bCs/>
                <w:color w:val="000000"/>
                <w:sz w:val="20"/>
                <w:szCs w:val="20"/>
              </w:rPr>
              <w:t xml:space="preserve"> </w:t>
            </w:r>
            <w:r w:rsidRPr="005613FB">
              <w:rPr>
                <w:rFonts w:ascii="Times New Roman" w:hAnsi="Times New Roman" w:cs="Times New Roman"/>
                <w:b/>
                <w:bCs/>
                <w:color w:val="000000"/>
                <w:sz w:val="20"/>
                <w:szCs w:val="20"/>
              </w:rPr>
              <w:t>6.284,82</w:t>
            </w:r>
          </w:p>
        </w:tc>
      </w:tr>
      <w:tr w:rsidR="0093246A" w:rsidRPr="00D9263A" w14:paraId="6238B829" w14:textId="26C66412" w:rsidTr="008029DA">
        <w:trPr>
          <w:trHeight w:val="288"/>
        </w:trPr>
        <w:tc>
          <w:tcPr>
            <w:tcW w:w="2127" w:type="dxa"/>
            <w:tcBorders>
              <w:top w:val="single" w:sz="4" w:space="0" w:color="auto"/>
              <w:left w:val="nil"/>
              <w:bottom w:val="nil"/>
              <w:right w:val="nil"/>
            </w:tcBorders>
            <w:shd w:val="clear" w:color="auto" w:fill="auto"/>
            <w:noWrap/>
            <w:vAlign w:val="center"/>
            <w:hideMark/>
          </w:tcPr>
          <w:p w14:paraId="12E18545" w14:textId="3703A317"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Espírito Santo</w:t>
            </w:r>
          </w:p>
        </w:tc>
        <w:tc>
          <w:tcPr>
            <w:tcW w:w="989" w:type="dxa"/>
            <w:tcBorders>
              <w:top w:val="single" w:sz="4" w:space="0" w:color="auto"/>
              <w:left w:val="nil"/>
              <w:bottom w:val="nil"/>
              <w:right w:val="nil"/>
            </w:tcBorders>
            <w:vAlign w:val="center"/>
          </w:tcPr>
          <w:p w14:paraId="25CDD219" w14:textId="6735B78A"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43</w:t>
            </w:r>
          </w:p>
        </w:tc>
        <w:tc>
          <w:tcPr>
            <w:tcW w:w="1132" w:type="dxa"/>
            <w:tcBorders>
              <w:top w:val="single" w:sz="4" w:space="0" w:color="auto"/>
              <w:left w:val="nil"/>
              <w:bottom w:val="nil"/>
              <w:right w:val="nil"/>
            </w:tcBorders>
            <w:vAlign w:val="center"/>
          </w:tcPr>
          <w:p w14:paraId="6401E28B" w14:textId="12CF163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35</w:t>
            </w:r>
          </w:p>
        </w:tc>
        <w:tc>
          <w:tcPr>
            <w:tcW w:w="985" w:type="dxa"/>
            <w:tcBorders>
              <w:top w:val="single" w:sz="4" w:space="0" w:color="auto"/>
              <w:left w:val="nil"/>
              <w:bottom w:val="nil"/>
              <w:right w:val="nil"/>
            </w:tcBorders>
            <w:vAlign w:val="center"/>
          </w:tcPr>
          <w:p w14:paraId="375CEA0E" w14:textId="2D949AE5"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55,13%</w:t>
            </w:r>
          </w:p>
        </w:tc>
        <w:tc>
          <w:tcPr>
            <w:tcW w:w="1004" w:type="dxa"/>
            <w:tcBorders>
              <w:top w:val="single" w:sz="4" w:space="0" w:color="auto"/>
              <w:left w:val="nil"/>
              <w:bottom w:val="nil"/>
              <w:right w:val="nil"/>
            </w:tcBorders>
            <w:vAlign w:val="center"/>
          </w:tcPr>
          <w:p w14:paraId="028BE2B9" w14:textId="39070547"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0,937</w:t>
            </w:r>
          </w:p>
        </w:tc>
        <w:tc>
          <w:tcPr>
            <w:tcW w:w="993" w:type="dxa"/>
            <w:tcBorders>
              <w:top w:val="single" w:sz="4" w:space="0" w:color="auto"/>
              <w:left w:val="nil"/>
              <w:bottom w:val="nil"/>
              <w:right w:val="nil"/>
            </w:tcBorders>
            <w:shd w:val="clear" w:color="auto" w:fill="auto"/>
            <w:noWrap/>
            <w:vAlign w:val="center"/>
          </w:tcPr>
          <w:p w14:paraId="70C26248" w14:textId="7D9F5218"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51,61</w:t>
            </w:r>
          </w:p>
        </w:tc>
        <w:tc>
          <w:tcPr>
            <w:tcW w:w="1275" w:type="dxa"/>
            <w:tcBorders>
              <w:top w:val="single" w:sz="4" w:space="0" w:color="auto"/>
              <w:left w:val="nil"/>
              <w:bottom w:val="nil"/>
              <w:right w:val="nil"/>
            </w:tcBorders>
            <w:vAlign w:val="center"/>
          </w:tcPr>
          <w:p w14:paraId="23F9DCC9" w14:textId="10761395"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5.662,67</w:t>
            </w:r>
          </w:p>
        </w:tc>
      </w:tr>
      <w:tr w:rsidR="0093246A" w:rsidRPr="00D9263A" w14:paraId="1E89CF6F" w14:textId="4397C11E" w:rsidTr="008029DA">
        <w:trPr>
          <w:trHeight w:val="288"/>
        </w:trPr>
        <w:tc>
          <w:tcPr>
            <w:tcW w:w="2127" w:type="dxa"/>
            <w:tcBorders>
              <w:top w:val="nil"/>
              <w:left w:val="nil"/>
              <w:bottom w:val="nil"/>
              <w:right w:val="nil"/>
            </w:tcBorders>
            <w:shd w:val="clear" w:color="auto" w:fill="auto"/>
            <w:noWrap/>
            <w:vAlign w:val="center"/>
            <w:hideMark/>
          </w:tcPr>
          <w:p w14:paraId="34FDDDED" w14:textId="570A22E6"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Minas Gerais</w:t>
            </w:r>
          </w:p>
        </w:tc>
        <w:tc>
          <w:tcPr>
            <w:tcW w:w="989" w:type="dxa"/>
            <w:tcBorders>
              <w:top w:val="nil"/>
              <w:left w:val="nil"/>
              <w:bottom w:val="nil"/>
              <w:right w:val="nil"/>
            </w:tcBorders>
            <w:vAlign w:val="center"/>
          </w:tcPr>
          <w:p w14:paraId="5A875087" w14:textId="5D625693"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398</w:t>
            </w:r>
          </w:p>
        </w:tc>
        <w:tc>
          <w:tcPr>
            <w:tcW w:w="1132" w:type="dxa"/>
            <w:tcBorders>
              <w:top w:val="nil"/>
              <w:left w:val="nil"/>
              <w:bottom w:val="nil"/>
              <w:right w:val="nil"/>
            </w:tcBorders>
            <w:vAlign w:val="center"/>
          </w:tcPr>
          <w:p w14:paraId="142921F6" w14:textId="20A020D1"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437</w:t>
            </w:r>
          </w:p>
        </w:tc>
        <w:tc>
          <w:tcPr>
            <w:tcW w:w="985" w:type="dxa"/>
            <w:tcBorders>
              <w:top w:val="nil"/>
              <w:left w:val="nil"/>
              <w:bottom w:val="nil"/>
              <w:right w:val="nil"/>
            </w:tcBorders>
            <w:vAlign w:val="center"/>
          </w:tcPr>
          <w:p w14:paraId="0908A8D2" w14:textId="3A17BC7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47,66%</w:t>
            </w:r>
          </w:p>
        </w:tc>
        <w:tc>
          <w:tcPr>
            <w:tcW w:w="1004" w:type="dxa"/>
            <w:tcBorders>
              <w:top w:val="nil"/>
              <w:left w:val="nil"/>
              <w:bottom w:val="nil"/>
              <w:right w:val="nil"/>
            </w:tcBorders>
            <w:vAlign w:val="center"/>
          </w:tcPr>
          <w:p w14:paraId="2C413A96" w14:textId="3BA68A42"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0,871</w:t>
            </w:r>
          </w:p>
        </w:tc>
        <w:tc>
          <w:tcPr>
            <w:tcW w:w="993" w:type="dxa"/>
            <w:tcBorders>
              <w:top w:val="nil"/>
              <w:left w:val="nil"/>
              <w:bottom w:val="nil"/>
              <w:right w:val="nil"/>
            </w:tcBorders>
            <w:shd w:val="clear" w:color="auto" w:fill="auto"/>
            <w:noWrap/>
            <w:vAlign w:val="center"/>
          </w:tcPr>
          <w:p w14:paraId="0A37AF8F" w14:textId="5594130D"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51,16</w:t>
            </w:r>
          </w:p>
        </w:tc>
        <w:tc>
          <w:tcPr>
            <w:tcW w:w="1275" w:type="dxa"/>
            <w:tcBorders>
              <w:top w:val="nil"/>
              <w:left w:val="nil"/>
              <w:bottom w:val="nil"/>
              <w:right w:val="nil"/>
            </w:tcBorders>
            <w:vAlign w:val="center"/>
          </w:tcPr>
          <w:p w14:paraId="2FD87B49" w14:textId="72528312"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5.958,62</w:t>
            </w:r>
          </w:p>
        </w:tc>
      </w:tr>
      <w:tr w:rsidR="0093246A" w:rsidRPr="00D9263A" w14:paraId="49D693D8" w14:textId="1EFE5BC4" w:rsidTr="008029DA">
        <w:trPr>
          <w:trHeight w:val="288"/>
        </w:trPr>
        <w:tc>
          <w:tcPr>
            <w:tcW w:w="2127" w:type="dxa"/>
            <w:tcBorders>
              <w:top w:val="nil"/>
              <w:left w:val="nil"/>
              <w:bottom w:val="nil"/>
              <w:right w:val="nil"/>
            </w:tcBorders>
            <w:shd w:val="clear" w:color="auto" w:fill="auto"/>
            <w:noWrap/>
            <w:vAlign w:val="center"/>
            <w:hideMark/>
          </w:tcPr>
          <w:p w14:paraId="27E7A773" w14:textId="3318DF94"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Rio de Janeiro</w:t>
            </w:r>
          </w:p>
        </w:tc>
        <w:tc>
          <w:tcPr>
            <w:tcW w:w="989" w:type="dxa"/>
            <w:tcBorders>
              <w:top w:val="nil"/>
              <w:left w:val="nil"/>
              <w:bottom w:val="nil"/>
              <w:right w:val="nil"/>
            </w:tcBorders>
            <w:vAlign w:val="center"/>
          </w:tcPr>
          <w:p w14:paraId="5E8189D0" w14:textId="7F12DC11"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46</w:t>
            </w:r>
          </w:p>
        </w:tc>
        <w:tc>
          <w:tcPr>
            <w:tcW w:w="1132" w:type="dxa"/>
            <w:tcBorders>
              <w:top w:val="nil"/>
              <w:left w:val="nil"/>
              <w:bottom w:val="nil"/>
              <w:right w:val="nil"/>
            </w:tcBorders>
            <w:vAlign w:val="center"/>
          </w:tcPr>
          <w:p w14:paraId="2A90E0E2" w14:textId="11916D11"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39</w:t>
            </w:r>
          </w:p>
        </w:tc>
        <w:tc>
          <w:tcPr>
            <w:tcW w:w="985" w:type="dxa"/>
            <w:tcBorders>
              <w:top w:val="nil"/>
              <w:left w:val="nil"/>
              <w:bottom w:val="nil"/>
              <w:right w:val="nil"/>
            </w:tcBorders>
            <w:vAlign w:val="center"/>
          </w:tcPr>
          <w:p w14:paraId="130FFC4C" w14:textId="1311E671"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54,12%</w:t>
            </w:r>
          </w:p>
        </w:tc>
        <w:tc>
          <w:tcPr>
            <w:tcW w:w="1004" w:type="dxa"/>
            <w:tcBorders>
              <w:top w:val="nil"/>
              <w:left w:val="nil"/>
              <w:bottom w:val="nil"/>
              <w:right w:val="nil"/>
            </w:tcBorders>
            <w:vAlign w:val="center"/>
          </w:tcPr>
          <w:p w14:paraId="674E99F1" w14:textId="30C2388C"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0,868</w:t>
            </w:r>
          </w:p>
        </w:tc>
        <w:tc>
          <w:tcPr>
            <w:tcW w:w="993" w:type="dxa"/>
            <w:tcBorders>
              <w:top w:val="nil"/>
              <w:left w:val="nil"/>
              <w:bottom w:val="nil"/>
              <w:right w:val="nil"/>
            </w:tcBorders>
            <w:shd w:val="clear" w:color="auto" w:fill="auto"/>
            <w:noWrap/>
            <w:vAlign w:val="center"/>
          </w:tcPr>
          <w:p w14:paraId="7D0F9D3F" w14:textId="52C3C518"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50,76</w:t>
            </w:r>
          </w:p>
        </w:tc>
        <w:tc>
          <w:tcPr>
            <w:tcW w:w="1275" w:type="dxa"/>
            <w:tcBorders>
              <w:top w:val="nil"/>
              <w:left w:val="nil"/>
              <w:bottom w:val="nil"/>
              <w:right w:val="nil"/>
            </w:tcBorders>
            <w:vAlign w:val="center"/>
          </w:tcPr>
          <w:p w14:paraId="1F13232E" w14:textId="2AD7DD17"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7.794,60</w:t>
            </w:r>
          </w:p>
        </w:tc>
      </w:tr>
      <w:tr w:rsidR="0093246A" w:rsidRPr="00D9263A" w14:paraId="05803B8E" w14:textId="3C395F4C" w:rsidTr="008029DA">
        <w:trPr>
          <w:trHeight w:val="288"/>
        </w:trPr>
        <w:tc>
          <w:tcPr>
            <w:tcW w:w="2127" w:type="dxa"/>
            <w:tcBorders>
              <w:top w:val="nil"/>
              <w:left w:val="nil"/>
              <w:right w:val="nil"/>
            </w:tcBorders>
            <w:shd w:val="clear" w:color="auto" w:fill="auto"/>
            <w:noWrap/>
            <w:vAlign w:val="center"/>
            <w:hideMark/>
          </w:tcPr>
          <w:p w14:paraId="47F29D82" w14:textId="037F6B9A"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São Paulo</w:t>
            </w:r>
          </w:p>
        </w:tc>
        <w:tc>
          <w:tcPr>
            <w:tcW w:w="989" w:type="dxa"/>
            <w:tcBorders>
              <w:top w:val="nil"/>
              <w:left w:val="nil"/>
              <w:right w:val="nil"/>
            </w:tcBorders>
            <w:vAlign w:val="center"/>
          </w:tcPr>
          <w:p w14:paraId="0ED5607D" w14:textId="26000EE1"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353</w:t>
            </w:r>
          </w:p>
        </w:tc>
        <w:tc>
          <w:tcPr>
            <w:tcW w:w="1132" w:type="dxa"/>
            <w:tcBorders>
              <w:top w:val="nil"/>
              <w:left w:val="nil"/>
              <w:right w:val="nil"/>
            </w:tcBorders>
            <w:vAlign w:val="center"/>
          </w:tcPr>
          <w:p w14:paraId="2AE3624B" w14:textId="6B47942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280</w:t>
            </w:r>
          </w:p>
        </w:tc>
        <w:tc>
          <w:tcPr>
            <w:tcW w:w="985" w:type="dxa"/>
            <w:tcBorders>
              <w:top w:val="nil"/>
              <w:left w:val="nil"/>
              <w:right w:val="nil"/>
            </w:tcBorders>
            <w:vAlign w:val="center"/>
          </w:tcPr>
          <w:p w14:paraId="703EAAA3" w14:textId="340C2BEF"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55,77%</w:t>
            </w:r>
          </w:p>
        </w:tc>
        <w:tc>
          <w:tcPr>
            <w:tcW w:w="1004" w:type="dxa"/>
            <w:tcBorders>
              <w:top w:val="nil"/>
              <w:left w:val="nil"/>
              <w:right w:val="nil"/>
            </w:tcBorders>
            <w:vAlign w:val="center"/>
          </w:tcPr>
          <w:p w14:paraId="2F2535CA" w14:textId="51FE4278"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0,895</w:t>
            </w:r>
          </w:p>
        </w:tc>
        <w:tc>
          <w:tcPr>
            <w:tcW w:w="993" w:type="dxa"/>
            <w:tcBorders>
              <w:top w:val="nil"/>
              <w:left w:val="nil"/>
              <w:right w:val="nil"/>
            </w:tcBorders>
            <w:shd w:val="clear" w:color="auto" w:fill="auto"/>
            <w:noWrap/>
            <w:vAlign w:val="center"/>
          </w:tcPr>
          <w:p w14:paraId="41916E7A" w14:textId="62AF59C8"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54,92</w:t>
            </w:r>
          </w:p>
        </w:tc>
        <w:tc>
          <w:tcPr>
            <w:tcW w:w="1275" w:type="dxa"/>
            <w:tcBorders>
              <w:top w:val="nil"/>
              <w:left w:val="nil"/>
              <w:right w:val="nil"/>
            </w:tcBorders>
            <w:vAlign w:val="center"/>
          </w:tcPr>
          <w:p w14:paraId="0009BA4F" w14:textId="3E2A2524"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6.589,04</w:t>
            </w:r>
          </w:p>
        </w:tc>
      </w:tr>
      <w:tr w:rsidR="0093246A" w:rsidRPr="00D9263A" w14:paraId="61655835" w14:textId="103D180F" w:rsidTr="008029DA">
        <w:trPr>
          <w:trHeight w:val="288"/>
        </w:trPr>
        <w:tc>
          <w:tcPr>
            <w:tcW w:w="2127" w:type="dxa"/>
            <w:tcBorders>
              <w:top w:val="nil"/>
              <w:left w:val="nil"/>
              <w:bottom w:val="single" w:sz="4" w:space="0" w:color="auto"/>
              <w:right w:val="nil"/>
            </w:tcBorders>
            <w:shd w:val="clear" w:color="auto" w:fill="auto"/>
            <w:noWrap/>
            <w:vAlign w:val="center"/>
            <w:hideMark/>
          </w:tcPr>
          <w:p w14:paraId="2379662B" w14:textId="6A51CA31" w:rsidR="005613FB" w:rsidRPr="00D9263A" w:rsidRDefault="005613FB" w:rsidP="0093246A">
            <w:pPr>
              <w:spacing w:after="0" w:line="240" w:lineRule="auto"/>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SUL</w:t>
            </w:r>
          </w:p>
        </w:tc>
        <w:tc>
          <w:tcPr>
            <w:tcW w:w="989" w:type="dxa"/>
            <w:tcBorders>
              <w:top w:val="nil"/>
              <w:left w:val="nil"/>
              <w:bottom w:val="single" w:sz="4" w:space="0" w:color="auto"/>
              <w:right w:val="nil"/>
            </w:tcBorders>
            <w:vAlign w:val="center"/>
          </w:tcPr>
          <w:p w14:paraId="633EEF97" w14:textId="2248DCD9"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514</w:t>
            </w:r>
          </w:p>
        </w:tc>
        <w:tc>
          <w:tcPr>
            <w:tcW w:w="1132" w:type="dxa"/>
            <w:tcBorders>
              <w:top w:val="nil"/>
              <w:left w:val="nil"/>
              <w:bottom w:val="single" w:sz="4" w:space="0" w:color="auto"/>
              <w:right w:val="nil"/>
            </w:tcBorders>
            <w:vAlign w:val="center"/>
          </w:tcPr>
          <w:p w14:paraId="007A61EE" w14:textId="604D2FD8"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637</w:t>
            </w:r>
          </w:p>
        </w:tc>
        <w:tc>
          <w:tcPr>
            <w:tcW w:w="985" w:type="dxa"/>
            <w:tcBorders>
              <w:top w:val="nil"/>
              <w:left w:val="nil"/>
              <w:bottom w:val="single" w:sz="4" w:space="0" w:color="auto"/>
              <w:right w:val="nil"/>
            </w:tcBorders>
            <w:vAlign w:val="center"/>
          </w:tcPr>
          <w:p w14:paraId="720B946A" w14:textId="0C316875"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44,66%</w:t>
            </w:r>
          </w:p>
        </w:tc>
        <w:tc>
          <w:tcPr>
            <w:tcW w:w="1004" w:type="dxa"/>
            <w:tcBorders>
              <w:top w:val="nil"/>
              <w:left w:val="nil"/>
              <w:bottom w:val="single" w:sz="4" w:space="0" w:color="auto"/>
              <w:right w:val="nil"/>
            </w:tcBorders>
            <w:vAlign w:val="center"/>
          </w:tcPr>
          <w:p w14:paraId="4149A61D" w14:textId="5E811510"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0,873</w:t>
            </w:r>
          </w:p>
        </w:tc>
        <w:tc>
          <w:tcPr>
            <w:tcW w:w="993" w:type="dxa"/>
            <w:tcBorders>
              <w:top w:val="nil"/>
              <w:left w:val="nil"/>
              <w:bottom w:val="single" w:sz="4" w:space="0" w:color="auto"/>
              <w:right w:val="nil"/>
            </w:tcBorders>
            <w:shd w:val="clear" w:color="auto" w:fill="auto"/>
            <w:noWrap/>
            <w:vAlign w:val="center"/>
          </w:tcPr>
          <w:p w14:paraId="03514037" w14:textId="2C6CE29D" w:rsidR="005613FB" w:rsidRPr="005613FB"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5613FB">
              <w:rPr>
                <w:rFonts w:ascii="Times New Roman" w:hAnsi="Times New Roman" w:cs="Times New Roman"/>
                <w:b/>
                <w:bCs/>
                <w:color w:val="000000"/>
                <w:sz w:val="20"/>
                <w:szCs w:val="20"/>
              </w:rPr>
              <w:t>52,24</w:t>
            </w:r>
          </w:p>
        </w:tc>
        <w:tc>
          <w:tcPr>
            <w:tcW w:w="1275" w:type="dxa"/>
            <w:tcBorders>
              <w:top w:val="nil"/>
              <w:left w:val="nil"/>
              <w:bottom w:val="single" w:sz="4" w:space="0" w:color="auto"/>
              <w:right w:val="nil"/>
            </w:tcBorders>
            <w:vAlign w:val="center"/>
          </w:tcPr>
          <w:p w14:paraId="12D0A323" w14:textId="2C9505BE" w:rsidR="005613FB" w:rsidRPr="005613FB" w:rsidRDefault="005613FB" w:rsidP="0093246A">
            <w:pPr>
              <w:spacing w:after="0" w:line="240" w:lineRule="auto"/>
              <w:jc w:val="center"/>
              <w:rPr>
                <w:rFonts w:ascii="Times New Roman" w:hAnsi="Times New Roman" w:cs="Times New Roman"/>
                <w:b/>
                <w:bCs/>
                <w:color w:val="000000"/>
                <w:sz w:val="20"/>
                <w:szCs w:val="20"/>
              </w:rPr>
            </w:pPr>
            <w:r w:rsidRPr="005613FB">
              <w:rPr>
                <w:rFonts w:ascii="Times New Roman" w:hAnsi="Times New Roman" w:cs="Times New Roman"/>
                <w:b/>
                <w:bCs/>
                <w:color w:val="000000"/>
                <w:sz w:val="20"/>
                <w:szCs w:val="20"/>
              </w:rPr>
              <w:t>R$</w:t>
            </w:r>
            <w:r w:rsidR="0093246A">
              <w:rPr>
                <w:rFonts w:ascii="Times New Roman" w:hAnsi="Times New Roman" w:cs="Times New Roman"/>
                <w:b/>
                <w:bCs/>
                <w:color w:val="000000"/>
                <w:sz w:val="20"/>
                <w:szCs w:val="20"/>
              </w:rPr>
              <w:t xml:space="preserve"> </w:t>
            </w:r>
            <w:r w:rsidRPr="005613FB">
              <w:rPr>
                <w:rFonts w:ascii="Times New Roman" w:hAnsi="Times New Roman" w:cs="Times New Roman"/>
                <w:b/>
                <w:bCs/>
                <w:color w:val="000000"/>
                <w:sz w:val="20"/>
                <w:szCs w:val="20"/>
              </w:rPr>
              <w:t>7.287,76</w:t>
            </w:r>
          </w:p>
        </w:tc>
      </w:tr>
      <w:tr w:rsidR="0093246A" w:rsidRPr="00D9263A" w14:paraId="7A421F3F" w14:textId="690F32DF" w:rsidTr="008029DA">
        <w:trPr>
          <w:trHeight w:val="288"/>
        </w:trPr>
        <w:tc>
          <w:tcPr>
            <w:tcW w:w="2127" w:type="dxa"/>
            <w:tcBorders>
              <w:top w:val="single" w:sz="4" w:space="0" w:color="auto"/>
              <w:left w:val="nil"/>
              <w:bottom w:val="nil"/>
              <w:right w:val="nil"/>
            </w:tcBorders>
            <w:shd w:val="clear" w:color="auto" w:fill="auto"/>
            <w:noWrap/>
            <w:vAlign w:val="center"/>
            <w:hideMark/>
          </w:tcPr>
          <w:p w14:paraId="07F5DEF8" w14:textId="06DDC0EE"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Paraná</w:t>
            </w:r>
          </w:p>
        </w:tc>
        <w:tc>
          <w:tcPr>
            <w:tcW w:w="989" w:type="dxa"/>
            <w:tcBorders>
              <w:top w:val="single" w:sz="4" w:space="0" w:color="auto"/>
              <w:left w:val="nil"/>
              <w:bottom w:val="nil"/>
              <w:right w:val="nil"/>
            </w:tcBorders>
            <w:vAlign w:val="center"/>
          </w:tcPr>
          <w:p w14:paraId="78110C99" w14:textId="1911E85F"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200</w:t>
            </w:r>
          </w:p>
        </w:tc>
        <w:tc>
          <w:tcPr>
            <w:tcW w:w="1132" w:type="dxa"/>
            <w:tcBorders>
              <w:top w:val="single" w:sz="4" w:space="0" w:color="auto"/>
              <w:left w:val="nil"/>
              <w:bottom w:val="nil"/>
              <w:right w:val="nil"/>
            </w:tcBorders>
            <w:vAlign w:val="center"/>
          </w:tcPr>
          <w:p w14:paraId="411D4896" w14:textId="5F0C4B05"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176</w:t>
            </w:r>
          </w:p>
        </w:tc>
        <w:tc>
          <w:tcPr>
            <w:tcW w:w="985" w:type="dxa"/>
            <w:tcBorders>
              <w:top w:val="single" w:sz="4" w:space="0" w:color="auto"/>
              <w:left w:val="nil"/>
              <w:bottom w:val="nil"/>
              <w:right w:val="nil"/>
            </w:tcBorders>
            <w:vAlign w:val="center"/>
          </w:tcPr>
          <w:p w14:paraId="1B7677D7" w14:textId="75A6D5BB"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53,19%</w:t>
            </w:r>
          </w:p>
        </w:tc>
        <w:tc>
          <w:tcPr>
            <w:tcW w:w="1004" w:type="dxa"/>
            <w:tcBorders>
              <w:top w:val="single" w:sz="4" w:space="0" w:color="auto"/>
              <w:left w:val="nil"/>
              <w:bottom w:val="nil"/>
              <w:right w:val="nil"/>
            </w:tcBorders>
            <w:vAlign w:val="center"/>
          </w:tcPr>
          <w:p w14:paraId="2AE02250" w14:textId="1C625BC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0,906</w:t>
            </w:r>
          </w:p>
        </w:tc>
        <w:tc>
          <w:tcPr>
            <w:tcW w:w="993" w:type="dxa"/>
            <w:tcBorders>
              <w:top w:val="single" w:sz="4" w:space="0" w:color="auto"/>
              <w:left w:val="nil"/>
              <w:bottom w:val="nil"/>
              <w:right w:val="nil"/>
            </w:tcBorders>
            <w:shd w:val="clear" w:color="auto" w:fill="auto"/>
            <w:noWrap/>
            <w:vAlign w:val="center"/>
          </w:tcPr>
          <w:p w14:paraId="7E779147" w14:textId="3B2E6C66"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52,19</w:t>
            </w:r>
          </w:p>
        </w:tc>
        <w:tc>
          <w:tcPr>
            <w:tcW w:w="1275" w:type="dxa"/>
            <w:tcBorders>
              <w:top w:val="single" w:sz="4" w:space="0" w:color="auto"/>
              <w:left w:val="nil"/>
              <w:bottom w:val="nil"/>
              <w:right w:val="nil"/>
            </w:tcBorders>
            <w:vAlign w:val="center"/>
          </w:tcPr>
          <w:p w14:paraId="071F95C3" w14:textId="5C53A3DA"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R$ 6.439,22</w:t>
            </w:r>
          </w:p>
        </w:tc>
      </w:tr>
      <w:tr w:rsidR="0093246A" w:rsidRPr="00D9263A" w14:paraId="14601390" w14:textId="61C107B2" w:rsidTr="008029DA">
        <w:trPr>
          <w:trHeight w:val="288"/>
        </w:trPr>
        <w:tc>
          <w:tcPr>
            <w:tcW w:w="2127" w:type="dxa"/>
            <w:tcBorders>
              <w:top w:val="nil"/>
              <w:left w:val="nil"/>
              <w:bottom w:val="nil"/>
              <w:right w:val="nil"/>
            </w:tcBorders>
            <w:shd w:val="clear" w:color="auto" w:fill="auto"/>
            <w:noWrap/>
            <w:vAlign w:val="center"/>
            <w:hideMark/>
          </w:tcPr>
          <w:p w14:paraId="55B5B523" w14:textId="046F31BC"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Rio Grande do Sul</w:t>
            </w:r>
          </w:p>
        </w:tc>
        <w:tc>
          <w:tcPr>
            <w:tcW w:w="989" w:type="dxa"/>
            <w:tcBorders>
              <w:top w:val="nil"/>
              <w:left w:val="nil"/>
              <w:bottom w:val="nil"/>
              <w:right w:val="nil"/>
            </w:tcBorders>
            <w:vAlign w:val="center"/>
          </w:tcPr>
          <w:p w14:paraId="20CC4519" w14:textId="04668F20"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201</w:t>
            </w:r>
          </w:p>
        </w:tc>
        <w:tc>
          <w:tcPr>
            <w:tcW w:w="1132" w:type="dxa"/>
            <w:tcBorders>
              <w:top w:val="nil"/>
              <w:left w:val="nil"/>
              <w:bottom w:val="nil"/>
              <w:right w:val="nil"/>
            </w:tcBorders>
            <w:vAlign w:val="center"/>
          </w:tcPr>
          <w:p w14:paraId="578388F4" w14:textId="6D8D5ED7"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292</w:t>
            </w:r>
          </w:p>
        </w:tc>
        <w:tc>
          <w:tcPr>
            <w:tcW w:w="985" w:type="dxa"/>
            <w:tcBorders>
              <w:top w:val="nil"/>
              <w:left w:val="nil"/>
              <w:bottom w:val="nil"/>
              <w:right w:val="nil"/>
            </w:tcBorders>
            <w:vAlign w:val="center"/>
          </w:tcPr>
          <w:p w14:paraId="6C29CD4F" w14:textId="637C625A"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40,77%</w:t>
            </w:r>
          </w:p>
        </w:tc>
        <w:tc>
          <w:tcPr>
            <w:tcW w:w="1004" w:type="dxa"/>
            <w:tcBorders>
              <w:top w:val="nil"/>
              <w:left w:val="nil"/>
              <w:bottom w:val="nil"/>
              <w:right w:val="nil"/>
            </w:tcBorders>
            <w:vAlign w:val="center"/>
          </w:tcPr>
          <w:p w14:paraId="1AB63348" w14:textId="35D60777"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0,856</w:t>
            </w:r>
          </w:p>
        </w:tc>
        <w:tc>
          <w:tcPr>
            <w:tcW w:w="993" w:type="dxa"/>
            <w:tcBorders>
              <w:top w:val="nil"/>
              <w:left w:val="nil"/>
              <w:bottom w:val="nil"/>
              <w:right w:val="nil"/>
            </w:tcBorders>
            <w:shd w:val="clear" w:color="auto" w:fill="auto"/>
            <w:noWrap/>
            <w:vAlign w:val="center"/>
          </w:tcPr>
          <w:p w14:paraId="36F2E64B" w14:textId="726E8B30"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52,02</w:t>
            </w:r>
          </w:p>
        </w:tc>
        <w:tc>
          <w:tcPr>
            <w:tcW w:w="1275" w:type="dxa"/>
            <w:tcBorders>
              <w:top w:val="nil"/>
              <w:left w:val="nil"/>
              <w:bottom w:val="nil"/>
              <w:right w:val="nil"/>
            </w:tcBorders>
            <w:vAlign w:val="center"/>
          </w:tcPr>
          <w:p w14:paraId="455117CC" w14:textId="18B8DB87"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7.755,28</w:t>
            </w:r>
          </w:p>
        </w:tc>
      </w:tr>
      <w:tr w:rsidR="0093246A" w:rsidRPr="00D9263A" w14:paraId="7E4AE046" w14:textId="530AC8AC" w:rsidTr="008029DA">
        <w:trPr>
          <w:trHeight w:val="288"/>
        </w:trPr>
        <w:tc>
          <w:tcPr>
            <w:tcW w:w="2127" w:type="dxa"/>
            <w:tcBorders>
              <w:top w:val="nil"/>
              <w:left w:val="nil"/>
              <w:bottom w:val="nil"/>
              <w:right w:val="nil"/>
            </w:tcBorders>
            <w:shd w:val="clear" w:color="auto" w:fill="auto"/>
            <w:noWrap/>
            <w:vAlign w:val="center"/>
            <w:hideMark/>
          </w:tcPr>
          <w:p w14:paraId="44DB415F" w14:textId="2AE8A17E" w:rsidR="005613FB" w:rsidRPr="00D9263A" w:rsidRDefault="005613FB" w:rsidP="0093246A">
            <w:pPr>
              <w:spacing w:after="0" w:line="240" w:lineRule="auto"/>
              <w:ind w:firstLineChars="100" w:firstLine="200"/>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color w:val="000000"/>
                <w:kern w:val="0"/>
                <w:sz w:val="20"/>
                <w:szCs w:val="20"/>
                <w:lang w:eastAsia="pt-BR"/>
                <w14:ligatures w14:val="none"/>
              </w:rPr>
              <w:t>Santa Catarina</w:t>
            </w:r>
          </w:p>
        </w:tc>
        <w:tc>
          <w:tcPr>
            <w:tcW w:w="989" w:type="dxa"/>
            <w:tcBorders>
              <w:top w:val="nil"/>
              <w:left w:val="nil"/>
              <w:bottom w:val="nil"/>
              <w:right w:val="nil"/>
            </w:tcBorders>
            <w:vAlign w:val="center"/>
          </w:tcPr>
          <w:p w14:paraId="7B40B1E1" w14:textId="6EE921DD"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113</w:t>
            </w:r>
          </w:p>
        </w:tc>
        <w:tc>
          <w:tcPr>
            <w:tcW w:w="1132" w:type="dxa"/>
            <w:tcBorders>
              <w:top w:val="nil"/>
              <w:left w:val="nil"/>
              <w:bottom w:val="nil"/>
              <w:right w:val="nil"/>
            </w:tcBorders>
            <w:vAlign w:val="center"/>
          </w:tcPr>
          <w:p w14:paraId="7BF4FF8B" w14:textId="00C51FFD"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169</w:t>
            </w:r>
          </w:p>
        </w:tc>
        <w:tc>
          <w:tcPr>
            <w:tcW w:w="985" w:type="dxa"/>
            <w:tcBorders>
              <w:top w:val="nil"/>
              <w:left w:val="nil"/>
              <w:bottom w:val="nil"/>
              <w:right w:val="nil"/>
            </w:tcBorders>
            <w:vAlign w:val="center"/>
          </w:tcPr>
          <w:p w14:paraId="00FC6C9D" w14:textId="2568D466"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40,07%</w:t>
            </w:r>
          </w:p>
        </w:tc>
        <w:tc>
          <w:tcPr>
            <w:tcW w:w="1004" w:type="dxa"/>
            <w:tcBorders>
              <w:top w:val="nil"/>
              <w:left w:val="nil"/>
              <w:bottom w:val="nil"/>
              <w:right w:val="nil"/>
            </w:tcBorders>
            <w:vAlign w:val="center"/>
          </w:tcPr>
          <w:p w14:paraId="6EDF72E9" w14:textId="41A91C55" w:rsidR="005613FB" w:rsidRPr="00D9263A"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D9263A">
              <w:rPr>
                <w:rFonts w:ascii="Times New Roman" w:hAnsi="Times New Roman" w:cs="Times New Roman"/>
                <w:color w:val="000000"/>
                <w:sz w:val="20"/>
                <w:szCs w:val="20"/>
              </w:rPr>
              <w:t>0,857</w:t>
            </w:r>
          </w:p>
        </w:tc>
        <w:tc>
          <w:tcPr>
            <w:tcW w:w="993" w:type="dxa"/>
            <w:tcBorders>
              <w:top w:val="nil"/>
              <w:left w:val="nil"/>
              <w:bottom w:val="nil"/>
              <w:right w:val="nil"/>
            </w:tcBorders>
            <w:shd w:val="clear" w:color="auto" w:fill="auto"/>
            <w:noWrap/>
            <w:vAlign w:val="center"/>
          </w:tcPr>
          <w:p w14:paraId="2A67ACFC" w14:textId="1AB85A80" w:rsidR="005613FB" w:rsidRPr="005613FB" w:rsidRDefault="005613FB" w:rsidP="0093246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5613FB">
              <w:rPr>
                <w:rFonts w:ascii="Times New Roman" w:hAnsi="Times New Roman" w:cs="Times New Roman"/>
                <w:color w:val="000000"/>
                <w:sz w:val="20"/>
                <w:szCs w:val="20"/>
              </w:rPr>
              <w:t>52,71</w:t>
            </w:r>
          </w:p>
        </w:tc>
        <w:tc>
          <w:tcPr>
            <w:tcW w:w="1275" w:type="dxa"/>
            <w:tcBorders>
              <w:top w:val="nil"/>
              <w:left w:val="nil"/>
              <w:bottom w:val="nil"/>
              <w:right w:val="nil"/>
            </w:tcBorders>
            <w:vAlign w:val="center"/>
          </w:tcPr>
          <w:p w14:paraId="5FC146F9" w14:textId="227A5AC4" w:rsidR="005613FB" w:rsidRPr="005613FB" w:rsidRDefault="005613FB" w:rsidP="0093246A">
            <w:pPr>
              <w:spacing w:after="0" w:line="240" w:lineRule="auto"/>
              <w:jc w:val="center"/>
              <w:rPr>
                <w:rFonts w:ascii="Times New Roman" w:hAnsi="Times New Roman" w:cs="Times New Roman"/>
                <w:color w:val="000000"/>
                <w:sz w:val="20"/>
                <w:szCs w:val="20"/>
              </w:rPr>
            </w:pPr>
            <w:r w:rsidRPr="005613FB">
              <w:rPr>
                <w:rFonts w:ascii="Times New Roman" w:hAnsi="Times New Roman" w:cs="Times New Roman"/>
                <w:color w:val="000000"/>
                <w:sz w:val="20"/>
                <w:szCs w:val="20"/>
              </w:rPr>
              <w:t>R$</w:t>
            </w:r>
            <w:r w:rsidR="0093246A">
              <w:rPr>
                <w:rFonts w:ascii="Times New Roman" w:hAnsi="Times New Roman" w:cs="Times New Roman"/>
                <w:color w:val="000000"/>
                <w:sz w:val="20"/>
                <w:szCs w:val="20"/>
              </w:rPr>
              <w:t xml:space="preserve"> </w:t>
            </w:r>
            <w:r w:rsidRPr="005613FB">
              <w:rPr>
                <w:rFonts w:ascii="Times New Roman" w:hAnsi="Times New Roman" w:cs="Times New Roman"/>
                <w:color w:val="000000"/>
                <w:sz w:val="20"/>
                <w:szCs w:val="20"/>
              </w:rPr>
              <w:t>7.601,83</w:t>
            </w:r>
          </w:p>
        </w:tc>
      </w:tr>
      <w:tr w:rsidR="005613FB" w:rsidRPr="00D9263A" w14:paraId="6E99B02B" w14:textId="14CCAC28" w:rsidTr="008029DA">
        <w:trPr>
          <w:trHeight w:val="288"/>
        </w:trPr>
        <w:tc>
          <w:tcPr>
            <w:tcW w:w="2127" w:type="dxa"/>
            <w:tcBorders>
              <w:top w:val="single" w:sz="4" w:space="0" w:color="95B3D7"/>
              <w:left w:val="nil"/>
              <w:bottom w:val="nil"/>
              <w:right w:val="nil"/>
            </w:tcBorders>
            <w:shd w:val="clear" w:color="DCE6F1" w:fill="DCE6F1"/>
            <w:noWrap/>
            <w:vAlign w:val="center"/>
            <w:hideMark/>
          </w:tcPr>
          <w:p w14:paraId="198ADEE9" w14:textId="77777777" w:rsidR="005613FB" w:rsidRPr="00D9263A" w:rsidRDefault="005613FB" w:rsidP="0093246A">
            <w:pPr>
              <w:spacing w:after="0" w:line="240" w:lineRule="auto"/>
              <w:rPr>
                <w:rFonts w:ascii="Times New Roman" w:eastAsia="Times New Roman" w:hAnsi="Times New Roman" w:cs="Times New Roman"/>
                <w:b/>
                <w:bCs/>
                <w:color w:val="000000"/>
                <w:kern w:val="0"/>
                <w:sz w:val="20"/>
                <w:szCs w:val="20"/>
                <w:lang w:eastAsia="pt-BR"/>
                <w14:ligatures w14:val="none"/>
              </w:rPr>
            </w:pPr>
            <w:r w:rsidRPr="00D9263A">
              <w:rPr>
                <w:rFonts w:ascii="Times New Roman" w:eastAsia="Times New Roman" w:hAnsi="Times New Roman" w:cs="Times New Roman"/>
                <w:b/>
                <w:bCs/>
                <w:color w:val="000000"/>
                <w:kern w:val="0"/>
                <w:sz w:val="20"/>
                <w:szCs w:val="20"/>
                <w:lang w:eastAsia="pt-BR"/>
                <w14:ligatures w14:val="none"/>
              </w:rPr>
              <w:t>Total Geral</w:t>
            </w:r>
          </w:p>
        </w:tc>
        <w:tc>
          <w:tcPr>
            <w:tcW w:w="989" w:type="dxa"/>
            <w:tcBorders>
              <w:top w:val="single" w:sz="4" w:space="0" w:color="95B3D7"/>
              <w:left w:val="nil"/>
              <w:bottom w:val="nil"/>
              <w:right w:val="nil"/>
            </w:tcBorders>
            <w:shd w:val="clear" w:color="DCE6F1" w:fill="DCE6F1"/>
            <w:vAlign w:val="center"/>
          </w:tcPr>
          <w:p w14:paraId="2B508185" w14:textId="0FB0AE9A"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2688</w:t>
            </w:r>
          </w:p>
        </w:tc>
        <w:tc>
          <w:tcPr>
            <w:tcW w:w="1132" w:type="dxa"/>
            <w:tcBorders>
              <w:top w:val="single" w:sz="4" w:space="0" w:color="95B3D7"/>
              <w:left w:val="nil"/>
              <w:bottom w:val="nil"/>
              <w:right w:val="nil"/>
            </w:tcBorders>
            <w:shd w:val="clear" w:color="DCE6F1" w:fill="DCE6F1"/>
            <w:vAlign w:val="center"/>
          </w:tcPr>
          <w:p w14:paraId="4A858682" w14:textId="08271148"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2705</w:t>
            </w:r>
          </w:p>
        </w:tc>
        <w:tc>
          <w:tcPr>
            <w:tcW w:w="985" w:type="dxa"/>
            <w:tcBorders>
              <w:top w:val="single" w:sz="4" w:space="0" w:color="95B3D7"/>
              <w:left w:val="nil"/>
              <w:bottom w:val="nil"/>
              <w:right w:val="nil"/>
            </w:tcBorders>
            <w:shd w:val="clear" w:color="DCE6F1" w:fill="DCE6F1"/>
            <w:vAlign w:val="center"/>
          </w:tcPr>
          <w:p w14:paraId="7F861618" w14:textId="5DCEA7A2"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49,84%</w:t>
            </w:r>
          </w:p>
        </w:tc>
        <w:tc>
          <w:tcPr>
            <w:tcW w:w="1004" w:type="dxa"/>
            <w:tcBorders>
              <w:top w:val="single" w:sz="4" w:space="0" w:color="95B3D7"/>
              <w:left w:val="nil"/>
              <w:bottom w:val="nil"/>
              <w:right w:val="nil"/>
            </w:tcBorders>
            <w:shd w:val="clear" w:color="DCE6F1" w:fill="DCE6F1"/>
            <w:vAlign w:val="center"/>
          </w:tcPr>
          <w:p w14:paraId="560A93FF" w14:textId="5C01DFB2" w:rsidR="005613FB" w:rsidRPr="00D9263A"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D9263A">
              <w:rPr>
                <w:rFonts w:ascii="Times New Roman" w:hAnsi="Times New Roman" w:cs="Times New Roman"/>
                <w:b/>
                <w:bCs/>
                <w:color w:val="000000"/>
                <w:sz w:val="20"/>
                <w:szCs w:val="20"/>
              </w:rPr>
              <w:t>0,885</w:t>
            </w:r>
          </w:p>
        </w:tc>
        <w:tc>
          <w:tcPr>
            <w:tcW w:w="993" w:type="dxa"/>
            <w:tcBorders>
              <w:top w:val="single" w:sz="4" w:space="0" w:color="95B3D7"/>
              <w:left w:val="nil"/>
              <w:bottom w:val="nil"/>
              <w:right w:val="nil"/>
            </w:tcBorders>
            <w:shd w:val="clear" w:color="DCE6F1" w:fill="DCE6F1"/>
            <w:noWrap/>
            <w:vAlign w:val="center"/>
          </w:tcPr>
          <w:p w14:paraId="7F963F52" w14:textId="6F0CB095" w:rsidR="005613FB" w:rsidRPr="005613FB" w:rsidRDefault="005613FB" w:rsidP="0093246A">
            <w:pPr>
              <w:spacing w:after="0" w:line="240" w:lineRule="auto"/>
              <w:jc w:val="center"/>
              <w:rPr>
                <w:rFonts w:ascii="Times New Roman" w:eastAsia="Times New Roman" w:hAnsi="Times New Roman" w:cs="Times New Roman"/>
                <w:b/>
                <w:bCs/>
                <w:color w:val="000000"/>
                <w:kern w:val="0"/>
                <w:sz w:val="20"/>
                <w:szCs w:val="20"/>
                <w:lang w:eastAsia="pt-BR"/>
                <w14:ligatures w14:val="none"/>
              </w:rPr>
            </w:pPr>
            <w:r w:rsidRPr="005613FB">
              <w:rPr>
                <w:rFonts w:ascii="Times New Roman" w:hAnsi="Times New Roman" w:cs="Times New Roman"/>
                <w:b/>
                <w:bCs/>
                <w:color w:val="000000"/>
                <w:sz w:val="20"/>
                <w:szCs w:val="20"/>
              </w:rPr>
              <w:t>48,70</w:t>
            </w:r>
          </w:p>
        </w:tc>
        <w:tc>
          <w:tcPr>
            <w:tcW w:w="1275" w:type="dxa"/>
            <w:tcBorders>
              <w:top w:val="single" w:sz="4" w:space="0" w:color="95B3D7"/>
              <w:left w:val="nil"/>
              <w:bottom w:val="nil"/>
              <w:right w:val="nil"/>
            </w:tcBorders>
            <w:shd w:val="clear" w:color="DCE6F1" w:fill="DCE6F1"/>
            <w:vAlign w:val="center"/>
          </w:tcPr>
          <w:p w14:paraId="0AF52B03" w14:textId="459B0D81" w:rsidR="005613FB" w:rsidRPr="005613FB" w:rsidRDefault="005613FB" w:rsidP="0093246A">
            <w:pPr>
              <w:spacing w:after="0" w:line="240" w:lineRule="auto"/>
              <w:jc w:val="center"/>
              <w:rPr>
                <w:rFonts w:ascii="Times New Roman" w:hAnsi="Times New Roman" w:cs="Times New Roman"/>
                <w:b/>
                <w:bCs/>
                <w:color w:val="000000"/>
                <w:sz w:val="20"/>
                <w:szCs w:val="20"/>
              </w:rPr>
            </w:pPr>
            <w:r w:rsidRPr="005613FB">
              <w:rPr>
                <w:rFonts w:ascii="Times New Roman" w:hAnsi="Times New Roman" w:cs="Times New Roman"/>
                <w:b/>
                <w:bCs/>
                <w:color w:val="000000"/>
                <w:sz w:val="20"/>
                <w:szCs w:val="20"/>
              </w:rPr>
              <w:t>R$ 6.141,51</w:t>
            </w:r>
          </w:p>
        </w:tc>
      </w:tr>
    </w:tbl>
    <w:p w14:paraId="23736C4B" w14:textId="33CF91AA" w:rsidR="00E201A4" w:rsidRPr="00E201A4" w:rsidRDefault="00E201A4" w:rsidP="00E201A4">
      <w:pPr>
        <w:spacing w:after="120" w:line="360" w:lineRule="auto"/>
        <w:ind w:firstLine="708"/>
        <w:jc w:val="both"/>
        <w:rPr>
          <w:rFonts w:ascii="Times New Roman" w:hAnsi="Times New Roman" w:cs="Times New Roman"/>
          <w:sz w:val="24"/>
          <w:szCs w:val="24"/>
        </w:rPr>
      </w:pPr>
      <w:r w:rsidRPr="00E201A4">
        <w:rPr>
          <w:rFonts w:ascii="Times New Roman" w:hAnsi="Times New Roman" w:cs="Times New Roman"/>
          <w:sz w:val="24"/>
          <w:szCs w:val="24"/>
        </w:rPr>
        <w:lastRenderedPageBreak/>
        <w:t xml:space="preserve">A análise dos dados por região revela padrões distintos de eficiência na alocação de recursos municipais em relação aos ODS. </w:t>
      </w:r>
      <w:r>
        <w:rPr>
          <w:rFonts w:ascii="Times New Roman" w:hAnsi="Times New Roman" w:cs="Times New Roman"/>
          <w:sz w:val="24"/>
          <w:szCs w:val="24"/>
        </w:rPr>
        <w:t>Da Tabela 13, o</w:t>
      </w:r>
      <w:r w:rsidRPr="00E201A4">
        <w:rPr>
          <w:rFonts w:ascii="Times New Roman" w:hAnsi="Times New Roman" w:cs="Times New Roman"/>
          <w:sz w:val="24"/>
          <w:szCs w:val="24"/>
        </w:rPr>
        <w:t xml:space="preserve">bserva-se uma considerável variação na eficiência entre as diferentes regiões do país. </w:t>
      </w:r>
      <w:r>
        <w:rPr>
          <w:rFonts w:ascii="Times New Roman" w:hAnsi="Times New Roman" w:cs="Times New Roman"/>
          <w:sz w:val="24"/>
          <w:szCs w:val="24"/>
        </w:rPr>
        <w:t>O</w:t>
      </w:r>
      <w:r w:rsidRPr="00E201A4">
        <w:rPr>
          <w:rFonts w:ascii="Times New Roman" w:hAnsi="Times New Roman" w:cs="Times New Roman"/>
          <w:sz w:val="24"/>
          <w:szCs w:val="24"/>
        </w:rPr>
        <w:t xml:space="preserve"> Nordeste desponta como a região com a maior eficiência média, </w:t>
      </w:r>
      <w:r>
        <w:rPr>
          <w:rFonts w:ascii="Times New Roman" w:hAnsi="Times New Roman" w:cs="Times New Roman"/>
          <w:sz w:val="24"/>
          <w:szCs w:val="24"/>
        </w:rPr>
        <w:t>0,</w:t>
      </w:r>
      <w:r w:rsidR="005613FB">
        <w:rPr>
          <w:rFonts w:ascii="Times New Roman" w:hAnsi="Times New Roman" w:cs="Times New Roman"/>
          <w:sz w:val="24"/>
          <w:szCs w:val="24"/>
        </w:rPr>
        <w:t>914</w:t>
      </w:r>
      <w:r>
        <w:rPr>
          <w:rFonts w:ascii="Times New Roman" w:hAnsi="Times New Roman" w:cs="Times New Roman"/>
          <w:sz w:val="24"/>
          <w:szCs w:val="24"/>
        </w:rPr>
        <w:t xml:space="preserve"> </w:t>
      </w:r>
      <w:r w:rsidRPr="00E201A4">
        <w:rPr>
          <w:rFonts w:ascii="Times New Roman" w:hAnsi="Times New Roman" w:cs="Times New Roman"/>
          <w:sz w:val="24"/>
          <w:szCs w:val="24"/>
        </w:rPr>
        <w:t xml:space="preserve">com </w:t>
      </w:r>
      <w:r w:rsidR="005613FB">
        <w:rPr>
          <w:rFonts w:ascii="Times New Roman" w:hAnsi="Times New Roman" w:cs="Times New Roman"/>
          <w:sz w:val="24"/>
          <w:szCs w:val="24"/>
        </w:rPr>
        <w:t>55,60</w:t>
      </w:r>
      <w:r w:rsidRPr="00E201A4">
        <w:rPr>
          <w:rFonts w:ascii="Times New Roman" w:hAnsi="Times New Roman" w:cs="Times New Roman"/>
          <w:sz w:val="24"/>
          <w:szCs w:val="24"/>
        </w:rPr>
        <w:t>%</w:t>
      </w:r>
      <w:r>
        <w:rPr>
          <w:rFonts w:ascii="Times New Roman" w:hAnsi="Times New Roman" w:cs="Times New Roman"/>
          <w:sz w:val="24"/>
          <w:szCs w:val="24"/>
        </w:rPr>
        <w:t xml:space="preserve"> dos seus municípios considerados eficientes</w:t>
      </w:r>
      <w:r w:rsidRPr="00E201A4">
        <w:rPr>
          <w:rFonts w:ascii="Times New Roman" w:hAnsi="Times New Roman" w:cs="Times New Roman"/>
          <w:sz w:val="24"/>
          <w:szCs w:val="24"/>
        </w:rPr>
        <w:t xml:space="preserve">, destacando-se estados como </w:t>
      </w:r>
      <w:r w:rsidR="005613FB">
        <w:rPr>
          <w:rFonts w:ascii="Times New Roman" w:hAnsi="Times New Roman" w:cs="Times New Roman"/>
          <w:sz w:val="24"/>
          <w:szCs w:val="24"/>
        </w:rPr>
        <w:t>Ceará</w:t>
      </w:r>
      <w:r>
        <w:rPr>
          <w:rFonts w:ascii="Times New Roman" w:hAnsi="Times New Roman" w:cs="Times New Roman"/>
          <w:sz w:val="24"/>
          <w:szCs w:val="24"/>
        </w:rPr>
        <w:t xml:space="preserve"> (</w:t>
      </w:r>
      <w:r w:rsidR="005613FB">
        <w:rPr>
          <w:rFonts w:ascii="Times New Roman" w:hAnsi="Times New Roman" w:cs="Times New Roman"/>
          <w:sz w:val="24"/>
          <w:szCs w:val="24"/>
        </w:rPr>
        <w:t>0,961</w:t>
      </w:r>
      <w:r>
        <w:rPr>
          <w:rFonts w:ascii="Times New Roman" w:hAnsi="Times New Roman" w:cs="Times New Roman"/>
          <w:sz w:val="24"/>
          <w:szCs w:val="24"/>
        </w:rPr>
        <w:t>),</w:t>
      </w:r>
      <w:r w:rsidRPr="00E201A4">
        <w:rPr>
          <w:rFonts w:ascii="Times New Roman" w:hAnsi="Times New Roman" w:cs="Times New Roman"/>
          <w:sz w:val="24"/>
          <w:szCs w:val="24"/>
        </w:rPr>
        <w:t xml:space="preserve"> </w:t>
      </w:r>
      <w:r w:rsidR="005613FB">
        <w:rPr>
          <w:rFonts w:ascii="Times New Roman" w:hAnsi="Times New Roman" w:cs="Times New Roman"/>
          <w:sz w:val="24"/>
          <w:szCs w:val="24"/>
        </w:rPr>
        <w:t>Pernambuco (0,959), Maranhão (0,957) e Bahia (0,942)</w:t>
      </w:r>
      <w:r w:rsidRPr="00E201A4">
        <w:rPr>
          <w:rFonts w:ascii="Times New Roman" w:hAnsi="Times New Roman" w:cs="Times New Roman"/>
          <w:sz w:val="24"/>
          <w:szCs w:val="24"/>
        </w:rPr>
        <w:t>. Em contraste, o Centro-Oeste surge com a menor eficiência média</w:t>
      </w:r>
      <w:r>
        <w:rPr>
          <w:rFonts w:ascii="Times New Roman" w:hAnsi="Times New Roman" w:cs="Times New Roman"/>
          <w:sz w:val="24"/>
          <w:szCs w:val="24"/>
        </w:rPr>
        <w:t xml:space="preserve"> (0,</w:t>
      </w:r>
      <w:r w:rsidR="005613FB">
        <w:rPr>
          <w:rFonts w:ascii="Times New Roman" w:hAnsi="Times New Roman" w:cs="Times New Roman"/>
          <w:sz w:val="24"/>
          <w:szCs w:val="24"/>
        </w:rPr>
        <w:t>82</w:t>
      </w:r>
      <w:r w:rsidR="00555790">
        <w:rPr>
          <w:rFonts w:ascii="Times New Roman" w:hAnsi="Times New Roman" w:cs="Times New Roman"/>
          <w:sz w:val="24"/>
          <w:szCs w:val="24"/>
        </w:rPr>
        <w:t>0</w:t>
      </w:r>
      <w:r>
        <w:rPr>
          <w:rFonts w:ascii="Times New Roman" w:hAnsi="Times New Roman" w:cs="Times New Roman"/>
          <w:sz w:val="24"/>
          <w:szCs w:val="24"/>
        </w:rPr>
        <w:t>)</w:t>
      </w:r>
      <w:r w:rsidRPr="00E201A4">
        <w:rPr>
          <w:rFonts w:ascii="Times New Roman" w:hAnsi="Times New Roman" w:cs="Times New Roman"/>
          <w:sz w:val="24"/>
          <w:szCs w:val="24"/>
        </w:rPr>
        <w:t>. Essas discrepâncias regionais ressaltam a importância de abordagens diferenciadas e direcionadas para o desenvolvimento sustentável em cada área geográfica do Brasil.</w:t>
      </w:r>
    </w:p>
    <w:p w14:paraId="0DABD31D" w14:textId="7BC98ADB" w:rsidR="00E94E18" w:rsidRDefault="00E201A4" w:rsidP="00E201A4">
      <w:pPr>
        <w:spacing w:after="120" w:line="360" w:lineRule="auto"/>
        <w:ind w:firstLine="708"/>
        <w:jc w:val="both"/>
        <w:rPr>
          <w:rFonts w:ascii="Times New Roman" w:hAnsi="Times New Roman" w:cs="Times New Roman"/>
          <w:sz w:val="24"/>
          <w:szCs w:val="24"/>
        </w:rPr>
      </w:pPr>
      <w:r w:rsidRPr="00E201A4">
        <w:rPr>
          <w:rFonts w:ascii="Times New Roman" w:hAnsi="Times New Roman" w:cs="Times New Roman"/>
          <w:sz w:val="24"/>
          <w:szCs w:val="24"/>
        </w:rPr>
        <w:t xml:space="preserve">Além disso, a análise dos dados por região revela nuances importantes que podem orientar políticas públicas e estratégias de desenvolvimento. Por exemplo, enquanto o Sudeste, a região mais populosa e economicamente desenvolvida, exibe uma eficiência média relativamente alta de </w:t>
      </w:r>
      <w:r>
        <w:rPr>
          <w:rFonts w:ascii="Times New Roman" w:hAnsi="Times New Roman" w:cs="Times New Roman"/>
          <w:sz w:val="24"/>
          <w:szCs w:val="24"/>
        </w:rPr>
        <w:t>0,</w:t>
      </w:r>
      <w:r w:rsidR="00555790">
        <w:rPr>
          <w:rFonts w:ascii="Times New Roman" w:hAnsi="Times New Roman" w:cs="Times New Roman"/>
          <w:sz w:val="24"/>
          <w:szCs w:val="24"/>
        </w:rPr>
        <w:t>883</w:t>
      </w:r>
      <w:r w:rsidRPr="00E201A4">
        <w:rPr>
          <w:rFonts w:ascii="Times New Roman" w:hAnsi="Times New Roman" w:cs="Times New Roman"/>
          <w:sz w:val="24"/>
          <w:szCs w:val="24"/>
        </w:rPr>
        <w:t xml:space="preserve">, há variações significativas dentro do próprio conjunto de estados. </w:t>
      </w:r>
      <w:r w:rsidR="0093576E">
        <w:rPr>
          <w:rFonts w:ascii="Times New Roman" w:hAnsi="Times New Roman" w:cs="Times New Roman"/>
          <w:sz w:val="24"/>
          <w:szCs w:val="24"/>
        </w:rPr>
        <w:t>Espírito Santo</w:t>
      </w:r>
      <w:r w:rsidRPr="00E201A4">
        <w:rPr>
          <w:rFonts w:ascii="Times New Roman" w:hAnsi="Times New Roman" w:cs="Times New Roman"/>
          <w:sz w:val="24"/>
          <w:szCs w:val="24"/>
        </w:rPr>
        <w:t xml:space="preserve">, por exemplo, apresenta uma eficiência de </w:t>
      </w:r>
      <w:r w:rsidR="0093576E">
        <w:rPr>
          <w:rFonts w:ascii="Times New Roman" w:hAnsi="Times New Roman" w:cs="Times New Roman"/>
          <w:sz w:val="24"/>
          <w:szCs w:val="24"/>
        </w:rPr>
        <w:t>0,937</w:t>
      </w:r>
      <w:r>
        <w:rPr>
          <w:rFonts w:ascii="Times New Roman" w:hAnsi="Times New Roman" w:cs="Times New Roman"/>
          <w:sz w:val="24"/>
          <w:szCs w:val="24"/>
        </w:rPr>
        <w:t xml:space="preserve"> com </w:t>
      </w:r>
      <w:r w:rsidR="0093576E">
        <w:rPr>
          <w:rFonts w:ascii="Times New Roman" w:hAnsi="Times New Roman" w:cs="Times New Roman"/>
          <w:sz w:val="24"/>
          <w:szCs w:val="24"/>
        </w:rPr>
        <w:t>55,13</w:t>
      </w:r>
      <w:r w:rsidRPr="00E201A4">
        <w:rPr>
          <w:rFonts w:ascii="Times New Roman" w:hAnsi="Times New Roman" w:cs="Times New Roman"/>
          <w:sz w:val="24"/>
          <w:szCs w:val="24"/>
        </w:rPr>
        <w:t>%</w:t>
      </w:r>
      <w:r>
        <w:rPr>
          <w:rFonts w:ascii="Times New Roman" w:hAnsi="Times New Roman" w:cs="Times New Roman"/>
          <w:sz w:val="24"/>
          <w:szCs w:val="24"/>
        </w:rPr>
        <w:t xml:space="preserve"> de seus municípios eficientes</w:t>
      </w:r>
      <w:r w:rsidRPr="00E201A4">
        <w:rPr>
          <w:rFonts w:ascii="Times New Roman" w:hAnsi="Times New Roman" w:cs="Times New Roman"/>
          <w:sz w:val="24"/>
          <w:szCs w:val="24"/>
        </w:rPr>
        <w:t xml:space="preserve">, em comparação com estado </w:t>
      </w:r>
      <w:r w:rsidR="00E94E18">
        <w:rPr>
          <w:rFonts w:ascii="Times New Roman" w:hAnsi="Times New Roman" w:cs="Times New Roman"/>
          <w:sz w:val="24"/>
          <w:szCs w:val="24"/>
        </w:rPr>
        <w:t>d</w:t>
      </w:r>
      <w:r w:rsidR="0093576E">
        <w:rPr>
          <w:rFonts w:ascii="Times New Roman" w:hAnsi="Times New Roman" w:cs="Times New Roman"/>
          <w:sz w:val="24"/>
          <w:szCs w:val="24"/>
        </w:rPr>
        <w:t>o Rio de Janeiro</w:t>
      </w:r>
      <w:r w:rsidRPr="00E201A4">
        <w:rPr>
          <w:rFonts w:ascii="Times New Roman" w:hAnsi="Times New Roman" w:cs="Times New Roman"/>
          <w:sz w:val="24"/>
          <w:szCs w:val="24"/>
        </w:rPr>
        <w:t xml:space="preserve">, que registra a </w:t>
      </w:r>
      <w:r w:rsidR="00E94E18">
        <w:rPr>
          <w:rFonts w:ascii="Times New Roman" w:hAnsi="Times New Roman" w:cs="Times New Roman"/>
          <w:sz w:val="24"/>
          <w:szCs w:val="24"/>
        </w:rPr>
        <w:t xml:space="preserve">menor </w:t>
      </w:r>
      <w:r w:rsidRPr="00E201A4">
        <w:rPr>
          <w:rFonts w:ascii="Times New Roman" w:hAnsi="Times New Roman" w:cs="Times New Roman"/>
          <w:sz w:val="24"/>
          <w:szCs w:val="24"/>
        </w:rPr>
        <w:t xml:space="preserve">eficiência </w:t>
      </w:r>
      <w:r w:rsidR="00E94E18">
        <w:rPr>
          <w:rFonts w:ascii="Times New Roman" w:hAnsi="Times New Roman" w:cs="Times New Roman"/>
          <w:sz w:val="24"/>
          <w:szCs w:val="24"/>
        </w:rPr>
        <w:t>da região de</w:t>
      </w:r>
      <w:r w:rsidRPr="00E201A4">
        <w:rPr>
          <w:rFonts w:ascii="Times New Roman" w:hAnsi="Times New Roman" w:cs="Times New Roman"/>
          <w:sz w:val="24"/>
          <w:szCs w:val="24"/>
        </w:rPr>
        <w:t xml:space="preserve"> </w:t>
      </w:r>
      <w:r w:rsidR="0093576E">
        <w:rPr>
          <w:rFonts w:ascii="Times New Roman" w:hAnsi="Times New Roman" w:cs="Times New Roman"/>
          <w:sz w:val="24"/>
          <w:szCs w:val="24"/>
        </w:rPr>
        <w:t>0,868</w:t>
      </w:r>
      <w:r w:rsidR="00E94E18">
        <w:rPr>
          <w:rFonts w:ascii="Times New Roman" w:hAnsi="Times New Roman" w:cs="Times New Roman"/>
          <w:sz w:val="24"/>
          <w:szCs w:val="24"/>
        </w:rPr>
        <w:t xml:space="preserve"> e com </w:t>
      </w:r>
      <w:r w:rsidR="0093576E">
        <w:rPr>
          <w:rFonts w:ascii="Times New Roman" w:hAnsi="Times New Roman" w:cs="Times New Roman"/>
          <w:sz w:val="24"/>
          <w:szCs w:val="24"/>
        </w:rPr>
        <w:t>50,76</w:t>
      </w:r>
      <w:r w:rsidRPr="00E201A4">
        <w:rPr>
          <w:rFonts w:ascii="Times New Roman" w:hAnsi="Times New Roman" w:cs="Times New Roman"/>
          <w:sz w:val="24"/>
          <w:szCs w:val="24"/>
        </w:rPr>
        <w:t>%</w:t>
      </w:r>
      <w:r w:rsidR="00E94E18">
        <w:rPr>
          <w:rFonts w:ascii="Times New Roman" w:hAnsi="Times New Roman" w:cs="Times New Roman"/>
          <w:sz w:val="24"/>
          <w:szCs w:val="24"/>
        </w:rPr>
        <w:t xml:space="preserve"> de seus municípios considerados eficientes</w:t>
      </w:r>
      <w:r w:rsidRPr="00E201A4">
        <w:rPr>
          <w:rFonts w:ascii="Times New Roman" w:hAnsi="Times New Roman" w:cs="Times New Roman"/>
          <w:sz w:val="24"/>
          <w:szCs w:val="24"/>
        </w:rPr>
        <w:t xml:space="preserve">. Essas discrepâncias </w:t>
      </w:r>
      <w:r w:rsidR="007F55E5" w:rsidRPr="00E201A4">
        <w:rPr>
          <w:rFonts w:ascii="Times New Roman" w:hAnsi="Times New Roman" w:cs="Times New Roman"/>
          <w:sz w:val="24"/>
          <w:szCs w:val="24"/>
        </w:rPr>
        <w:t>intrarregionais</w:t>
      </w:r>
      <w:r w:rsidRPr="00E201A4">
        <w:rPr>
          <w:rFonts w:ascii="Times New Roman" w:hAnsi="Times New Roman" w:cs="Times New Roman"/>
          <w:sz w:val="24"/>
          <w:szCs w:val="24"/>
        </w:rPr>
        <w:t xml:space="preserve"> destacam a necessidade de uma análise mais </w:t>
      </w:r>
      <w:r w:rsidR="00E94E18">
        <w:rPr>
          <w:rFonts w:ascii="Times New Roman" w:hAnsi="Times New Roman" w:cs="Times New Roman"/>
          <w:sz w:val="24"/>
          <w:szCs w:val="24"/>
        </w:rPr>
        <w:t>detalhada</w:t>
      </w:r>
      <w:r w:rsidRPr="00E201A4">
        <w:rPr>
          <w:rFonts w:ascii="Times New Roman" w:hAnsi="Times New Roman" w:cs="Times New Roman"/>
          <w:sz w:val="24"/>
          <w:szCs w:val="24"/>
        </w:rPr>
        <w:t xml:space="preserve">, considerando as especificidades locais e as políticas implementadas em cada estado. </w:t>
      </w:r>
    </w:p>
    <w:p w14:paraId="3850C854" w14:textId="630A548F" w:rsidR="000D1CE6" w:rsidRDefault="00A5137D" w:rsidP="00A17CB2">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Cabe ressaltar que o fato de uma região ser mais eficiente que outra não quer dizer que ela é melhor em termos de resultados</w:t>
      </w:r>
      <w:r w:rsidR="0003529B">
        <w:rPr>
          <w:rFonts w:ascii="Times New Roman" w:hAnsi="Times New Roman" w:cs="Times New Roman"/>
          <w:sz w:val="24"/>
          <w:szCs w:val="24"/>
        </w:rPr>
        <w:t>,</w:t>
      </w:r>
      <w:r>
        <w:rPr>
          <w:rFonts w:ascii="Times New Roman" w:hAnsi="Times New Roman" w:cs="Times New Roman"/>
          <w:sz w:val="24"/>
          <w:szCs w:val="24"/>
        </w:rPr>
        <w:t xml:space="preserve"> que outra região, mas sim que ela consegue fazer um bom uso dos seus insumos para geração de </w:t>
      </w:r>
      <w:r w:rsidR="00647344">
        <w:rPr>
          <w:rFonts w:ascii="Times New Roman" w:hAnsi="Times New Roman" w:cs="Times New Roman"/>
          <w:sz w:val="24"/>
          <w:szCs w:val="24"/>
        </w:rPr>
        <w:t>seus outputs</w:t>
      </w:r>
      <w:r>
        <w:rPr>
          <w:rFonts w:ascii="Times New Roman" w:hAnsi="Times New Roman" w:cs="Times New Roman"/>
          <w:sz w:val="24"/>
          <w:szCs w:val="24"/>
        </w:rPr>
        <w:t xml:space="preserve">. Conforme observado na Tabela </w:t>
      </w:r>
      <w:r w:rsidR="00A17CB2">
        <w:rPr>
          <w:rFonts w:ascii="Times New Roman" w:hAnsi="Times New Roman" w:cs="Times New Roman"/>
          <w:sz w:val="24"/>
          <w:szCs w:val="24"/>
        </w:rPr>
        <w:t>1</w:t>
      </w:r>
      <w:r>
        <w:rPr>
          <w:rFonts w:ascii="Times New Roman" w:hAnsi="Times New Roman" w:cs="Times New Roman"/>
          <w:sz w:val="24"/>
          <w:szCs w:val="24"/>
        </w:rPr>
        <w:t>3, as regiões Nor</w:t>
      </w:r>
      <w:r w:rsidR="00A17CB2">
        <w:rPr>
          <w:rFonts w:ascii="Times New Roman" w:hAnsi="Times New Roman" w:cs="Times New Roman"/>
          <w:sz w:val="24"/>
          <w:szCs w:val="24"/>
        </w:rPr>
        <w:t>te</w:t>
      </w:r>
      <w:r>
        <w:rPr>
          <w:rFonts w:ascii="Times New Roman" w:hAnsi="Times New Roman" w:cs="Times New Roman"/>
          <w:sz w:val="24"/>
          <w:szCs w:val="24"/>
        </w:rPr>
        <w:t xml:space="preserve"> e Nor</w:t>
      </w:r>
      <w:r w:rsidR="00A17CB2">
        <w:rPr>
          <w:rFonts w:ascii="Times New Roman" w:hAnsi="Times New Roman" w:cs="Times New Roman"/>
          <w:sz w:val="24"/>
          <w:szCs w:val="24"/>
        </w:rPr>
        <w:t>deste</w:t>
      </w:r>
      <w:r>
        <w:rPr>
          <w:rFonts w:ascii="Times New Roman" w:hAnsi="Times New Roman" w:cs="Times New Roman"/>
          <w:sz w:val="24"/>
          <w:szCs w:val="24"/>
        </w:rPr>
        <w:t xml:space="preserve"> possuem os piores resultados médios de ODS comparados com o restante d</w:t>
      </w:r>
      <w:r w:rsidR="00A17CB2">
        <w:rPr>
          <w:rFonts w:ascii="Times New Roman" w:hAnsi="Times New Roman" w:cs="Times New Roman"/>
          <w:sz w:val="24"/>
          <w:szCs w:val="24"/>
        </w:rPr>
        <w:t>as regiões do</w:t>
      </w:r>
      <w:r>
        <w:rPr>
          <w:rFonts w:ascii="Times New Roman" w:hAnsi="Times New Roman" w:cs="Times New Roman"/>
          <w:sz w:val="24"/>
          <w:szCs w:val="24"/>
        </w:rPr>
        <w:t xml:space="preserve"> país, no entanto</w:t>
      </w:r>
      <w:r w:rsidR="00647344">
        <w:rPr>
          <w:rFonts w:ascii="Times New Roman" w:hAnsi="Times New Roman" w:cs="Times New Roman"/>
          <w:sz w:val="24"/>
          <w:szCs w:val="24"/>
        </w:rPr>
        <w:t>,</w:t>
      </w:r>
      <w:r>
        <w:rPr>
          <w:rFonts w:ascii="Times New Roman" w:hAnsi="Times New Roman" w:cs="Times New Roman"/>
          <w:sz w:val="24"/>
          <w:szCs w:val="24"/>
        </w:rPr>
        <w:t xml:space="preserve"> </w:t>
      </w:r>
      <w:r w:rsidR="0003529B">
        <w:rPr>
          <w:rFonts w:ascii="Times New Roman" w:hAnsi="Times New Roman" w:cs="Times New Roman"/>
          <w:sz w:val="24"/>
          <w:szCs w:val="24"/>
        </w:rPr>
        <w:t xml:space="preserve">são as regiões </w:t>
      </w:r>
      <w:r w:rsidR="00A17CB2">
        <w:rPr>
          <w:rFonts w:ascii="Times New Roman" w:hAnsi="Times New Roman" w:cs="Times New Roman"/>
          <w:sz w:val="24"/>
          <w:szCs w:val="24"/>
        </w:rPr>
        <w:t xml:space="preserve">com os menores orçamentos </w:t>
      </w:r>
      <w:r w:rsidR="00A17CB2" w:rsidRPr="00A17CB2">
        <w:rPr>
          <w:rFonts w:ascii="Times New Roman" w:hAnsi="Times New Roman" w:cs="Times New Roman"/>
          <w:i/>
          <w:iCs/>
          <w:sz w:val="24"/>
          <w:szCs w:val="24"/>
        </w:rPr>
        <w:t>per capita</w:t>
      </w:r>
      <w:r w:rsidR="00A17CB2">
        <w:rPr>
          <w:rFonts w:ascii="Times New Roman" w:hAnsi="Times New Roman" w:cs="Times New Roman"/>
          <w:sz w:val="24"/>
          <w:szCs w:val="24"/>
        </w:rPr>
        <w:t xml:space="preserve"> o que resulta em sua maior eficiência. </w:t>
      </w:r>
    </w:p>
    <w:p w14:paraId="1A00B1FA" w14:textId="403FC7FC" w:rsidR="0055487C" w:rsidRDefault="0003529B" w:rsidP="00E201A4">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 meio do Teste de Mann-Whitney é possível </w:t>
      </w:r>
      <w:r w:rsidR="00647344">
        <w:rPr>
          <w:rFonts w:ascii="Times New Roman" w:hAnsi="Times New Roman" w:cs="Times New Roman"/>
          <w:sz w:val="24"/>
          <w:szCs w:val="24"/>
        </w:rPr>
        <w:t>comprova</w:t>
      </w:r>
      <w:r>
        <w:rPr>
          <w:rFonts w:ascii="Times New Roman" w:hAnsi="Times New Roman" w:cs="Times New Roman"/>
          <w:sz w:val="24"/>
          <w:szCs w:val="24"/>
        </w:rPr>
        <w:t>r (p-value = 0) que os municípios da região Nordeste possuem os menores orçamentos per capita do país</w:t>
      </w:r>
      <w:r w:rsidR="00647344">
        <w:rPr>
          <w:rFonts w:ascii="Times New Roman" w:hAnsi="Times New Roman" w:cs="Times New Roman"/>
          <w:sz w:val="24"/>
          <w:szCs w:val="24"/>
        </w:rPr>
        <w:t>, seguido pela região norte</w:t>
      </w:r>
      <w:r w:rsidR="000D1CE6">
        <w:rPr>
          <w:rFonts w:ascii="Times New Roman" w:hAnsi="Times New Roman" w:cs="Times New Roman"/>
          <w:sz w:val="24"/>
          <w:szCs w:val="24"/>
        </w:rPr>
        <w:t xml:space="preserve"> e</w:t>
      </w:r>
      <w:r w:rsidR="00647344">
        <w:rPr>
          <w:rFonts w:ascii="Times New Roman" w:hAnsi="Times New Roman" w:cs="Times New Roman"/>
          <w:sz w:val="24"/>
          <w:szCs w:val="24"/>
        </w:rPr>
        <w:t xml:space="preserve"> os ODS de ambas as regiões</w:t>
      </w:r>
      <w:r w:rsidR="000D1CE6">
        <w:rPr>
          <w:rFonts w:ascii="Times New Roman" w:hAnsi="Times New Roman" w:cs="Times New Roman"/>
          <w:sz w:val="24"/>
          <w:szCs w:val="24"/>
        </w:rPr>
        <w:t>,</w:t>
      </w:r>
      <w:r w:rsidR="00647344">
        <w:rPr>
          <w:rFonts w:ascii="Times New Roman" w:hAnsi="Times New Roman" w:cs="Times New Roman"/>
          <w:sz w:val="24"/>
          <w:szCs w:val="24"/>
        </w:rPr>
        <w:t xml:space="preserve"> também são os menores do país.</w:t>
      </w:r>
      <w:r w:rsidR="000D1CE6">
        <w:rPr>
          <w:rFonts w:ascii="Times New Roman" w:hAnsi="Times New Roman" w:cs="Times New Roman"/>
          <w:sz w:val="24"/>
          <w:szCs w:val="24"/>
        </w:rPr>
        <w:t xml:space="preserve"> M</w:t>
      </w:r>
      <w:r w:rsidR="000D1CE6" w:rsidRPr="000D1CE6">
        <w:rPr>
          <w:rFonts w:ascii="Times New Roman" w:hAnsi="Times New Roman" w:cs="Times New Roman"/>
          <w:sz w:val="24"/>
          <w:szCs w:val="24"/>
        </w:rPr>
        <w:t>esmo operando com orçamentos per capita relativamente baixos, os municípios dessas regiões conseguem gerar outputs que, embora sejam menores em comparação com outras regiões, refletem um uso eficiente dos insumos disponíveis. Isso sugere que, embora haja espaço para melhorias nos resultados absolutos dos ODS, a eficiência na alocação de recursos é uma área de destaque nessas regiões.</w:t>
      </w:r>
      <w:r w:rsidR="000D1CE6">
        <w:rPr>
          <w:rFonts w:ascii="Times New Roman" w:hAnsi="Times New Roman" w:cs="Times New Roman"/>
          <w:sz w:val="24"/>
          <w:szCs w:val="24"/>
        </w:rPr>
        <w:t xml:space="preserve"> Assim</w:t>
      </w:r>
      <w:r w:rsidR="00E201A4" w:rsidRPr="00E201A4">
        <w:rPr>
          <w:rFonts w:ascii="Times New Roman" w:hAnsi="Times New Roman" w:cs="Times New Roman"/>
          <w:sz w:val="24"/>
          <w:szCs w:val="24"/>
        </w:rPr>
        <w:t xml:space="preserve">, compreender os padrões de </w:t>
      </w:r>
      <w:r w:rsidR="00E201A4" w:rsidRPr="00E201A4">
        <w:rPr>
          <w:rFonts w:ascii="Times New Roman" w:hAnsi="Times New Roman" w:cs="Times New Roman"/>
          <w:sz w:val="24"/>
          <w:szCs w:val="24"/>
        </w:rPr>
        <w:lastRenderedPageBreak/>
        <w:t xml:space="preserve">eficiência por região </w:t>
      </w:r>
      <w:r w:rsidR="000D1CE6">
        <w:rPr>
          <w:rFonts w:ascii="Times New Roman" w:hAnsi="Times New Roman" w:cs="Times New Roman"/>
          <w:sz w:val="24"/>
          <w:szCs w:val="24"/>
        </w:rPr>
        <w:t xml:space="preserve">pode </w:t>
      </w:r>
      <w:r w:rsidR="00E201A4" w:rsidRPr="00E201A4">
        <w:rPr>
          <w:rFonts w:ascii="Times New Roman" w:hAnsi="Times New Roman" w:cs="Times New Roman"/>
          <w:sz w:val="24"/>
          <w:szCs w:val="24"/>
        </w:rPr>
        <w:t>permit</w:t>
      </w:r>
      <w:r w:rsidR="000D1CE6">
        <w:rPr>
          <w:rFonts w:ascii="Times New Roman" w:hAnsi="Times New Roman" w:cs="Times New Roman"/>
          <w:sz w:val="24"/>
          <w:szCs w:val="24"/>
        </w:rPr>
        <w:t>ir</w:t>
      </w:r>
      <w:r w:rsidR="00E201A4" w:rsidRPr="00E201A4">
        <w:rPr>
          <w:rFonts w:ascii="Times New Roman" w:hAnsi="Times New Roman" w:cs="Times New Roman"/>
          <w:sz w:val="24"/>
          <w:szCs w:val="24"/>
        </w:rPr>
        <w:t xml:space="preserve"> uma abordagem mais precisa e direcionada para promover o desenvolvimento sustentável em todo o </w:t>
      </w:r>
      <w:r w:rsidR="000D1CE6">
        <w:rPr>
          <w:rFonts w:ascii="Times New Roman" w:hAnsi="Times New Roman" w:cs="Times New Roman"/>
          <w:sz w:val="24"/>
          <w:szCs w:val="24"/>
        </w:rPr>
        <w:t>país</w:t>
      </w:r>
      <w:r w:rsidR="00E201A4" w:rsidRPr="00E201A4">
        <w:rPr>
          <w:rFonts w:ascii="Times New Roman" w:hAnsi="Times New Roman" w:cs="Times New Roman"/>
          <w:sz w:val="24"/>
          <w:szCs w:val="24"/>
        </w:rPr>
        <w:t>.</w:t>
      </w:r>
    </w:p>
    <w:p w14:paraId="3C50DBF5" w14:textId="2B586BD8" w:rsidR="00013BE7" w:rsidRDefault="009A4FFD" w:rsidP="00013BE7">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modo a responder a </w:t>
      </w:r>
      <w:r w:rsidR="00E201A4">
        <w:rPr>
          <w:rFonts w:ascii="Times New Roman" w:hAnsi="Times New Roman" w:cs="Times New Roman"/>
          <w:sz w:val="24"/>
          <w:szCs w:val="24"/>
        </w:rPr>
        <w:t>sexta</w:t>
      </w:r>
      <w:r>
        <w:rPr>
          <w:rFonts w:ascii="Times New Roman" w:hAnsi="Times New Roman" w:cs="Times New Roman"/>
          <w:sz w:val="24"/>
          <w:szCs w:val="24"/>
        </w:rPr>
        <w:t xml:space="preserve"> pergunta de pesquisa</w:t>
      </w:r>
      <w:r w:rsidR="00013BE7">
        <w:rPr>
          <w:rFonts w:ascii="Times New Roman" w:hAnsi="Times New Roman" w:cs="Times New Roman"/>
          <w:sz w:val="24"/>
          <w:szCs w:val="24"/>
        </w:rPr>
        <w:t>,</w:t>
      </w:r>
      <w:r w:rsidR="00013BE7" w:rsidRPr="00013BE7">
        <w:rPr>
          <w:rFonts w:ascii="Times New Roman" w:hAnsi="Times New Roman" w:cs="Times New Roman"/>
          <w:sz w:val="24"/>
          <w:szCs w:val="24"/>
        </w:rPr>
        <w:t xml:space="preserve"> foi calculada </w:t>
      </w:r>
      <w:r w:rsidR="00013BE7">
        <w:rPr>
          <w:rFonts w:ascii="Times New Roman" w:hAnsi="Times New Roman" w:cs="Times New Roman"/>
          <w:sz w:val="24"/>
          <w:szCs w:val="24"/>
        </w:rPr>
        <w:t>a existência de</w:t>
      </w:r>
      <w:r w:rsidR="00AC6BD7">
        <w:rPr>
          <w:rFonts w:ascii="Times New Roman" w:hAnsi="Times New Roman" w:cs="Times New Roman"/>
          <w:sz w:val="24"/>
          <w:szCs w:val="24"/>
        </w:rPr>
        <w:t xml:space="preserve"> possível</w:t>
      </w:r>
      <w:r w:rsidR="00013BE7">
        <w:rPr>
          <w:rFonts w:ascii="Times New Roman" w:hAnsi="Times New Roman" w:cs="Times New Roman"/>
          <w:sz w:val="24"/>
          <w:szCs w:val="24"/>
        </w:rPr>
        <w:t xml:space="preserve"> correlação entre os dados da pesquisa: População do Município, Orçamento per Capita, ODS médio municipal e </w:t>
      </w:r>
      <w:r w:rsidR="00080F68">
        <w:rPr>
          <w:rFonts w:ascii="Times New Roman" w:hAnsi="Times New Roman" w:cs="Times New Roman"/>
          <w:sz w:val="24"/>
          <w:szCs w:val="24"/>
        </w:rPr>
        <w:t>eficiência</w:t>
      </w:r>
      <w:r w:rsidR="00013BE7">
        <w:rPr>
          <w:rFonts w:ascii="Times New Roman" w:hAnsi="Times New Roman" w:cs="Times New Roman"/>
          <w:sz w:val="24"/>
          <w:szCs w:val="24"/>
        </w:rPr>
        <w:t>. Os resultados alcançados</w:t>
      </w:r>
      <w:r w:rsidR="00112CAC">
        <w:rPr>
          <w:rFonts w:ascii="Times New Roman" w:hAnsi="Times New Roman" w:cs="Times New Roman"/>
          <w:sz w:val="24"/>
          <w:szCs w:val="24"/>
        </w:rPr>
        <w:t>, corroborados pelas análises conduzidas anteriormente,</w:t>
      </w:r>
      <w:r w:rsidR="00013BE7">
        <w:rPr>
          <w:rFonts w:ascii="Times New Roman" w:hAnsi="Times New Roman" w:cs="Times New Roman"/>
          <w:sz w:val="24"/>
          <w:szCs w:val="24"/>
        </w:rPr>
        <w:t xml:space="preserve"> são apresentados na Tabela </w:t>
      </w:r>
      <w:r>
        <w:rPr>
          <w:rFonts w:ascii="Times New Roman" w:hAnsi="Times New Roman" w:cs="Times New Roman"/>
          <w:sz w:val="24"/>
          <w:szCs w:val="24"/>
        </w:rPr>
        <w:t>1</w:t>
      </w:r>
      <w:r w:rsidR="00A17CB2">
        <w:rPr>
          <w:rFonts w:ascii="Times New Roman" w:hAnsi="Times New Roman" w:cs="Times New Roman"/>
          <w:sz w:val="24"/>
          <w:szCs w:val="24"/>
        </w:rPr>
        <w:t>4</w:t>
      </w:r>
      <w:r w:rsidR="00013BE7">
        <w:rPr>
          <w:rFonts w:ascii="Times New Roman" w:hAnsi="Times New Roman" w:cs="Times New Roman"/>
          <w:sz w:val="24"/>
          <w:szCs w:val="24"/>
        </w:rPr>
        <w:t>.</w:t>
      </w:r>
    </w:p>
    <w:p w14:paraId="61133C37" w14:textId="698A67CC" w:rsidR="00013BE7" w:rsidRPr="00013BE7" w:rsidRDefault="00013BE7" w:rsidP="00013BE7">
      <w:pPr>
        <w:spacing w:after="120" w:line="360" w:lineRule="auto"/>
        <w:jc w:val="center"/>
        <w:rPr>
          <w:rFonts w:ascii="Times New Roman" w:hAnsi="Times New Roman" w:cs="Times New Roman"/>
          <w:sz w:val="20"/>
          <w:szCs w:val="20"/>
        </w:rPr>
      </w:pPr>
      <w:r w:rsidRPr="00013BE7">
        <w:rPr>
          <w:rFonts w:ascii="Times New Roman" w:hAnsi="Times New Roman" w:cs="Times New Roman"/>
          <w:sz w:val="20"/>
          <w:szCs w:val="20"/>
        </w:rPr>
        <w:t xml:space="preserve">Tabela </w:t>
      </w:r>
      <w:r w:rsidR="009A4FFD">
        <w:rPr>
          <w:rFonts w:ascii="Times New Roman" w:hAnsi="Times New Roman" w:cs="Times New Roman"/>
          <w:sz w:val="20"/>
          <w:szCs w:val="20"/>
        </w:rPr>
        <w:t>1</w:t>
      </w:r>
      <w:r w:rsidR="00A17CB2">
        <w:rPr>
          <w:rFonts w:ascii="Times New Roman" w:hAnsi="Times New Roman" w:cs="Times New Roman"/>
          <w:sz w:val="20"/>
          <w:szCs w:val="20"/>
        </w:rPr>
        <w:t>4</w:t>
      </w:r>
      <w:r w:rsidRPr="00013BE7">
        <w:rPr>
          <w:rFonts w:ascii="Times New Roman" w:hAnsi="Times New Roman" w:cs="Times New Roman"/>
          <w:sz w:val="20"/>
          <w:szCs w:val="20"/>
        </w:rPr>
        <w:t xml:space="preserve"> – Correlação de Spearman para os dados da pesquisa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4"/>
        <w:gridCol w:w="2123"/>
        <w:gridCol w:w="2124"/>
      </w:tblGrid>
      <w:tr w:rsidR="00013BE7" w:rsidRPr="00013BE7" w14:paraId="197BF3B8" w14:textId="77777777" w:rsidTr="00013BE7">
        <w:tc>
          <w:tcPr>
            <w:tcW w:w="2123" w:type="dxa"/>
            <w:tcBorders>
              <w:top w:val="single" w:sz="4" w:space="0" w:color="auto"/>
              <w:bottom w:val="single" w:sz="4" w:space="0" w:color="auto"/>
            </w:tcBorders>
            <w:vAlign w:val="center"/>
          </w:tcPr>
          <w:p w14:paraId="7B37A8A5" w14:textId="77777777" w:rsidR="00013BE7" w:rsidRPr="00013BE7" w:rsidRDefault="00013BE7" w:rsidP="009B7131">
            <w:pPr>
              <w:jc w:val="center"/>
              <w:rPr>
                <w:rFonts w:ascii="Times New Roman" w:hAnsi="Times New Roman" w:cs="Times New Roman"/>
                <w:sz w:val="20"/>
                <w:szCs w:val="20"/>
              </w:rPr>
            </w:pPr>
          </w:p>
        </w:tc>
        <w:tc>
          <w:tcPr>
            <w:tcW w:w="2124" w:type="dxa"/>
            <w:tcBorders>
              <w:top w:val="single" w:sz="4" w:space="0" w:color="auto"/>
              <w:bottom w:val="single" w:sz="4" w:space="0" w:color="auto"/>
            </w:tcBorders>
            <w:vAlign w:val="center"/>
          </w:tcPr>
          <w:p w14:paraId="214DB4A9" w14:textId="22205C3F" w:rsidR="00013BE7" w:rsidRPr="00AC6BD7" w:rsidRDefault="00013BE7" w:rsidP="009B7131">
            <w:pPr>
              <w:jc w:val="center"/>
              <w:rPr>
                <w:rFonts w:ascii="Times New Roman" w:hAnsi="Times New Roman" w:cs="Times New Roman"/>
                <w:b/>
                <w:bCs/>
                <w:sz w:val="20"/>
                <w:szCs w:val="20"/>
              </w:rPr>
            </w:pPr>
            <w:r w:rsidRPr="00AC6BD7">
              <w:rPr>
                <w:rFonts w:ascii="Times New Roman" w:hAnsi="Times New Roman" w:cs="Times New Roman"/>
                <w:b/>
                <w:bCs/>
                <w:sz w:val="20"/>
                <w:szCs w:val="20"/>
              </w:rPr>
              <w:t>População</w:t>
            </w:r>
          </w:p>
        </w:tc>
        <w:tc>
          <w:tcPr>
            <w:tcW w:w="2123" w:type="dxa"/>
            <w:tcBorders>
              <w:top w:val="single" w:sz="4" w:space="0" w:color="auto"/>
              <w:bottom w:val="single" w:sz="4" w:space="0" w:color="auto"/>
            </w:tcBorders>
            <w:vAlign w:val="center"/>
          </w:tcPr>
          <w:p w14:paraId="3D186E78" w14:textId="5874492F" w:rsidR="00013BE7" w:rsidRPr="00AC6BD7" w:rsidRDefault="00013BE7" w:rsidP="009B7131">
            <w:pPr>
              <w:jc w:val="center"/>
              <w:rPr>
                <w:rFonts w:ascii="Times New Roman" w:hAnsi="Times New Roman" w:cs="Times New Roman"/>
                <w:b/>
                <w:bCs/>
                <w:sz w:val="20"/>
                <w:szCs w:val="20"/>
              </w:rPr>
            </w:pPr>
            <w:r w:rsidRPr="00AC6BD7">
              <w:rPr>
                <w:rFonts w:ascii="Times New Roman" w:hAnsi="Times New Roman" w:cs="Times New Roman"/>
                <w:b/>
                <w:bCs/>
                <w:sz w:val="20"/>
                <w:szCs w:val="20"/>
              </w:rPr>
              <w:t>Orçamento</w:t>
            </w:r>
          </w:p>
        </w:tc>
        <w:tc>
          <w:tcPr>
            <w:tcW w:w="2124" w:type="dxa"/>
            <w:tcBorders>
              <w:top w:val="single" w:sz="4" w:space="0" w:color="auto"/>
              <w:bottom w:val="single" w:sz="4" w:space="0" w:color="auto"/>
            </w:tcBorders>
            <w:vAlign w:val="center"/>
          </w:tcPr>
          <w:p w14:paraId="6D52B879" w14:textId="6C4546AB" w:rsidR="00013BE7" w:rsidRPr="00AC6BD7" w:rsidRDefault="00013BE7" w:rsidP="009B7131">
            <w:pPr>
              <w:jc w:val="center"/>
              <w:rPr>
                <w:rFonts w:ascii="Times New Roman" w:hAnsi="Times New Roman" w:cs="Times New Roman"/>
                <w:b/>
                <w:bCs/>
                <w:sz w:val="20"/>
                <w:szCs w:val="20"/>
              </w:rPr>
            </w:pPr>
            <w:r w:rsidRPr="00AC6BD7">
              <w:rPr>
                <w:rFonts w:ascii="Times New Roman" w:hAnsi="Times New Roman" w:cs="Times New Roman"/>
                <w:b/>
                <w:bCs/>
                <w:sz w:val="20"/>
                <w:szCs w:val="20"/>
              </w:rPr>
              <w:t>ODS</w:t>
            </w:r>
          </w:p>
        </w:tc>
      </w:tr>
      <w:tr w:rsidR="00013BE7" w:rsidRPr="00013BE7" w14:paraId="25FD0661" w14:textId="77777777" w:rsidTr="00013BE7">
        <w:tc>
          <w:tcPr>
            <w:tcW w:w="2123" w:type="dxa"/>
            <w:tcBorders>
              <w:top w:val="single" w:sz="4" w:space="0" w:color="auto"/>
              <w:bottom w:val="single" w:sz="4" w:space="0" w:color="auto"/>
            </w:tcBorders>
            <w:vAlign w:val="center"/>
          </w:tcPr>
          <w:p w14:paraId="434193C3" w14:textId="002875D5" w:rsidR="00013BE7" w:rsidRPr="00AC6BD7" w:rsidRDefault="00013BE7" w:rsidP="009B7131">
            <w:pPr>
              <w:jc w:val="center"/>
              <w:rPr>
                <w:rFonts w:ascii="Times New Roman" w:hAnsi="Times New Roman" w:cs="Times New Roman"/>
                <w:b/>
                <w:bCs/>
                <w:sz w:val="20"/>
                <w:szCs w:val="20"/>
              </w:rPr>
            </w:pPr>
            <w:r w:rsidRPr="00AC6BD7">
              <w:rPr>
                <w:rFonts w:ascii="Times New Roman" w:hAnsi="Times New Roman" w:cs="Times New Roman"/>
                <w:b/>
                <w:bCs/>
                <w:sz w:val="20"/>
                <w:szCs w:val="20"/>
              </w:rPr>
              <w:t>Orçamento</w:t>
            </w:r>
          </w:p>
        </w:tc>
        <w:tc>
          <w:tcPr>
            <w:tcW w:w="2124" w:type="dxa"/>
            <w:tcBorders>
              <w:top w:val="single" w:sz="4" w:space="0" w:color="auto"/>
              <w:bottom w:val="single" w:sz="4" w:space="0" w:color="auto"/>
            </w:tcBorders>
            <w:vAlign w:val="center"/>
          </w:tcPr>
          <w:p w14:paraId="12E39505" w14:textId="28B4F004" w:rsid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Spearman rho = -0,676</w:t>
            </w:r>
          </w:p>
          <w:p w14:paraId="45CE8957" w14:textId="41564600" w:rsidR="00013BE7" w:rsidRP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p-value = 0,000</w:t>
            </w:r>
          </w:p>
        </w:tc>
        <w:tc>
          <w:tcPr>
            <w:tcW w:w="2123" w:type="dxa"/>
            <w:tcBorders>
              <w:top w:val="single" w:sz="4" w:space="0" w:color="auto"/>
              <w:bottom w:val="single" w:sz="4" w:space="0" w:color="auto"/>
            </w:tcBorders>
            <w:vAlign w:val="center"/>
          </w:tcPr>
          <w:p w14:paraId="1F779EDB" w14:textId="77777777" w:rsidR="00013BE7" w:rsidRPr="00013BE7" w:rsidRDefault="00013BE7" w:rsidP="009B7131">
            <w:pPr>
              <w:jc w:val="center"/>
              <w:rPr>
                <w:rFonts w:ascii="Times New Roman" w:hAnsi="Times New Roman" w:cs="Times New Roman"/>
                <w:sz w:val="20"/>
                <w:szCs w:val="20"/>
              </w:rPr>
            </w:pPr>
          </w:p>
        </w:tc>
        <w:tc>
          <w:tcPr>
            <w:tcW w:w="2124" w:type="dxa"/>
            <w:tcBorders>
              <w:top w:val="single" w:sz="4" w:space="0" w:color="auto"/>
              <w:bottom w:val="single" w:sz="4" w:space="0" w:color="auto"/>
            </w:tcBorders>
            <w:vAlign w:val="center"/>
          </w:tcPr>
          <w:p w14:paraId="4B15FFA4" w14:textId="77777777" w:rsidR="00013BE7" w:rsidRPr="00013BE7" w:rsidRDefault="00013BE7" w:rsidP="009B7131">
            <w:pPr>
              <w:jc w:val="center"/>
              <w:rPr>
                <w:rFonts w:ascii="Times New Roman" w:hAnsi="Times New Roman" w:cs="Times New Roman"/>
                <w:sz w:val="20"/>
                <w:szCs w:val="20"/>
              </w:rPr>
            </w:pPr>
          </w:p>
        </w:tc>
      </w:tr>
      <w:tr w:rsidR="00013BE7" w:rsidRPr="00013BE7" w14:paraId="3D2C207E" w14:textId="77777777" w:rsidTr="00013BE7">
        <w:tc>
          <w:tcPr>
            <w:tcW w:w="2123" w:type="dxa"/>
            <w:tcBorders>
              <w:top w:val="single" w:sz="4" w:space="0" w:color="auto"/>
              <w:bottom w:val="single" w:sz="4" w:space="0" w:color="auto"/>
            </w:tcBorders>
            <w:vAlign w:val="center"/>
          </w:tcPr>
          <w:p w14:paraId="76EA7BDF" w14:textId="72B2FEF2" w:rsidR="00013BE7" w:rsidRPr="00AC6BD7" w:rsidRDefault="00013BE7" w:rsidP="009B7131">
            <w:pPr>
              <w:jc w:val="center"/>
              <w:rPr>
                <w:rFonts w:ascii="Times New Roman" w:hAnsi="Times New Roman" w:cs="Times New Roman"/>
                <w:b/>
                <w:bCs/>
                <w:sz w:val="20"/>
                <w:szCs w:val="20"/>
              </w:rPr>
            </w:pPr>
            <w:r w:rsidRPr="00AC6BD7">
              <w:rPr>
                <w:rFonts w:ascii="Times New Roman" w:hAnsi="Times New Roman" w:cs="Times New Roman"/>
                <w:b/>
                <w:bCs/>
                <w:sz w:val="20"/>
                <w:szCs w:val="20"/>
              </w:rPr>
              <w:t>ODS</w:t>
            </w:r>
          </w:p>
        </w:tc>
        <w:tc>
          <w:tcPr>
            <w:tcW w:w="2124" w:type="dxa"/>
            <w:tcBorders>
              <w:top w:val="single" w:sz="4" w:space="0" w:color="auto"/>
              <w:bottom w:val="single" w:sz="4" w:space="0" w:color="auto"/>
            </w:tcBorders>
            <w:vAlign w:val="center"/>
          </w:tcPr>
          <w:p w14:paraId="5C01B867" w14:textId="0713839F" w:rsid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Spearman rho = -0,090</w:t>
            </w:r>
          </w:p>
          <w:p w14:paraId="1C9F028A" w14:textId="121F5F83" w:rsidR="00013BE7" w:rsidRP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p-value = 0,000</w:t>
            </w:r>
          </w:p>
        </w:tc>
        <w:tc>
          <w:tcPr>
            <w:tcW w:w="2123" w:type="dxa"/>
            <w:tcBorders>
              <w:top w:val="single" w:sz="4" w:space="0" w:color="auto"/>
              <w:bottom w:val="single" w:sz="4" w:space="0" w:color="auto"/>
            </w:tcBorders>
            <w:vAlign w:val="center"/>
          </w:tcPr>
          <w:p w14:paraId="48F20B7E" w14:textId="17D52BAB" w:rsid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Spearman rho = 0,314</w:t>
            </w:r>
          </w:p>
          <w:p w14:paraId="1B312A99" w14:textId="284C27E4" w:rsidR="00013BE7" w:rsidRP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p-value = 0,000</w:t>
            </w:r>
          </w:p>
        </w:tc>
        <w:tc>
          <w:tcPr>
            <w:tcW w:w="2124" w:type="dxa"/>
            <w:tcBorders>
              <w:top w:val="single" w:sz="4" w:space="0" w:color="auto"/>
              <w:bottom w:val="single" w:sz="4" w:space="0" w:color="auto"/>
            </w:tcBorders>
            <w:vAlign w:val="center"/>
          </w:tcPr>
          <w:p w14:paraId="483BE77A" w14:textId="77777777" w:rsidR="00013BE7" w:rsidRPr="00013BE7" w:rsidRDefault="00013BE7" w:rsidP="009B7131">
            <w:pPr>
              <w:jc w:val="center"/>
              <w:rPr>
                <w:rFonts w:ascii="Times New Roman" w:hAnsi="Times New Roman" w:cs="Times New Roman"/>
                <w:sz w:val="20"/>
                <w:szCs w:val="20"/>
              </w:rPr>
            </w:pPr>
          </w:p>
        </w:tc>
      </w:tr>
      <w:tr w:rsidR="00013BE7" w:rsidRPr="00013BE7" w14:paraId="2ABBADD3" w14:textId="77777777" w:rsidTr="00013BE7">
        <w:tc>
          <w:tcPr>
            <w:tcW w:w="2123" w:type="dxa"/>
            <w:tcBorders>
              <w:top w:val="single" w:sz="4" w:space="0" w:color="auto"/>
              <w:bottom w:val="single" w:sz="4" w:space="0" w:color="auto"/>
            </w:tcBorders>
            <w:vAlign w:val="center"/>
          </w:tcPr>
          <w:p w14:paraId="60E74E33" w14:textId="21944B5E" w:rsidR="00013BE7" w:rsidRPr="00AC6BD7" w:rsidRDefault="00013BE7" w:rsidP="009B7131">
            <w:pPr>
              <w:jc w:val="center"/>
              <w:rPr>
                <w:rFonts w:ascii="Times New Roman" w:hAnsi="Times New Roman" w:cs="Times New Roman"/>
                <w:b/>
                <w:bCs/>
                <w:sz w:val="20"/>
                <w:szCs w:val="20"/>
              </w:rPr>
            </w:pPr>
            <w:r w:rsidRPr="00AC6BD7">
              <w:rPr>
                <w:rFonts w:ascii="Times New Roman" w:hAnsi="Times New Roman" w:cs="Times New Roman"/>
                <w:b/>
                <w:bCs/>
                <w:sz w:val="20"/>
                <w:szCs w:val="20"/>
              </w:rPr>
              <w:t>Eficiência</w:t>
            </w:r>
          </w:p>
        </w:tc>
        <w:tc>
          <w:tcPr>
            <w:tcW w:w="2124" w:type="dxa"/>
            <w:tcBorders>
              <w:top w:val="single" w:sz="4" w:space="0" w:color="auto"/>
              <w:bottom w:val="single" w:sz="4" w:space="0" w:color="auto"/>
            </w:tcBorders>
            <w:vAlign w:val="center"/>
          </w:tcPr>
          <w:p w14:paraId="76085F14" w14:textId="68DD7DF4" w:rsidR="00013BE7" w:rsidRDefault="00013BE7" w:rsidP="009B7131">
            <w:pPr>
              <w:jc w:val="center"/>
              <w:rPr>
                <w:rFonts w:ascii="Times New Roman" w:hAnsi="Times New Roman" w:cs="Times New Roman"/>
                <w:sz w:val="20"/>
                <w:szCs w:val="20"/>
              </w:rPr>
            </w:pPr>
            <w:proofErr w:type="spellStart"/>
            <w:r>
              <w:rPr>
                <w:rFonts w:ascii="Times New Roman" w:hAnsi="Times New Roman" w:cs="Times New Roman"/>
                <w:sz w:val="20"/>
                <w:szCs w:val="20"/>
              </w:rPr>
              <w:t>Spearman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rho</w:t>
            </w:r>
            <w:proofErr w:type="spellEnd"/>
            <w:r>
              <w:rPr>
                <w:rFonts w:ascii="Times New Roman" w:hAnsi="Times New Roman" w:cs="Times New Roman"/>
                <w:sz w:val="20"/>
                <w:szCs w:val="20"/>
              </w:rPr>
              <w:t xml:space="preserve"> = 0,</w:t>
            </w:r>
            <w:r w:rsidR="00080F68">
              <w:rPr>
                <w:rFonts w:ascii="Times New Roman" w:hAnsi="Times New Roman" w:cs="Times New Roman"/>
                <w:sz w:val="20"/>
                <w:szCs w:val="20"/>
              </w:rPr>
              <w:t>601</w:t>
            </w:r>
          </w:p>
          <w:p w14:paraId="24AFDEDC" w14:textId="589FEACC" w:rsidR="00013BE7" w:rsidRP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p-value = 0,000</w:t>
            </w:r>
          </w:p>
        </w:tc>
        <w:tc>
          <w:tcPr>
            <w:tcW w:w="2123" w:type="dxa"/>
            <w:tcBorders>
              <w:top w:val="single" w:sz="4" w:space="0" w:color="auto"/>
              <w:bottom w:val="single" w:sz="4" w:space="0" w:color="auto"/>
            </w:tcBorders>
            <w:vAlign w:val="center"/>
          </w:tcPr>
          <w:p w14:paraId="4E8C6B04" w14:textId="035CF0D5" w:rsidR="00013BE7" w:rsidRDefault="00013BE7" w:rsidP="009B7131">
            <w:pPr>
              <w:jc w:val="center"/>
              <w:rPr>
                <w:rFonts w:ascii="Times New Roman" w:hAnsi="Times New Roman" w:cs="Times New Roman"/>
                <w:sz w:val="20"/>
                <w:szCs w:val="20"/>
              </w:rPr>
            </w:pPr>
            <w:proofErr w:type="spellStart"/>
            <w:r>
              <w:rPr>
                <w:rFonts w:ascii="Times New Roman" w:hAnsi="Times New Roman" w:cs="Times New Roman"/>
                <w:sz w:val="20"/>
                <w:szCs w:val="20"/>
              </w:rPr>
              <w:t>Spearman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rho</w:t>
            </w:r>
            <w:proofErr w:type="spellEnd"/>
            <w:r>
              <w:rPr>
                <w:rFonts w:ascii="Times New Roman" w:hAnsi="Times New Roman" w:cs="Times New Roman"/>
                <w:sz w:val="20"/>
                <w:szCs w:val="20"/>
              </w:rPr>
              <w:t xml:space="preserve"> = -0,</w:t>
            </w:r>
            <w:r w:rsidR="00080F68">
              <w:rPr>
                <w:rFonts w:ascii="Times New Roman" w:hAnsi="Times New Roman" w:cs="Times New Roman"/>
                <w:sz w:val="20"/>
                <w:szCs w:val="20"/>
              </w:rPr>
              <w:t>667</w:t>
            </w:r>
          </w:p>
          <w:p w14:paraId="0A0559B8" w14:textId="09FF7585" w:rsidR="00013BE7" w:rsidRP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p-value = 0,000</w:t>
            </w:r>
          </w:p>
        </w:tc>
        <w:tc>
          <w:tcPr>
            <w:tcW w:w="2124" w:type="dxa"/>
            <w:tcBorders>
              <w:top w:val="single" w:sz="4" w:space="0" w:color="auto"/>
              <w:bottom w:val="single" w:sz="4" w:space="0" w:color="auto"/>
            </w:tcBorders>
            <w:vAlign w:val="center"/>
          </w:tcPr>
          <w:p w14:paraId="7A1CAA71" w14:textId="536A79F7" w:rsidR="00013BE7" w:rsidRDefault="00013BE7" w:rsidP="009B7131">
            <w:pPr>
              <w:jc w:val="center"/>
              <w:rPr>
                <w:rFonts w:ascii="Times New Roman" w:hAnsi="Times New Roman" w:cs="Times New Roman"/>
                <w:sz w:val="20"/>
                <w:szCs w:val="20"/>
              </w:rPr>
            </w:pPr>
            <w:proofErr w:type="spellStart"/>
            <w:r>
              <w:rPr>
                <w:rFonts w:ascii="Times New Roman" w:hAnsi="Times New Roman" w:cs="Times New Roman"/>
                <w:sz w:val="20"/>
                <w:szCs w:val="20"/>
              </w:rPr>
              <w:t>Spearman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rho</w:t>
            </w:r>
            <w:proofErr w:type="spellEnd"/>
            <w:r>
              <w:rPr>
                <w:rFonts w:ascii="Times New Roman" w:hAnsi="Times New Roman" w:cs="Times New Roman"/>
                <w:sz w:val="20"/>
                <w:szCs w:val="20"/>
              </w:rPr>
              <w:t xml:space="preserve"> = 0,00</w:t>
            </w:r>
            <w:r w:rsidR="00080F68">
              <w:rPr>
                <w:rFonts w:ascii="Times New Roman" w:hAnsi="Times New Roman" w:cs="Times New Roman"/>
                <w:sz w:val="20"/>
                <w:szCs w:val="20"/>
              </w:rPr>
              <w:t>4</w:t>
            </w:r>
          </w:p>
          <w:p w14:paraId="0A4F9960" w14:textId="3AFD18C4" w:rsidR="00013BE7" w:rsidRPr="00013BE7" w:rsidRDefault="00013BE7" w:rsidP="009B7131">
            <w:pPr>
              <w:jc w:val="center"/>
              <w:rPr>
                <w:rFonts w:ascii="Times New Roman" w:hAnsi="Times New Roman" w:cs="Times New Roman"/>
                <w:sz w:val="20"/>
                <w:szCs w:val="20"/>
              </w:rPr>
            </w:pPr>
            <w:r>
              <w:rPr>
                <w:rFonts w:ascii="Times New Roman" w:hAnsi="Times New Roman" w:cs="Times New Roman"/>
                <w:sz w:val="20"/>
                <w:szCs w:val="20"/>
              </w:rPr>
              <w:t>p-value = 0</w:t>
            </w:r>
            <w:r w:rsidR="00080F68">
              <w:rPr>
                <w:rFonts w:ascii="Times New Roman" w:hAnsi="Times New Roman" w:cs="Times New Roman"/>
                <w:sz w:val="20"/>
                <w:szCs w:val="20"/>
              </w:rPr>
              <w:t>,762</w:t>
            </w:r>
          </w:p>
        </w:tc>
      </w:tr>
    </w:tbl>
    <w:p w14:paraId="06F52257" w14:textId="1F633765" w:rsidR="00A30FA7" w:rsidRDefault="00013BE7" w:rsidP="00013BE7">
      <w:pPr>
        <w:spacing w:after="12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p>
    <w:p w14:paraId="3C292ED5" w14:textId="7B4098F2" w:rsidR="00330A8A" w:rsidRPr="00CD4024" w:rsidRDefault="006A0D2E" w:rsidP="00CD4024">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AC6BD7">
        <w:rPr>
          <w:rFonts w:ascii="Times New Roman" w:hAnsi="Times New Roman" w:cs="Times New Roman"/>
          <w:sz w:val="24"/>
          <w:szCs w:val="24"/>
        </w:rPr>
        <w:t xml:space="preserve">or meio do cálculo da correlação de Spearman, </w:t>
      </w:r>
      <w:r>
        <w:rPr>
          <w:rFonts w:ascii="Times New Roman" w:hAnsi="Times New Roman" w:cs="Times New Roman"/>
          <w:sz w:val="24"/>
          <w:szCs w:val="24"/>
        </w:rPr>
        <w:t xml:space="preserve">pode-se identificar </w:t>
      </w:r>
      <w:r w:rsidR="00AC6BD7">
        <w:rPr>
          <w:rFonts w:ascii="Times New Roman" w:hAnsi="Times New Roman" w:cs="Times New Roman"/>
          <w:sz w:val="24"/>
          <w:szCs w:val="24"/>
        </w:rPr>
        <w:t>que com exceção da</w:t>
      </w:r>
      <w:r>
        <w:rPr>
          <w:rFonts w:ascii="Times New Roman" w:hAnsi="Times New Roman" w:cs="Times New Roman"/>
          <w:sz w:val="24"/>
          <w:szCs w:val="24"/>
        </w:rPr>
        <w:t xml:space="preserve"> relação entre as</w:t>
      </w:r>
      <w:r w:rsidR="00AC6BD7">
        <w:rPr>
          <w:rFonts w:ascii="Times New Roman" w:hAnsi="Times New Roman" w:cs="Times New Roman"/>
          <w:sz w:val="24"/>
          <w:szCs w:val="24"/>
        </w:rPr>
        <w:t xml:space="preserve"> variáveis</w:t>
      </w:r>
      <w:r>
        <w:rPr>
          <w:rFonts w:ascii="Times New Roman" w:hAnsi="Times New Roman" w:cs="Times New Roman"/>
          <w:sz w:val="24"/>
          <w:szCs w:val="24"/>
        </w:rPr>
        <w:t>:</w:t>
      </w:r>
      <w:r w:rsidR="00AC6BD7">
        <w:rPr>
          <w:rFonts w:ascii="Times New Roman" w:hAnsi="Times New Roman" w:cs="Times New Roman"/>
          <w:sz w:val="24"/>
          <w:szCs w:val="24"/>
        </w:rPr>
        <w:t xml:space="preserve"> Eficiência e ODS médio por município</w:t>
      </w:r>
      <w:r>
        <w:rPr>
          <w:rFonts w:ascii="Times New Roman" w:hAnsi="Times New Roman" w:cs="Times New Roman"/>
          <w:sz w:val="24"/>
          <w:szCs w:val="24"/>
        </w:rPr>
        <w:t xml:space="preserve"> (p-value = </w:t>
      </w:r>
      <w:r w:rsidRPr="00330A8A">
        <w:rPr>
          <w:rFonts w:ascii="Times New Roman" w:hAnsi="Times New Roman" w:cs="Times New Roman"/>
          <w:sz w:val="24"/>
          <w:szCs w:val="24"/>
        </w:rPr>
        <w:t>0,</w:t>
      </w:r>
      <w:r w:rsidR="00080F68">
        <w:rPr>
          <w:rFonts w:ascii="Times New Roman" w:hAnsi="Times New Roman" w:cs="Times New Roman"/>
          <w:sz w:val="24"/>
          <w:szCs w:val="24"/>
        </w:rPr>
        <w:t>762</w:t>
      </w:r>
      <w:r w:rsidRPr="00330A8A">
        <w:rPr>
          <w:rFonts w:ascii="Times New Roman" w:hAnsi="Times New Roman" w:cs="Times New Roman"/>
          <w:sz w:val="24"/>
          <w:szCs w:val="24"/>
        </w:rPr>
        <w:t>)</w:t>
      </w:r>
      <w:r w:rsidR="00AC6BD7" w:rsidRPr="00330A8A">
        <w:rPr>
          <w:rFonts w:ascii="Times New Roman" w:hAnsi="Times New Roman" w:cs="Times New Roman"/>
          <w:sz w:val="24"/>
          <w:szCs w:val="24"/>
        </w:rPr>
        <w:t xml:space="preserve">, </w:t>
      </w:r>
      <w:r w:rsidR="00F65739">
        <w:rPr>
          <w:rFonts w:ascii="Times New Roman" w:hAnsi="Times New Roman" w:cs="Times New Roman"/>
          <w:sz w:val="24"/>
          <w:szCs w:val="24"/>
        </w:rPr>
        <w:t xml:space="preserve">existe correlação significativa entre </w:t>
      </w:r>
      <w:r w:rsidR="00AC6BD7" w:rsidRPr="00330A8A">
        <w:rPr>
          <w:rFonts w:ascii="Times New Roman" w:hAnsi="Times New Roman" w:cs="Times New Roman"/>
          <w:sz w:val="24"/>
          <w:szCs w:val="24"/>
        </w:rPr>
        <w:t xml:space="preserve">todas as demais combinações (p-value = 0.000). Considerando todos os municípios pesquisados, </w:t>
      </w:r>
      <w:r w:rsidRPr="00330A8A">
        <w:rPr>
          <w:rFonts w:ascii="Times New Roman" w:hAnsi="Times New Roman" w:cs="Times New Roman"/>
          <w:sz w:val="24"/>
          <w:szCs w:val="24"/>
        </w:rPr>
        <w:t>verific</w:t>
      </w:r>
      <w:r w:rsidR="00F65739">
        <w:rPr>
          <w:rFonts w:ascii="Times New Roman" w:hAnsi="Times New Roman" w:cs="Times New Roman"/>
          <w:sz w:val="24"/>
          <w:szCs w:val="24"/>
        </w:rPr>
        <w:t>ou</w:t>
      </w:r>
      <w:r w:rsidRPr="00330A8A">
        <w:rPr>
          <w:rFonts w:ascii="Times New Roman" w:hAnsi="Times New Roman" w:cs="Times New Roman"/>
          <w:sz w:val="24"/>
          <w:szCs w:val="24"/>
        </w:rPr>
        <w:t>-se</w:t>
      </w:r>
      <w:r w:rsidR="00AC6BD7" w:rsidRPr="00330A8A">
        <w:rPr>
          <w:rFonts w:ascii="Times New Roman" w:hAnsi="Times New Roman" w:cs="Times New Roman"/>
          <w:sz w:val="24"/>
          <w:szCs w:val="24"/>
        </w:rPr>
        <w:t xml:space="preserve"> uma considerável correlação negativa entre população e orçamento per capita (Spearman rho = -0,676), ou seja, </w:t>
      </w:r>
      <w:r w:rsidRPr="00330A8A">
        <w:rPr>
          <w:rFonts w:ascii="Times New Roman" w:hAnsi="Times New Roman" w:cs="Times New Roman"/>
          <w:sz w:val="24"/>
          <w:szCs w:val="24"/>
        </w:rPr>
        <w:t>à</w:t>
      </w:r>
      <w:r w:rsidR="00AC6BD7" w:rsidRPr="00330A8A">
        <w:rPr>
          <w:rFonts w:ascii="Times New Roman" w:hAnsi="Times New Roman" w:cs="Times New Roman"/>
          <w:sz w:val="24"/>
          <w:szCs w:val="24"/>
        </w:rPr>
        <w:t xml:space="preserve"> medida que a população do município aumenta, seu orçamento per capita tende a diminuir. Já em relação ao orçamento e ODS, verifica-se uma correlação média positiva, indicando que com o aumento do orçamento leva-se a um aumento </w:t>
      </w:r>
      <w:r w:rsidR="004D747B" w:rsidRPr="00330A8A">
        <w:rPr>
          <w:rFonts w:ascii="Times New Roman" w:hAnsi="Times New Roman" w:cs="Times New Roman"/>
          <w:sz w:val="24"/>
          <w:szCs w:val="24"/>
        </w:rPr>
        <w:t>dos ODS.</w:t>
      </w:r>
      <w:r w:rsidR="007C5D29">
        <w:rPr>
          <w:rFonts w:ascii="Times New Roman" w:hAnsi="Times New Roman" w:cs="Times New Roman"/>
          <w:sz w:val="24"/>
          <w:szCs w:val="24"/>
        </w:rPr>
        <w:t xml:space="preserve"> </w:t>
      </w:r>
      <w:r w:rsidRPr="00330A8A">
        <w:rPr>
          <w:rFonts w:ascii="Times New Roman" w:hAnsi="Times New Roman" w:cs="Times New Roman"/>
          <w:sz w:val="24"/>
          <w:szCs w:val="24"/>
        </w:rPr>
        <w:t>Com relação aos ODS e a população dos municípios, verifica-se uma fraca correlação negativa (Spearman rho = -0,090), indicando que um aumento da população leva a uma redução dos ODS</w:t>
      </w:r>
      <w:r w:rsidR="00CD4024">
        <w:rPr>
          <w:rFonts w:ascii="Times New Roman" w:hAnsi="Times New Roman" w:cs="Times New Roman"/>
          <w:sz w:val="24"/>
          <w:szCs w:val="24"/>
        </w:rPr>
        <w:t xml:space="preserve"> </w:t>
      </w:r>
      <w:r w:rsidR="00330A8A">
        <w:rPr>
          <w:rFonts w:ascii="Times New Roman" w:hAnsi="Times New Roman" w:cs="Times New Roman"/>
          <w:sz w:val="24"/>
          <w:szCs w:val="24"/>
        </w:rPr>
        <w:t>nos municípios pesquisados</w:t>
      </w:r>
      <w:r w:rsidRPr="00330A8A">
        <w:rPr>
          <w:rFonts w:ascii="Times New Roman" w:hAnsi="Times New Roman" w:cs="Times New Roman"/>
          <w:sz w:val="24"/>
          <w:szCs w:val="24"/>
        </w:rPr>
        <w:t>.</w:t>
      </w:r>
    </w:p>
    <w:p w14:paraId="339E2469" w14:textId="5327925B" w:rsidR="00D32C16" w:rsidRPr="00CD4024" w:rsidRDefault="009A4FFD" w:rsidP="00CD4024">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E</w:t>
      </w:r>
      <w:r w:rsidR="00330A8A">
        <w:rPr>
          <w:rFonts w:ascii="Times New Roman" w:hAnsi="Times New Roman" w:cs="Times New Roman"/>
          <w:sz w:val="24"/>
          <w:szCs w:val="24"/>
        </w:rPr>
        <w:t xml:space="preserve">m relação a eficiência pode-se verificar uma </w:t>
      </w:r>
      <w:r w:rsidR="00080F68">
        <w:rPr>
          <w:rFonts w:ascii="Times New Roman" w:hAnsi="Times New Roman" w:cs="Times New Roman"/>
          <w:sz w:val="24"/>
          <w:szCs w:val="24"/>
        </w:rPr>
        <w:t>cor</w:t>
      </w:r>
      <w:r w:rsidR="00330A8A">
        <w:rPr>
          <w:rFonts w:ascii="Times New Roman" w:hAnsi="Times New Roman" w:cs="Times New Roman"/>
          <w:sz w:val="24"/>
          <w:szCs w:val="24"/>
        </w:rPr>
        <w:t>relação positiva</w:t>
      </w:r>
      <w:r w:rsidR="00D32C16">
        <w:rPr>
          <w:rFonts w:ascii="Times New Roman" w:hAnsi="Times New Roman" w:cs="Times New Roman"/>
          <w:sz w:val="24"/>
          <w:szCs w:val="24"/>
        </w:rPr>
        <w:t xml:space="preserve"> (</w:t>
      </w:r>
      <w:proofErr w:type="spellStart"/>
      <w:r w:rsidR="00D32C16" w:rsidRPr="00CD4024">
        <w:rPr>
          <w:rFonts w:ascii="Times New Roman" w:hAnsi="Times New Roman" w:cs="Times New Roman"/>
          <w:sz w:val="24"/>
          <w:szCs w:val="24"/>
        </w:rPr>
        <w:t>Spearman</w:t>
      </w:r>
      <w:proofErr w:type="spellEnd"/>
      <w:r w:rsidR="00D32C16" w:rsidRPr="00CD4024">
        <w:rPr>
          <w:rFonts w:ascii="Times New Roman" w:hAnsi="Times New Roman" w:cs="Times New Roman"/>
          <w:sz w:val="24"/>
          <w:szCs w:val="24"/>
        </w:rPr>
        <w:t xml:space="preserve"> </w:t>
      </w:r>
      <w:proofErr w:type="spellStart"/>
      <w:r w:rsidR="00D32C16" w:rsidRPr="00CD4024">
        <w:rPr>
          <w:rFonts w:ascii="Times New Roman" w:hAnsi="Times New Roman" w:cs="Times New Roman"/>
          <w:sz w:val="24"/>
          <w:szCs w:val="24"/>
        </w:rPr>
        <w:t>rho</w:t>
      </w:r>
      <w:proofErr w:type="spellEnd"/>
      <w:r w:rsidR="00D32C16" w:rsidRPr="00CD4024">
        <w:rPr>
          <w:rFonts w:ascii="Times New Roman" w:hAnsi="Times New Roman" w:cs="Times New Roman"/>
          <w:sz w:val="24"/>
          <w:szCs w:val="24"/>
        </w:rPr>
        <w:t xml:space="preserve"> = 0,</w:t>
      </w:r>
      <w:r w:rsidR="00080F68">
        <w:rPr>
          <w:rFonts w:ascii="Times New Roman" w:hAnsi="Times New Roman" w:cs="Times New Roman"/>
          <w:sz w:val="24"/>
          <w:szCs w:val="24"/>
        </w:rPr>
        <w:t>601</w:t>
      </w:r>
      <w:r w:rsidR="00D32C16" w:rsidRPr="00CD4024">
        <w:rPr>
          <w:rFonts w:ascii="Times New Roman" w:hAnsi="Times New Roman" w:cs="Times New Roman"/>
          <w:sz w:val="24"/>
          <w:szCs w:val="24"/>
        </w:rPr>
        <w:t xml:space="preserve">) entre eficiência e população, indicando que </w:t>
      </w:r>
      <w:r w:rsidR="00CD4024">
        <w:rPr>
          <w:rFonts w:ascii="Times New Roman" w:hAnsi="Times New Roman" w:cs="Times New Roman"/>
          <w:sz w:val="24"/>
          <w:szCs w:val="24"/>
        </w:rPr>
        <w:t xml:space="preserve">com </w:t>
      </w:r>
      <w:r w:rsidR="00D32C16" w:rsidRPr="00CD4024">
        <w:rPr>
          <w:rFonts w:ascii="Times New Roman" w:hAnsi="Times New Roman" w:cs="Times New Roman"/>
          <w:sz w:val="24"/>
          <w:szCs w:val="24"/>
        </w:rPr>
        <w:t xml:space="preserve">o aumento da população </w:t>
      </w:r>
      <w:r w:rsidR="00CD4024">
        <w:rPr>
          <w:rFonts w:ascii="Times New Roman" w:hAnsi="Times New Roman" w:cs="Times New Roman"/>
          <w:sz w:val="24"/>
          <w:szCs w:val="24"/>
        </w:rPr>
        <w:t xml:space="preserve">tende-se </w:t>
      </w:r>
      <w:r w:rsidR="00D32C16" w:rsidRPr="00CD4024">
        <w:rPr>
          <w:rFonts w:ascii="Times New Roman" w:hAnsi="Times New Roman" w:cs="Times New Roman"/>
          <w:sz w:val="24"/>
          <w:szCs w:val="24"/>
        </w:rPr>
        <w:t>aumenta</w:t>
      </w:r>
      <w:r w:rsidR="00CD4024">
        <w:rPr>
          <w:rFonts w:ascii="Times New Roman" w:hAnsi="Times New Roman" w:cs="Times New Roman"/>
          <w:sz w:val="24"/>
          <w:szCs w:val="24"/>
        </w:rPr>
        <w:t>r</w:t>
      </w:r>
      <w:r w:rsidR="00D32C16" w:rsidRPr="00CD4024">
        <w:rPr>
          <w:rFonts w:ascii="Times New Roman" w:hAnsi="Times New Roman" w:cs="Times New Roman"/>
          <w:sz w:val="24"/>
          <w:szCs w:val="24"/>
        </w:rPr>
        <w:t xml:space="preserve"> a eficiência</w:t>
      </w:r>
      <w:r w:rsidR="00CD4024">
        <w:rPr>
          <w:rFonts w:ascii="Times New Roman" w:hAnsi="Times New Roman" w:cs="Times New Roman"/>
          <w:sz w:val="24"/>
          <w:szCs w:val="24"/>
        </w:rPr>
        <w:t xml:space="preserve"> dos municípios. Já </w:t>
      </w:r>
      <w:r w:rsidR="00D32C16" w:rsidRPr="00CD4024">
        <w:rPr>
          <w:rFonts w:ascii="Times New Roman" w:hAnsi="Times New Roman" w:cs="Times New Roman"/>
          <w:sz w:val="24"/>
          <w:szCs w:val="24"/>
        </w:rPr>
        <w:t xml:space="preserve">o contrário </w:t>
      </w:r>
      <w:r w:rsidR="00CD4024">
        <w:rPr>
          <w:rFonts w:ascii="Times New Roman" w:hAnsi="Times New Roman" w:cs="Times New Roman"/>
          <w:sz w:val="24"/>
          <w:szCs w:val="24"/>
        </w:rPr>
        <w:t xml:space="preserve">é </w:t>
      </w:r>
      <w:r w:rsidR="00D32C16" w:rsidRPr="00CD4024">
        <w:rPr>
          <w:rFonts w:ascii="Times New Roman" w:hAnsi="Times New Roman" w:cs="Times New Roman"/>
          <w:sz w:val="24"/>
          <w:szCs w:val="24"/>
        </w:rPr>
        <w:t>observado quando se analisa a eficiência e o orçamento</w:t>
      </w:r>
      <w:r w:rsidR="00CD4024">
        <w:rPr>
          <w:rFonts w:ascii="Times New Roman" w:hAnsi="Times New Roman" w:cs="Times New Roman"/>
          <w:sz w:val="24"/>
          <w:szCs w:val="24"/>
        </w:rPr>
        <w:t xml:space="preserve"> per capita municipal</w:t>
      </w:r>
      <w:r w:rsidR="00D32C16" w:rsidRPr="00CD4024">
        <w:rPr>
          <w:rFonts w:ascii="Times New Roman" w:hAnsi="Times New Roman" w:cs="Times New Roman"/>
          <w:sz w:val="24"/>
          <w:szCs w:val="24"/>
        </w:rPr>
        <w:t xml:space="preserve">, </w:t>
      </w:r>
      <w:r w:rsidR="00CD4024">
        <w:rPr>
          <w:rFonts w:ascii="Times New Roman" w:hAnsi="Times New Roman" w:cs="Times New Roman"/>
          <w:sz w:val="24"/>
          <w:szCs w:val="24"/>
        </w:rPr>
        <w:t>apresentando</w:t>
      </w:r>
      <w:r w:rsidR="00D32C16" w:rsidRPr="00CD4024">
        <w:rPr>
          <w:rFonts w:ascii="Times New Roman" w:hAnsi="Times New Roman" w:cs="Times New Roman"/>
          <w:sz w:val="24"/>
          <w:szCs w:val="24"/>
        </w:rPr>
        <w:t xml:space="preserve"> uma correlação negativa (</w:t>
      </w:r>
      <w:proofErr w:type="spellStart"/>
      <w:r w:rsidR="00D32C16" w:rsidRPr="00CD4024">
        <w:rPr>
          <w:rFonts w:ascii="Times New Roman" w:hAnsi="Times New Roman" w:cs="Times New Roman"/>
          <w:sz w:val="24"/>
          <w:szCs w:val="24"/>
        </w:rPr>
        <w:t>Spearman</w:t>
      </w:r>
      <w:proofErr w:type="spellEnd"/>
      <w:r w:rsidR="00D32C16" w:rsidRPr="00CD4024">
        <w:rPr>
          <w:rFonts w:ascii="Times New Roman" w:hAnsi="Times New Roman" w:cs="Times New Roman"/>
          <w:sz w:val="24"/>
          <w:szCs w:val="24"/>
        </w:rPr>
        <w:t xml:space="preserve"> </w:t>
      </w:r>
      <w:proofErr w:type="spellStart"/>
      <w:r w:rsidR="00D32C16" w:rsidRPr="00CD4024">
        <w:rPr>
          <w:rFonts w:ascii="Times New Roman" w:hAnsi="Times New Roman" w:cs="Times New Roman"/>
          <w:sz w:val="24"/>
          <w:szCs w:val="24"/>
        </w:rPr>
        <w:t>rho</w:t>
      </w:r>
      <w:proofErr w:type="spellEnd"/>
      <w:r w:rsidR="00D32C16" w:rsidRPr="00CD4024">
        <w:rPr>
          <w:rFonts w:ascii="Times New Roman" w:hAnsi="Times New Roman" w:cs="Times New Roman"/>
          <w:sz w:val="24"/>
          <w:szCs w:val="24"/>
        </w:rPr>
        <w:t xml:space="preserve"> = -0,</w:t>
      </w:r>
      <w:r w:rsidR="00080F68">
        <w:rPr>
          <w:rFonts w:ascii="Times New Roman" w:hAnsi="Times New Roman" w:cs="Times New Roman"/>
          <w:sz w:val="24"/>
          <w:szCs w:val="24"/>
        </w:rPr>
        <w:t>667</w:t>
      </w:r>
      <w:r w:rsidR="00D32C16" w:rsidRPr="00CD4024">
        <w:rPr>
          <w:rFonts w:ascii="Times New Roman" w:hAnsi="Times New Roman" w:cs="Times New Roman"/>
          <w:sz w:val="24"/>
          <w:szCs w:val="24"/>
        </w:rPr>
        <w:t xml:space="preserve">), </w:t>
      </w:r>
      <w:r w:rsidR="00CD4024">
        <w:rPr>
          <w:rFonts w:ascii="Times New Roman" w:hAnsi="Times New Roman" w:cs="Times New Roman"/>
          <w:sz w:val="24"/>
          <w:szCs w:val="24"/>
        </w:rPr>
        <w:t>indicando</w:t>
      </w:r>
      <w:r w:rsidR="00D32C16" w:rsidRPr="00CD4024">
        <w:rPr>
          <w:rFonts w:ascii="Times New Roman" w:hAnsi="Times New Roman" w:cs="Times New Roman"/>
          <w:sz w:val="24"/>
          <w:szCs w:val="24"/>
        </w:rPr>
        <w:t>,</w:t>
      </w:r>
      <w:r w:rsidR="00CD4024">
        <w:rPr>
          <w:rFonts w:ascii="Times New Roman" w:hAnsi="Times New Roman" w:cs="Times New Roman"/>
          <w:sz w:val="24"/>
          <w:szCs w:val="24"/>
        </w:rPr>
        <w:t xml:space="preserve"> que</w:t>
      </w:r>
      <w:r w:rsidR="00D32C16" w:rsidRPr="00CD4024">
        <w:rPr>
          <w:rFonts w:ascii="Times New Roman" w:hAnsi="Times New Roman" w:cs="Times New Roman"/>
          <w:sz w:val="24"/>
          <w:szCs w:val="24"/>
        </w:rPr>
        <w:t xml:space="preserve"> quanto maior o orçamento per capita</w:t>
      </w:r>
      <w:r w:rsidR="00CD4024" w:rsidRPr="00CD4024">
        <w:rPr>
          <w:rFonts w:ascii="Times New Roman" w:hAnsi="Times New Roman" w:cs="Times New Roman"/>
          <w:sz w:val="24"/>
          <w:szCs w:val="24"/>
        </w:rPr>
        <w:t>, menor tende ser a eficiência</w:t>
      </w:r>
      <w:r w:rsidR="00CD4024">
        <w:rPr>
          <w:rFonts w:ascii="Times New Roman" w:hAnsi="Times New Roman" w:cs="Times New Roman"/>
          <w:sz w:val="24"/>
          <w:szCs w:val="24"/>
        </w:rPr>
        <w:t xml:space="preserve"> do município</w:t>
      </w:r>
      <w:r w:rsidR="00CD4024" w:rsidRPr="00CD4024">
        <w:rPr>
          <w:rFonts w:ascii="Times New Roman" w:hAnsi="Times New Roman" w:cs="Times New Roman"/>
          <w:sz w:val="24"/>
          <w:szCs w:val="24"/>
        </w:rPr>
        <w:t>.</w:t>
      </w:r>
      <w:r w:rsidR="00D32C16" w:rsidRPr="00CD4024">
        <w:rPr>
          <w:rFonts w:ascii="Times New Roman" w:hAnsi="Times New Roman" w:cs="Times New Roman"/>
          <w:sz w:val="24"/>
          <w:szCs w:val="24"/>
        </w:rPr>
        <w:t xml:space="preserve">  </w:t>
      </w:r>
    </w:p>
    <w:p w14:paraId="565C39B3" w14:textId="4D4C29E6" w:rsidR="009A4FFD" w:rsidRDefault="009A4FFD" w:rsidP="009A4FFD">
      <w:pPr>
        <w:spacing w:after="120" w:line="360" w:lineRule="auto"/>
        <w:ind w:firstLine="708"/>
        <w:jc w:val="both"/>
        <w:rPr>
          <w:rFonts w:ascii="Times New Roman" w:hAnsi="Times New Roman" w:cs="Times New Roman"/>
          <w:sz w:val="24"/>
          <w:szCs w:val="24"/>
        </w:rPr>
      </w:pPr>
      <w:r w:rsidRPr="00472E4D">
        <w:rPr>
          <w:rFonts w:ascii="Times New Roman" w:hAnsi="Times New Roman" w:cs="Times New Roman"/>
          <w:sz w:val="24"/>
          <w:szCs w:val="24"/>
        </w:rPr>
        <w:t xml:space="preserve">A última pergunta de pesquisa diz respeito a importância atribuída ao modelo </w:t>
      </w:r>
      <w:r w:rsidR="00E0008E" w:rsidRPr="00472E4D">
        <w:rPr>
          <w:rFonts w:ascii="Times New Roman" w:hAnsi="Times New Roman" w:cs="Times New Roman"/>
          <w:sz w:val="24"/>
          <w:szCs w:val="24"/>
        </w:rPr>
        <w:t xml:space="preserve">DEA CCR </w:t>
      </w:r>
      <w:r w:rsidRPr="00472E4D">
        <w:rPr>
          <w:rFonts w:ascii="Times New Roman" w:hAnsi="Times New Roman" w:cs="Times New Roman"/>
          <w:sz w:val="24"/>
          <w:szCs w:val="24"/>
        </w:rPr>
        <w:t>por meio d</w:t>
      </w:r>
      <w:r w:rsidR="00E0008E" w:rsidRPr="00472E4D">
        <w:rPr>
          <w:rFonts w:ascii="Times New Roman" w:hAnsi="Times New Roman" w:cs="Times New Roman"/>
          <w:sz w:val="24"/>
          <w:szCs w:val="24"/>
        </w:rPr>
        <w:t>os</w:t>
      </w:r>
      <w:r w:rsidRPr="00472E4D">
        <w:rPr>
          <w:rFonts w:ascii="Times New Roman" w:hAnsi="Times New Roman" w:cs="Times New Roman"/>
          <w:sz w:val="24"/>
          <w:szCs w:val="24"/>
        </w:rPr>
        <w:t xml:space="preserve"> pesos dados a cada uma das variáveis </w:t>
      </w:r>
      <w:r w:rsidR="00E0008E" w:rsidRPr="00472E4D">
        <w:rPr>
          <w:rFonts w:ascii="Times New Roman" w:hAnsi="Times New Roman" w:cs="Times New Roman"/>
          <w:sz w:val="24"/>
          <w:szCs w:val="24"/>
        </w:rPr>
        <w:t xml:space="preserve">de insumos e produtos </w:t>
      </w:r>
      <w:r w:rsidRPr="00472E4D">
        <w:rPr>
          <w:rFonts w:ascii="Times New Roman" w:hAnsi="Times New Roman" w:cs="Times New Roman"/>
          <w:sz w:val="24"/>
          <w:szCs w:val="24"/>
        </w:rPr>
        <w:t xml:space="preserve">testadas </w:t>
      </w:r>
      <w:r w:rsidRPr="00472E4D">
        <w:rPr>
          <w:rFonts w:ascii="Times New Roman" w:hAnsi="Times New Roman" w:cs="Times New Roman"/>
          <w:sz w:val="24"/>
          <w:szCs w:val="24"/>
        </w:rPr>
        <w:lastRenderedPageBreak/>
        <w:t xml:space="preserve">pelo modelo. </w:t>
      </w:r>
      <w:r w:rsidR="00E0008E" w:rsidRPr="00472E4D">
        <w:rPr>
          <w:rFonts w:ascii="Times New Roman" w:hAnsi="Times New Roman" w:cs="Times New Roman"/>
          <w:sz w:val="24"/>
          <w:szCs w:val="24"/>
        </w:rPr>
        <w:t>A</w:t>
      </w:r>
      <w:r w:rsidR="000D1CE6" w:rsidRPr="00472E4D">
        <w:rPr>
          <w:rFonts w:ascii="Times New Roman" w:hAnsi="Times New Roman" w:cs="Times New Roman"/>
          <w:sz w:val="24"/>
          <w:szCs w:val="24"/>
        </w:rPr>
        <w:t>s</w:t>
      </w:r>
      <w:r w:rsidR="00E0008E" w:rsidRPr="00472E4D">
        <w:rPr>
          <w:rFonts w:ascii="Times New Roman" w:hAnsi="Times New Roman" w:cs="Times New Roman"/>
          <w:sz w:val="24"/>
          <w:szCs w:val="24"/>
        </w:rPr>
        <w:t xml:space="preserve"> </w:t>
      </w:r>
      <w:r w:rsidRPr="00472E4D">
        <w:rPr>
          <w:rFonts w:ascii="Times New Roman" w:hAnsi="Times New Roman" w:cs="Times New Roman"/>
          <w:sz w:val="24"/>
          <w:szCs w:val="24"/>
        </w:rPr>
        <w:t>Tabela</w:t>
      </w:r>
      <w:r w:rsidR="000D1CE6" w:rsidRPr="00472E4D">
        <w:rPr>
          <w:rFonts w:ascii="Times New Roman" w:hAnsi="Times New Roman" w:cs="Times New Roman"/>
          <w:sz w:val="24"/>
          <w:szCs w:val="24"/>
        </w:rPr>
        <w:t>s</w:t>
      </w:r>
      <w:r w:rsidRPr="00472E4D">
        <w:rPr>
          <w:rFonts w:ascii="Times New Roman" w:hAnsi="Times New Roman" w:cs="Times New Roman"/>
          <w:sz w:val="24"/>
          <w:szCs w:val="24"/>
        </w:rPr>
        <w:t xml:space="preserve"> 1</w:t>
      </w:r>
      <w:r w:rsidR="00836A24">
        <w:rPr>
          <w:rFonts w:ascii="Times New Roman" w:hAnsi="Times New Roman" w:cs="Times New Roman"/>
          <w:sz w:val="24"/>
          <w:szCs w:val="24"/>
        </w:rPr>
        <w:t>5</w:t>
      </w:r>
      <w:r w:rsidR="000D1CE6" w:rsidRPr="00472E4D">
        <w:rPr>
          <w:rFonts w:ascii="Times New Roman" w:hAnsi="Times New Roman" w:cs="Times New Roman"/>
          <w:sz w:val="24"/>
          <w:szCs w:val="24"/>
        </w:rPr>
        <w:t xml:space="preserve"> e 1</w:t>
      </w:r>
      <w:r w:rsidR="00836A24">
        <w:rPr>
          <w:rFonts w:ascii="Times New Roman" w:hAnsi="Times New Roman" w:cs="Times New Roman"/>
          <w:sz w:val="24"/>
          <w:szCs w:val="24"/>
        </w:rPr>
        <w:t>6</w:t>
      </w:r>
      <w:r w:rsidRPr="00472E4D">
        <w:rPr>
          <w:rFonts w:ascii="Times New Roman" w:hAnsi="Times New Roman" w:cs="Times New Roman"/>
          <w:sz w:val="24"/>
          <w:szCs w:val="24"/>
        </w:rPr>
        <w:t xml:space="preserve"> contempla</w:t>
      </w:r>
      <w:r w:rsidR="000D1CE6" w:rsidRPr="00472E4D">
        <w:rPr>
          <w:rFonts w:ascii="Times New Roman" w:hAnsi="Times New Roman" w:cs="Times New Roman"/>
          <w:sz w:val="24"/>
          <w:szCs w:val="24"/>
        </w:rPr>
        <w:t>m</w:t>
      </w:r>
      <w:r w:rsidRPr="00472E4D">
        <w:rPr>
          <w:rFonts w:ascii="Times New Roman" w:hAnsi="Times New Roman" w:cs="Times New Roman"/>
          <w:sz w:val="24"/>
          <w:szCs w:val="24"/>
        </w:rPr>
        <w:t xml:space="preserve"> o número de DMUs que atribuíram pesos</w:t>
      </w:r>
      <w:r w:rsidR="000D1CE6" w:rsidRPr="00472E4D">
        <w:rPr>
          <w:rFonts w:ascii="Times New Roman" w:hAnsi="Times New Roman" w:cs="Times New Roman"/>
          <w:sz w:val="24"/>
          <w:szCs w:val="24"/>
        </w:rPr>
        <w:t xml:space="preserve"> diferentes de zero</w:t>
      </w:r>
      <w:r w:rsidRPr="00472E4D">
        <w:rPr>
          <w:rFonts w:ascii="Times New Roman" w:hAnsi="Times New Roman" w:cs="Times New Roman"/>
          <w:sz w:val="24"/>
          <w:szCs w:val="24"/>
        </w:rPr>
        <w:t xml:space="preserve"> para as</w:t>
      </w:r>
      <w:r w:rsidR="000D1CE6" w:rsidRPr="00472E4D">
        <w:rPr>
          <w:rFonts w:ascii="Times New Roman" w:hAnsi="Times New Roman" w:cs="Times New Roman"/>
          <w:sz w:val="24"/>
          <w:szCs w:val="24"/>
        </w:rPr>
        <w:t xml:space="preserve"> variáveis de insumos e produtos para cada h</w:t>
      </w:r>
      <w:r w:rsidRPr="00472E4D">
        <w:rPr>
          <w:rFonts w:ascii="Times New Roman" w:hAnsi="Times New Roman" w:cs="Times New Roman"/>
          <w:sz w:val="24"/>
          <w:szCs w:val="24"/>
        </w:rPr>
        <w:t>ierarquia.</w:t>
      </w:r>
    </w:p>
    <w:p w14:paraId="741BEB5B" w14:textId="04E1E12B" w:rsidR="009A4FFD" w:rsidRPr="00E0008E" w:rsidRDefault="009A4FFD" w:rsidP="00E0008E">
      <w:pPr>
        <w:spacing w:after="120" w:line="360" w:lineRule="auto"/>
        <w:jc w:val="center"/>
        <w:rPr>
          <w:rFonts w:ascii="Times New Roman" w:hAnsi="Times New Roman" w:cs="Times New Roman"/>
          <w:sz w:val="20"/>
          <w:szCs w:val="20"/>
        </w:rPr>
      </w:pPr>
      <w:r w:rsidRPr="00E0008E">
        <w:rPr>
          <w:rFonts w:ascii="Times New Roman" w:hAnsi="Times New Roman" w:cs="Times New Roman"/>
          <w:sz w:val="20"/>
          <w:szCs w:val="20"/>
        </w:rPr>
        <w:t>Tabela 1</w:t>
      </w:r>
      <w:r w:rsidR="00836A24">
        <w:rPr>
          <w:rFonts w:ascii="Times New Roman" w:hAnsi="Times New Roman" w:cs="Times New Roman"/>
          <w:sz w:val="20"/>
          <w:szCs w:val="20"/>
        </w:rPr>
        <w:t>5</w:t>
      </w:r>
      <w:r w:rsidRPr="00E0008E">
        <w:rPr>
          <w:rFonts w:ascii="Times New Roman" w:hAnsi="Times New Roman" w:cs="Times New Roman"/>
          <w:sz w:val="20"/>
          <w:szCs w:val="20"/>
        </w:rPr>
        <w:t xml:space="preserve"> – Análise dos pesos </w:t>
      </w:r>
      <w:r w:rsidR="00E0008E">
        <w:rPr>
          <w:rFonts w:ascii="Times New Roman" w:hAnsi="Times New Roman" w:cs="Times New Roman"/>
          <w:sz w:val="20"/>
          <w:szCs w:val="20"/>
        </w:rPr>
        <w:t xml:space="preserve">dos Insumos </w:t>
      </w:r>
      <w:r w:rsidRPr="00E0008E">
        <w:rPr>
          <w:rFonts w:ascii="Times New Roman" w:hAnsi="Times New Roman" w:cs="Times New Roman"/>
          <w:sz w:val="20"/>
          <w:szCs w:val="20"/>
        </w:rPr>
        <w:t>por</w:t>
      </w:r>
      <w:r w:rsidR="00E0008E">
        <w:rPr>
          <w:rFonts w:ascii="Times New Roman" w:hAnsi="Times New Roman" w:cs="Times New Roman"/>
          <w:sz w:val="20"/>
          <w:szCs w:val="20"/>
        </w:rPr>
        <w:t xml:space="preserve"> Hierarquia</w:t>
      </w:r>
      <w:r w:rsidRPr="00E0008E">
        <w:rPr>
          <w:rFonts w:ascii="Times New Roman" w:hAnsi="Times New Roman" w:cs="Times New Roman"/>
          <w:sz w:val="20"/>
          <w:szCs w:val="20"/>
        </w:rPr>
        <w:t xml:space="preserve"> </w:t>
      </w:r>
    </w:p>
    <w:tbl>
      <w:tblPr>
        <w:tblW w:w="0" w:type="auto"/>
        <w:tblCellMar>
          <w:left w:w="70" w:type="dxa"/>
          <w:right w:w="70" w:type="dxa"/>
        </w:tblCellMar>
        <w:tblLook w:val="04A0" w:firstRow="1" w:lastRow="0" w:firstColumn="1" w:lastColumn="0" w:noHBand="0" w:noVBand="1"/>
      </w:tblPr>
      <w:tblGrid>
        <w:gridCol w:w="518"/>
        <w:gridCol w:w="1051"/>
        <w:gridCol w:w="1646"/>
        <w:gridCol w:w="1835"/>
        <w:gridCol w:w="1385"/>
        <w:gridCol w:w="1346"/>
        <w:gridCol w:w="507"/>
      </w:tblGrid>
      <w:tr w:rsidR="00E8780D" w:rsidRPr="00941A5A" w14:paraId="55627519" w14:textId="77777777" w:rsidTr="00941A5A">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9886F" w14:textId="4ABE7E19" w:rsidR="00E8780D" w:rsidRPr="00941A5A" w:rsidRDefault="00E8780D" w:rsidP="006F63F6">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Peso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687806" w14:textId="5D7B6A31" w:rsidR="00E8780D" w:rsidRPr="00941A5A" w:rsidRDefault="00E8780D" w:rsidP="006F63F6">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Metrópoles</w:t>
            </w:r>
          </w:p>
        </w:tc>
        <w:tc>
          <w:tcPr>
            <w:tcW w:w="0" w:type="auto"/>
            <w:tcBorders>
              <w:top w:val="single" w:sz="4" w:space="0" w:color="auto"/>
              <w:left w:val="nil"/>
              <w:bottom w:val="single" w:sz="4" w:space="0" w:color="auto"/>
              <w:right w:val="single" w:sz="4" w:space="0" w:color="auto"/>
            </w:tcBorders>
            <w:shd w:val="clear" w:color="auto" w:fill="auto"/>
            <w:vAlign w:val="center"/>
          </w:tcPr>
          <w:p w14:paraId="69D552C5" w14:textId="62A5B3B7" w:rsidR="00E8780D" w:rsidRPr="00941A5A" w:rsidRDefault="00E8780D" w:rsidP="006F63F6">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Capitais Regionais</w:t>
            </w:r>
          </w:p>
        </w:tc>
        <w:tc>
          <w:tcPr>
            <w:tcW w:w="0" w:type="auto"/>
            <w:tcBorders>
              <w:top w:val="single" w:sz="4" w:space="0" w:color="auto"/>
              <w:left w:val="nil"/>
              <w:bottom w:val="single" w:sz="4" w:space="0" w:color="auto"/>
              <w:right w:val="single" w:sz="4" w:space="0" w:color="auto"/>
            </w:tcBorders>
            <w:shd w:val="clear" w:color="auto" w:fill="auto"/>
            <w:vAlign w:val="center"/>
          </w:tcPr>
          <w:p w14:paraId="18C69ACD" w14:textId="09EC4C20" w:rsidR="00E8780D" w:rsidRPr="00941A5A" w:rsidRDefault="00E8780D" w:rsidP="006F63F6">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 xml:space="preserve">Centro </w:t>
            </w:r>
            <w:proofErr w:type="gramStart"/>
            <w:r w:rsidRPr="00941A5A">
              <w:rPr>
                <w:rFonts w:ascii="Times New Roman" w:eastAsia="Times New Roman" w:hAnsi="Times New Roman" w:cs="Times New Roman"/>
                <w:color w:val="000000"/>
                <w:kern w:val="0"/>
                <w:sz w:val="20"/>
                <w:szCs w:val="20"/>
                <w:lang w:eastAsia="pt-BR"/>
                <w14:ligatures w14:val="none"/>
              </w:rPr>
              <w:t>Sub-Regional</w:t>
            </w:r>
            <w:proofErr w:type="gramEnd"/>
          </w:p>
        </w:tc>
        <w:tc>
          <w:tcPr>
            <w:tcW w:w="0" w:type="auto"/>
            <w:tcBorders>
              <w:top w:val="single" w:sz="4" w:space="0" w:color="auto"/>
              <w:left w:val="nil"/>
              <w:bottom w:val="single" w:sz="4" w:space="0" w:color="auto"/>
              <w:right w:val="single" w:sz="4" w:space="0" w:color="auto"/>
            </w:tcBorders>
            <w:shd w:val="clear" w:color="auto" w:fill="auto"/>
            <w:vAlign w:val="center"/>
          </w:tcPr>
          <w:p w14:paraId="625F3256" w14:textId="49311688" w:rsidR="00E8780D" w:rsidRPr="00941A5A" w:rsidRDefault="00E8780D" w:rsidP="006F63F6">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Centro de Zona</w:t>
            </w:r>
          </w:p>
        </w:tc>
        <w:tc>
          <w:tcPr>
            <w:tcW w:w="0" w:type="auto"/>
            <w:tcBorders>
              <w:top w:val="single" w:sz="4" w:space="0" w:color="auto"/>
              <w:left w:val="nil"/>
              <w:bottom w:val="single" w:sz="4" w:space="0" w:color="auto"/>
              <w:right w:val="single" w:sz="4" w:space="0" w:color="auto"/>
            </w:tcBorders>
            <w:shd w:val="clear" w:color="auto" w:fill="auto"/>
            <w:vAlign w:val="center"/>
          </w:tcPr>
          <w:p w14:paraId="0E3B23AF" w14:textId="7B3A2E01" w:rsidR="00E8780D" w:rsidRPr="00941A5A" w:rsidRDefault="00E8780D" w:rsidP="006F63F6">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Centros Locais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7158D" w14:textId="4D7A1CF2" w:rsidR="00E8780D" w:rsidRPr="00941A5A" w:rsidRDefault="00941A5A" w:rsidP="006F63F6">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w:t>
            </w:r>
          </w:p>
        </w:tc>
      </w:tr>
      <w:tr w:rsidR="00941A5A" w:rsidRPr="00941A5A" w14:paraId="146CE6A2"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049A8AA"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themeColor="text1"/>
                <w:kern w:val="0"/>
                <w:sz w:val="20"/>
                <w:szCs w:val="20"/>
                <w:lang w:eastAsia="pt-BR"/>
                <w14:ligatures w14:val="none"/>
              </w:rPr>
              <w:t>v</w:t>
            </w:r>
            <w:r w:rsidRPr="00941A5A">
              <w:rPr>
                <w:rFonts w:ascii="Times New Roman" w:eastAsia="Times New Roman" w:hAnsi="Times New Roman" w:cs="Times New Roman"/>
                <w:color w:val="000000"/>
                <w:kern w:val="0"/>
                <w:sz w:val="20"/>
                <w:szCs w:val="20"/>
                <w:vertAlign w:val="subscript"/>
                <w:lang w:eastAsia="pt-BR"/>
                <w14:ligatures w14:val="none"/>
              </w:rPr>
              <w:t>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4D8517B" w14:textId="1255BB6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121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BABFB6" w14:textId="67D4987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5995C3" w14:textId="2F75E43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3D34237" w14:textId="067E377A"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290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A012DF" w14:textId="19F3051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2255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2BE7EB" w14:textId="6BDA4A0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59%</w:t>
            </w:r>
          </w:p>
        </w:tc>
      </w:tr>
      <w:tr w:rsidR="00941A5A" w:rsidRPr="00941A5A" w14:paraId="58431E58"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D89A89"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themeColor="text1"/>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2</w:t>
            </w:r>
          </w:p>
        </w:tc>
        <w:tc>
          <w:tcPr>
            <w:tcW w:w="0" w:type="auto"/>
            <w:tcBorders>
              <w:top w:val="nil"/>
              <w:left w:val="nil"/>
              <w:bottom w:val="single" w:sz="4" w:space="0" w:color="auto"/>
              <w:right w:val="single" w:sz="4" w:space="0" w:color="auto"/>
            </w:tcBorders>
            <w:shd w:val="clear" w:color="auto" w:fill="auto"/>
            <w:noWrap/>
            <w:vAlign w:val="center"/>
          </w:tcPr>
          <w:p w14:paraId="00AD50C4" w14:textId="7E03ED2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99</w:t>
            </w:r>
          </w:p>
        </w:tc>
        <w:tc>
          <w:tcPr>
            <w:tcW w:w="0" w:type="auto"/>
            <w:tcBorders>
              <w:top w:val="nil"/>
              <w:left w:val="nil"/>
              <w:bottom w:val="single" w:sz="4" w:space="0" w:color="auto"/>
              <w:right w:val="single" w:sz="4" w:space="0" w:color="auto"/>
            </w:tcBorders>
            <w:shd w:val="clear" w:color="auto" w:fill="auto"/>
            <w:noWrap/>
            <w:vAlign w:val="center"/>
          </w:tcPr>
          <w:p w14:paraId="14001E43" w14:textId="61EABE69"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158</w:t>
            </w:r>
          </w:p>
        </w:tc>
        <w:tc>
          <w:tcPr>
            <w:tcW w:w="0" w:type="auto"/>
            <w:tcBorders>
              <w:top w:val="nil"/>
              <w:left w:val="nil"/>
              <w:bottom w:val="single" w:sz="4" w:space="0" w:color="auto"/>
              <w:right w:val="single" w:sz="4" w:space="0" w:color="auto"/>
            </w:tcBorders>
            <w:shd w:val="clear" w:color="auto" w:fill="auto"/>
            <w:noWrap/>
            <w:vAlign w:val="center"/>
          </w:tcPr>
          <w:p w14:paraId="6395A683" w14:textId="58C1D08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295</w:t>
            </w:r>
          </w:p>
        </w:tc>
        <w:tc>
          <w:tcPr>
            <w:tcW w:w="0" w:type="auto"/>
            <w:tcBorders>
              <w:top w:val="nil"/>
              <w:left w:val="nil"/>
              <w:bottom w:val="single" w:sz="4" w:space="0" w:color="auto"/>
              <w:right w:val="single" w:sz="4" w:space="0" w:color="auto"/>
            </w:tcBorders>
            <w:shd w:val="clear" w:color="auto" w:fill="auto"/>
            <w:noWrap/>
            <w:vAlign w:val="center"/>
          </w:tcPr>
          <w:p w14:paraId="7F21E171" w14:textId="3322E8A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330</w:t>
            </w:r>
          </w:p>
        </w:tc>
        <w:tc>
          <w:tcPr>
            <w:tcW w:w="0" w:type="auto"/>
            <w:tcBorders>
              <w:top w:val="nil"/>
              <w:left w:val="nil"/>
              <w:bottom w:val="single" w:sz="4" w:space="0" w:color="auto"/>
              <w:right w:val="single" w:sz="4" w:space="0" w:color="auto"/>
            </w:tcBorders>
            <w:shd w:val="clear" w:color="auto" w:fill="auto"/>
            <w:noWrap/>
            <w:vAlign w:val="center"/>
          </w:tcPr>
          <w:p w14:paraId="51D29925" w14:textId="1B17ACC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1603</w:t>
            </w:r>
          </w:p>
        </w:tc>
        <w:tc>
          <w:tcPr>
            <w:tcW w:w="0" w:type="auto"/>
            <w:tcBorders>
              <w:top w:val="nil"/>
              <w:left w:val="nil"/>
              <w:bottom w:val="single" w:sz="4" w:space="0" w:color="auto"/>
              <w:right w:val="single" w:sz="4" w:space="0" w:color="auto"/>
            </w:tcBorders>
            <w:shd w:val="clear" w:color="auto" w:fill="auto"/>
            <w:noWrap/>
            <w:vAlign w:val="center"/>
          </w:tcPr>
          <w:p w14:paraId="05744336" w14:textId="3B7B0A2E"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46%</w:t>
            </w:r>
          </w:p>
        </w:tc>
      </w:tr>
      <w:tr w:rsidR="00941A5A" w:rsidRPr="00941A5A" w14:paraId="24DCC5A6"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F00ADC"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themeColor="text1"/>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3</w:t>
            </w:r>
          </w:p>
        </w:tc>
        <w:tc>
          <w:tcPr>
            <w:tcW w:w="0" w:type="auto"/>
            <w:tcBorders>
              <w:top w:val="nil"/>
              <w:left w:val="nil"/>
              <w:bottom w:val="single" w:sz="4" w:space="0" w:color="auto"/>
              <w:right w:val="single" w:sz="4" w:space="0" w:color="auto"/>
            </w:tcBorders>
            <w:shd w:val="clear" w:color="auto" w:fill="auto"/>
            <w:noWrap/>
            <w:vAlign w:val="center"/>
          </w:tcPr>
          <w:p w14:paraId="10DD5B30" w14:textId="77AD157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119</w:t>
            </w:r>
          </w:p>
        </w:tc>
        <w:tc>
          <w:tcPr>
            <w:tcW w:w="0" w:type="auto"/>
            <w:tcBorders>
              <w:top w:val="nil"/>
              <w:left w:val="nil"/>
              <w:bottom w:val="single" w:sz="4" w:space="0" w:color="auto"/>
              <w:right w:val="single" w:sz="4" w:space="0" w:color="auto"/>
            </w:tcBorders>
            <w:shd w:val="clear" w:color="auto" w:fill="auto"/>
            <w:noWrap/>
            <w:vAlign w:val="center"/>
          </w:tcPr>
          <w:p w14:paraId="16FFFBEF" w14:textId="0597BB8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209</w:t>
            </w:r>
          </w:p>
        </w:tc>
        <w:tc>
          <w:tcPr>
            <w:tcW w:w="0" w:type="auto"/>
            <w:tcBorders>
              <w:top w:val="nil"/>
              <w:left w:val="nil"/>
              <w:bottom w:val="single" w:sz="4" w:space="0" w:color="auto"/>
              <w:right w:val="single" w:sz="4" w:space="0" w:color="auto"/>
            </w:tcBorders>
            <w:shd w:val="clear" w:color="auto" w:fill="auto"/>
            <w:noWrap/>
            <w:vAlign w:val="center"/>
          </w:tcPr>
          <w:p w14:paraId="7570BBD7" w14:textId="1E689E4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299</w:t>
            </w:r>
          </w:p>
        </w:tc>
        <w:tc>
          <w:tcPr>
            <w:tcW w:w="0" w:type="auto"/>
            <w:tcBorders>
              <w:top w:val="nil"/>
              <w:left w:val="nil"/>
              <w:bottom w:val="single" w:sz="4" w:space="0" w:color="auto"/>
              <w:right w:val="single" w:sz="4" w:space="0" w:color="auto"/>
            </w:tcBorders>
            <w:shd w:val="clear" w:color="auto" w:fill="auto"/>
            <w:noWrap/>
            <w:vAlign w:val="center"/>
          </w:tcPr>
          <w:p w14:paraId="00E313E8" w14:textId="5D437A39"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287</w:t>
            </w:r>
          </w:p>
        </w:tc>
        <w:tc>
          <w:tcPr>
            <w:tcW w:w="0" w:type="auto"/>
            <w:tcBorders>
              <w:top w:val="nil"/>
              <w:left w:val="nil"/>
              <w:bottom w:val="single" w:sz="4" w:space="0" w:color="auto"/>
              <w:right w:val="single" w:sz="4" w:space="0" w:color="auto"/>
            </w:tcBorders>
            <w:shd w:val="clear" w:color="auto" w:fill="auto"/>
            <w:noWrap/>
            <w:vAlign w:val="center"/>
          </w:tcPr>
          <w:p w14:paraId="227F54DE" w14:textId="764B610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2832</w:t>
            </w:r>
          </w:p>
        </w:tc>
        <w:tc>
          <w:tcPr>
            <w:tcW w:w="0" w:type="auto"/>
            <w:tcBorders>
              <w:top w:val="nil"/>
              <w:left w:val="nil"/>
              <w:bottom w:val="single" w:sz="4" w:space="0" w:color="auto"/>
              <w:right w:val="single" w:sz="4" w:space="0" w:color="auto"/>
            </w:tcBorders>
            <w:shd w:val="clear" w:color="auto" w:fill="auto"/>
            <w:noWrap/>
            <w:vAlign w:val="center"/>
          </w:tcPr>
          <w:p w14:paraId="5CC8F7F1" w14:textId="5F7BF30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69%</w:t>
            </w:r>
          </w:p>
        </w:tc>
      </w:tr>
      <w:tr w:rsidR="00941A5A" w:rsidRPr="00941A5A" w14:paraId="23F8C878"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736C3"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themeColor="text1"/>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4</w:t>
            </w:r>
          </w:p>
        </w:tc>
        <w:tc>
          <w:tcPr>
            <w:tcW w:w="0" w:type="auto"/>
            <w:tcBorders>
              <w:top w:val="nil"/>
              <w:left w:val="nil"/>
              <w:bottom w:val="single" w:sz="4" w:space="0" w:color="auto"/>
              <w:right w:val="single" w:sz="4" w:space="0" w:color="auto"/>
            </w:tcBorders>
            <w:shd w:val="clear" w:color="auto" w:fill="auto"/>
            <w:noWrap/>
            <w:vAlign w:val="center"/>
          </w:tcPr>
          <w:p w14:paraId="781CBF49" w14:textId="461CF6C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139</w:t>
            </w:r>
          </w:p>
        </w:tc>
        <w:tc>
          <w:tcPr>
            <w:tcW w:w="0" w:type="auto"/>
            <w:tcBorders>
              <w:top w:val="nil"/>
              <w:left w:val="nil"/>
              <w:bottom w:val="single" w:sz="4" w:space="0" w:color="auto"/>
              <w:right w:val="single" w:sz="4" w:space="0" w:color="auto"/>
            </w:tcBorders>
            <w:shd w:val="clear" w:color="auto" w:fill="auto"/>
            <w:noWrap/>
            <w:vAlign w:val="center"/>
          </w:tcPr>
          <w:p w14:paraId="01E35BAB" w14:textId="29020DC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209</w:t>
            </w:r>
          </w:p>
        </w:tc>
        <w:tc>
          <w:tcPr>
            <w:tcW w:w="0" w:type="auto"/>
            <w:tcBorders>
              <w:top w:val="nil"/>
              <w:left w:val="nil"/>
              <w:bottom w:val="single" w:sz="4" w:space="0" w:color="auto"/>
              <w:right w:val="single" w:sz="4" w:space="0" w:color="auto"/>
            </w:tcBorders>
            <w:shd w:val="clear" w:color="auto" w:fill="auto"/>
            <w:noWrap/>
            <w:vAlign w:val="center"/>
          </w:tcPr>
          <w:p w14:paraId="0A406440" w14:textId="2E8C291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319</w:t>
            </w:r>
          </w:p>
        </w:tc>
        <w:tc>
          <w:tcPr>
            <w:tcW w:w="0" w:type="auto"/>
            <w:tcBorders>
              <w:top w:val="nil"/>
              <w:left w:val="nil"/>
              <w:bottom w:val="single" w:sz="4" w:space="0" w:color="auto"/>
              <w:right w:val="single" w:sz="4" w:space="0" w:color="auto"/>
            </w:tcBorders>
            <w:shd w:val="clear" w:color="auto" w:fill="auto"/>
            <w:noWrap/>
            <w:vAlign w:val="center"/>
          </w:tcPr>
          <w:p w14:paraId="63529669" w14:textId="00B4C1B7"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262</w:t>
            </w:r>
          </w:p>
        </w:tc>
        <w:tc>
          <w:tcPr>
            <w:tcW w:w="0" w:type="auto"/>
            <w:tcBorders>
              <w:top w:val="nil"/>
              <w:left w:val="nil"/>
              <w:bottom w:val="single" w:sz="4" w:space="0" w:color="auto"/>
              <w:right w:val="single" w:sz="4" w:space="0" w:color="auto"/>
            </w:tcBorders>
            <w:shd w:val="clear" w:color="auto" w:fill="auto"/>
            <w:noWrap/>
            <w:vAlign w:val="center"/>
          </w:tcPr>
          <w:p w14:paraId="72611C97" w14:textId="44D6E9A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2444</w:t>
            </w:r>
          </w:p>
        </w:tc>
        <w:tc>
          <w:tcPr>
            <w:tcW w:w="0" w:type="auto"/>
            <w:tcBorders>
              <w:top w:val="nil"/>
              <w:left w:val="nil"/>
              <w:bottom w:val="single" w:sz="4" w:space="0" w:color="auto"/>
              <w:right w:val="single" w:sz="4" w:space="0" w:color="auto"/>
            </w:tcBorders>
            <w:shd w:val="clear" w:color="auto" w:fill="auto"/>
            <w:noWrap/>
            <w:vAlign w:val="center"/>
          </w:tcPr>
          <w:p w14:paraId="6FE0F3E0" w14:textId="41D4D60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63%</w:t>
            </w:r>
          </w:p>
        </w:tc>
      </w:tr>
      <w:tr w:rsidR="00941A5A" w:rsidRPr="00941A5A" w14:paraId="401A9A57"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2F733F"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themeColor="text1"/>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5</w:t>
            </w:r>
          </w:p>
        </w:tc>
        <w:tc>
          <w:tcPr>
            <w:tcW w:w="0" w:type="auto"/>
            <w:tcBorders>
              <w:top w:val="nil"/>
              <w:left w:val="nil"/>
              <w:bottom w:val="single" w:sz="4" w:space="0" w:color="auto"/>
              <w:right w:val="single" w:sz="4" w:space="0" w:color="auto"/>
            </w:tcBorders>
            <w:shd w:val="clear" w:color="auto" w:fill="auto"/>
            <w:noWrap/>
            <w:vAlign w:val="center"/>
          </w:tcPr>
          <w:p w14:paraId="2964EE96" w14:textId="60332E7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107</w:t>
            </w:r>
          </w:p>
        </w:tc>
        <w:tc>
          <w:tcPr>
            <w:tcW w:w="0" w:type="auto"/>
            <w:tcBorders>
              <w:top w:val="nil"/>
              <w:left w:val="nil"/>
              <w:bottom w:val="single" w:sz="4" w:space="0" w:color="auto"/>
              <w:right w:val="single" w:sz="4" w:space="0" w:color="auto"/>
            </w:tcBorders>
            <w:shd w:val="clear" w:color="auto" w:fill="auto"/>
            <w:noWrap/>
            <w:vAlign w:val="center"/>
          </w:tcPr>
          <w:p w14:paraId="2021BAE6" w14:textId="4ED735B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190</w:t>
            </w:r>
          </w:p>
        </w:tc>
        <w:tc>
          <w:tcPr>
            <w:tcW w:w="0" w:type="auto"/>
            <w:tcBorders>
              <w:top w:val="nil"/>
              <w:left w:val="nil"/>
              <w:bottom w:val="single" w:sz="4" w:space="0" w:color="auto"/>
              <w:right w:val="single" w:sz="4" w:space="0" w:color="auto"/>
            </w:tcBorders>
            <w:shd w:val="clear" w:color="auto" w:fill="auto"/>
            <w:noWrap/>
            <w:vAlign w:val="center"/>
          </w:tcPr>
          <w:p w14:paraId="490BCB31" w14:textId="5210118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258</w:t>
            </w:r>
          </w:p>
        </w:tc>
        <w:tc>
          <w:tcPr>
            <w:tcW w:w="0" w:type="auto"/>
            <w:tcBorders>
              <w:top w:val="nil"/>
              <w:left w:val="nil"/>
              <w:bottom w:val="single" w:sz="4" w:space="0" w:color="auto"/>
              <w:right w:val="single" w:sz="4" w:space="0" w:color="auto"/>
            </w:tcBorders>
            <w:shd w:val="clear" w:color="auto" w:fill="auto"/>
            <w:noWrap/>
            <w:vAlign w:val="center"/>
          </w:tcPr>
          <w:p w14:paraId="647EF522" w14:textId="3178374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298</w:t>
            </w:r>
          </w:p>
        </w:tc>
        <w:tc>
          <w:tcPr>
            <w:tcW w:w="0" w:type="auto"/>
            <w:tcBorders>
              <w:top w:val="nil"/>
              <w:left w:val="nil"/>
              <w:bottom w:val="single" w:sz="4" w:space="0" w:color="auto"/>
              <w:right w:val="single" w:sz="4" w:space="0" w:color="auto"/>
            </w:tcBorders>
            <w:shd w:val="clear" w:color="auto" w:fill="auto"/>
            <w:noWrap/>
            <w:vAlign w:val="center"/>
          </w:tcPr>
          <w:p w14:paraId="758F0D7D" w14:textId="03CE222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2654</w:t>
            </w:r>
          </w:p>
        </w:tc>
        <w:tc>
          <w:tcPr>
            <w:tcW w:w="0" w:type="auto"/>
            <w:tcBorders>
              <w:top w:val="nil"/>
              <w:left w:val="nil"/>
              <w:bottom w:val="single" w:sz="4" w:space="0" w:color="auto"/>
              <w:right w:val="single" w:sz="4" w:space="0" w:color="auto"/>
            </w:tcBorders>
            <w:shd w:val="clear" w:color="auto" w:fill="auto"/>
            <w:noWrap/>
            <w:vAlign w:val="center"/>
          </w:tcPr>
          <w:p w14:paraId="78E9E59C" w14:textId="7372F0D5"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65%</w:t>
            </w:r>
          </w:p>
        </w:tc>
      </w:tr>
      <w:tr w:rsidR="00941A5A" w:rsidRPr="00941A5A" w14:paraId="21B5DEFE"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79FE16F"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themeColor="text1"/>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6</w:t>
            </w:r>
          </w:p>
        </w:tc>
        <w:tc>
          <w:tcPr>
            <w:tcW w:w="0" w:type="auto"/>
            <w:tcBorders>
              <w:top w:val="nil"/>
              <w:left w:val="nil"/>
              <w:bottom w:val="single" w:sz="4" w:space="0" w:color="auto"/>
              <w:right w:val="single" w:sz="4" w:space="0" w:color="auto"/>
            </w:tcBorders>
            <w:shd w:val="clear" w:color="auto" w:fill="auto"/>
            <w:noWrap/>
            <w:vAlign w:val="center"/>
          </w:tcPr>
          <w:p w14:paraId="2B983365" w14:textId="26898735"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146</w:t>
            </w:r>
          </w:p>
        </w:tc>
        <w:tc>
          <w:tcPr>
            <w:tcW w:w="0" w:type="auto"/>
            <w:tcBorders>
              <w:top w:val="nil"/>
              <w:left w:val="nil"/>
              <w:bottom w:val="single" w:sz="4" w:space="0" w:color="auto"/>
              <w:right w:val="single" w:sz="4" w:space="0" w:color="auto"/>
            </w:tcBorders>
            <w:shd w:val="clear" w:color="auto" w:fill="auto"/>
            <w:noWrap/>
            <w:vAlign w:val="center"/>
          </w:tcPr>
          <w:p w14:paraId="08F87BE4" w14:textId="31340CE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99</w:t>
            </w:r>
          </w:p>
        </w:tc>
        <w:tc>
          <w:tcPr>
            <w:tcW w:w="0" w:type="auto"/>
            <w:tcBorders>
              <w:top w:val="nil"/>
              <w:left w:val="nil"/>
              <w:bottom w:val="single" w:sz="4" w:space="0" w:color="auto"/>
              <w:right w:val="single" w:sz="4" w:space="0" w:color="auto"/>
            </w:tcBorders>
            <w:shd w:val="clear" w:color="auto" w:fill="auto"/>
            <w:noWrap/>
            <w:vAlign w:val="center"/>
          </w:tcPr>
          <w:p w14:paraId="3FB59745" w14:textId="4D7DED5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263</w:t>
            </w:r>
          </w:p>
        </w:tc>
        <w:tc>
          <w:tcPr>
            <w:tcW w:w="0" w:type="auto"/>
            <w:tcBorders>
              <w:top w:val="nil"/>
              <w:left w:val="nil"/>
              <w:bottom w:val="single" w:sz="4" w:space="0" w:color="auto"/>
              <w:right w:val="single" w:sz="4" w:space="0" w:color="auto"/>
            </w:tcBorders>
            <w:shd w:val="clear" w:color="auto" w:fill="auto"/>
            <w:noWrap/>
            <w:vAlign w:val="center"/>
          </w:tcPr>
          <w:p w14:paraId="347909CF" w14:textId="6BECDE8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267</w:t>
            </w:r>
          </w:p>
        </w:tc>
        <w:tc>
          <w:tcPr>
            <w:tcW w:w="0" w:type="auto"/>
            <w:tcBorders>
              <w:top w:val="nil"/>
              <w:left w:val="nil"/>
              <w:bottom w:val="single" w:sz="4" w:space="0" w:color="auto"/>
              <w:right w:val="single" w:sz="4" w:space="0" w:color="auto"/>
            </w:tcBorders>
            <w:shd w:val="clear" w:color="auto" w:fill="auto"/>
            <w:noWrap/>
            <w:vAlign w:val="center"/>
          </w:tcPr>
          <w:p w14:paraId="227A1894" w14:textId="1601096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1979</w:t>
            </w:r>
          </w:p>
        </w:tc>
        <w:tc>
          <w:tcPr>
            <w:tcW w:w="0" w:type="auto"/>
            <w:tcBorders>
              <w:top w:val="nil"/>
              <w:left w:val="nil"/>
              <w:bottom w:val="single" w:sz="4" w:space="0" w:color="auto"/>
              <w:right w:val="single" w:sz="4" w:space="0" w:color="auto"/>
            </w:tcBorders>
            <w:shd w:val="clear" w:color="auto" w:fill="auto"/>
            <w:noWrap/>
            <w:vAlign w:val="center"/>
          </w:tcPr>
          <w:p w14:paraId="68D3D597" w14:textId="3604320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51%</w:t>
            </w:r>
          </w:p>
        </w:tc>
      </w:tr>
      <w:tr w:rsidR="00941A5A" w:rsidRPr="00941A5A" w14:paraId="1BD05FFD"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93887A5"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v</w:t>
            </w:r>
            <w:r w:rsidRPr="00941A5A">
              <w:rPr>
                <w:rFonts w:ascii="Times New Roman" w:eastAsia="Times New Roman" w:hAnsi="Times New Roman" w:cs="Times New Roman"/>
                <w:color w:val="000000"/>
                <w:kern w:val="0"/>
                <w:sz w:val="20"/>
                <w:szCs w:val="20"/>
                <w:vertAlign w:val="subscript"/>
                <w:lang w:eastAsia="pt-BR"/>
                <w14:ligatures w14:val="none"/>
              </w:rPr>
              <w:t>7</w:t>
            </w:r>
          </w:p>
        </w:tc>
        <w:tc>
          <w:tcPr>
            <w:tcW w:w="0" w:type="auto"/>
            <w:tcBorders>
              <w:top w:val="nil"/>
              <w:left w:val="nil"/>
              <w:bottom w:val="single" w:sz="4" w:space="0" w:color="auto"/>
              <w:right w:val="single" w:sz="4" w:space="0" w:color="auto"/>
            </w:tcBorders>
            <w:shd w:val="clear" w:color="auto" w:fill="auto"/>
            <w:noWrap/>
            <w:vAlign w:val="center"/>
          </w:tcPr>
          <w:p w14:paraId="68B8A8D2" w14:textId="0514D42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75</w:t>
            </w:r>
          </w:p>
        </w:tc>
        <w:tc>
          <w:tcPr>
            <w:tcW w:w="0" w:type="auto"/>
            <w:tcBorders>
              <w:top w:val="nil"/>
              <w:left w:val="nil"/>
              <w:bottom w:val="single" w:sz="4" w:space="0" w:color="auto"/>
              <w:right w:val="single" w:sz="4" w:space="0" w:color="auto"/>
            </w:tcBorders>
            <w:shd w:val="clear" w:color="auto" w:fill="auto"/>
            <w:noWrap/>
            <w:vAlign w:val="center"/>
          </w:tcPr>
          <w:p w14:paraId="0F315F00" w14:textId="34DF39C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159</w:t>
            </w:r>
          </w:p>
        </w:tc>
        <w:tc>
          <w:tcPr>
            <w:tcW w:w="0" w:type="auto"/>
            <w:tcBorders>
              <w:top w:val="nil"/>
              <w:left w:val="nil"/>
              <w:bottom w:val="single" w:sz="4" w:space="0" w:color="auto"/>
              <w:right w:val="single" w:sz="4" w:space="0" w:color="auto"/>
            </w:tcBorders>
            <w:shd w:val="clear" w:color="auto" w:fill="auto"/>
            <w:noWrap/>
            <w:vAlign w:val="center"/>
          </w:tcPr>
          <w:p w14:paraId="74164D40" w14:textId="730624D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272</w:t>
            </w:r>
          </w:p>
        </w:tc>
        <w:tc>
          <w:tcPr>
            <w:tcW w:w="0" w:type="auto"/>
            <w:tcBorders>
              <w:top w:val="nil"/>
              <w:left w:val="nil"/>
              <w:bottom w:val="single" w:sz="4" w:space="0" w:color="auto"/>
              <w:right w:val="single" w:sz="4" w:space="0" w:color="auto"/>
            </w:tcBorders>
            <w:shd w:val="clear" w:color="auto" w:fill="auto"/>
            <w:noWrap/>
            <w:vAlign w:val="center"/>
          </w:tcPr>
          <w:p w14:paraId="169E90AE" w14:textId="7920E60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262</w:t>
            </w:r>
          </w:p>
        </w:tc>
        <w:tc>
          <w:tcPr>
            <w:tcW w:w="0" w:type="auto"/>
            <w:tcBorders>
              <w:top w:val="nil"/>
              <w:left w:val="nil"/>
              <w:bottom w:val="single" w:sz="4" w:space="0" w:color="auto"/>
              <w:right w:val="single" w:sz="4" w:space="0" w:color="auto"/>
            </w:tcBorders>
            <w:shd w:val="clear" w:color="auto" w:fill="auto"/>
            <w:noWrap/>
            <w:vAlign w:val="center"/>
          </w:tcPr>
          <w:p w14:paraId="5C212393" w14:textId="40D1DEE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1943</w:t>
            </w:r>
          </w:p>
        </w:tc>
        <w:tc>
          <w:tcPr>
            <w:tcW w:w="0" w:type="auto"/>
            <w:tcBorders>
              <w:top w:val="nil"/>
              <w:left w:val="nil"/>
              <w:bottom w:val="single" w:sz="4" w:space="0" w:color="auto"/>
              <w:right w:val="single" w:sz="4" w:space="0" w:color="auto"/>
            </w:tcBorders>
            <w:shd w:val="clear" w:color="auto" w:fill="auto"/>
            <w:noWrap/>
            <w:vAlign w:val="center"/>
          </w:tcPr>
          <w:p w14:paraId="4C2AAA34" w14:textId="54247BD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50%</w:t>
            </w:r>
          </w:p>
        </w:tc>
      </w:tr>
      <w:tr w:rsidR="00941A5A" w:rsidRPr="00941A5A" w14:paraId="3339B4F9"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FF313F"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8</w:t>
            </w:r>
          </w:p>
        </w:tc>
        <w:tc>
          <w:tcPr>
            <w:tcW w:w="0" w:type="auto"/>
            <w:tcBorders>
              <w:top w:val="nil"/>
              <w:left w:val="nil"/>
              <w:bottom w:val="single" w:sz="4" w:space="0" w:color="auto"/>
              <w:right w:val="single" w:sz="4" w:space="0" w:color="auto"/>
            </w:tcBorders>
            <w:shd w:val="clear" w:color="auto" w:fill="auto"/>
            <w:noWrap/>
            <w:vAlign w:val="center"/>
          </w:tcPr>
          <w:p w14:paraId="10110A8B" w14:textId="0B1B6BC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37</w:t>
            </w:r>
          </w:p>
        </w:tc>
        <w:tc>
          <w:tcPr>
            <w:tcW w:w="0" w:type="auto"/>
            <w:tcBorders>
              <w:top w:val="nil"/>
              <w:left w:val="nil"/>
              <w:bottom w:val="single" w:sz="4" w:space="0" w:color="auto"/>
              <w:right w:val="single" w:sz="4" w:space="0" w:color="auto"/>
            </w:tcBorders>
            <w:shd w:val="clear" w:color="auto" w:fill="auto"/>
            <w:noWrap/>
            <w:vAlign w:val="center"/>
          </w:tcPr>
          <w:p w14:paraId="78CE2300" w14:textId="72B874E9"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85</w:t>
            </w:r>
          </w:p>
        </w:tc>
        <w:tc>
          <w:tcPr>
            <w:tcW w:w="0" w:type="auto"/>
            <w:tcBorders>
              <w:top w:val="nil"/>
              <w:left w:val="nil"/>
              <w:bottom w:val="single" w:sz="4" w:space="0" w:color="auto"/>
              <w:right w:val="single" w:sz="4" w:space="0" w:color="auto"/>
            </w:tcBorders>
            <w:shd w:val="clear" w:color="auto" w:fill="auto"/>
            <w:noWrap/>
            <w:vAlign w:val="center"/>
          </w:tcPr>
          <w:p w14:paraId="1721B329" w14:textId="4DC1872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219</w:t>
            </w:r>
          </w:p>
        </w:tc>
        <w:tc>
          <w:tcPr>
            <w:tcW w:w="0" w:type="auto"/>
            <w:tcBorders>
              <w:top w:val="nil"/>
              <w:left w:val="nil"/>
              <w:bottom w:val="single" w:sz="4" w:space="0" w:color="auto"/>
              <w:right w:val="single" w:sz="4" w:space="0" w:color="auto"/>
            </w:tcBorders>
            <w:shd w:val="clear" w:color="auto" w:fill="auto"/>
            <w:noWrap/>
            <w:vAlign w:val="center"/>
          </w:tcPr>
          <w:p w14:paraId="02E2DEA0" w14:textId="7E26413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256</w:t>
            </w:r>
          </w:p>
        </w:tc>
        <w:tc>
          <w:tcPr>
            <w:tcW w:w="0" w:type="auto"/>
            <w:tcBorders>
              <w:top w:val="nil"/>
              <w:left w:val="nil"/>
              <w:bottom w:val="single" w:sz="4" w:space="0" w:color="auto"/>
              <w:right w:val="single" w:sz="4" w:space="0" w:color="auto"/>
            </w:tcBorders>
            <w:shd w:val="clear" w:color="auto" w:fill="auto"/>
            <w:noWrap/>
            <w:vAlign w:val="center"/>
          </w:tcPr>
          <w:p w14:paraId="5483527A" w14:textId="4E61FA45"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1947</w:t>
            </w:r>
          </w:p>
        </w:tc>
        <w:tc>
          <w:tcPr>
            <w:tcW w:w="0" w:type="auto"/>
            <w:tcBorders>
              <w:top w:val="nil"/>
              <w:left w:val="nil"/>
              <w:bottom w:val="single" w:sz="4" w:space="0" w:color="auto"/>
              <w:right w:val="single" w:sz="4" w:space="0" w:color="auto"/>
            </w:tcBorders>
            <w:shd w:val="clear" w:color="auto" w:fill="auto"/>
            <w:noWrap/>
            <w:vAlign w:val="center"/>
          </w:tcPr>
          <w:p w14:paraId="04405641" w14:textId="0FDD814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47%</w:t>
            </w:r>
          </w:p>
        </w:tc>
      </w:tr>
      <w:tr w:rsidR="00941A5A" w:rsidRPr="00941A5A" w14:paraId="2D64747F"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E07CE0"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9</w:t>
            </w:r>
          </w:p>
        </w:tc>
        <w:tc>
          <w:tcPr>
            <w:tcW w:w="0" w:type="auto"/>
            <w:tcBorders>
              <w:top w:val="nil"/>
              <w:left w:val="nil"/>
              <w:bottom w:val="single" w:sz="4" w:space="0" w:color="auto"/>
              <w:right w:val="single" w:sz="4" w:space="0" w:color="auto"/>
            </w:tcBorders>
            <w:shd w:val="clear" w:color="auto" w:fill="auto"/>
            <w:noWrap/>
            <w:vAlign w:val="center"/>
          </w:tcPr>
          <w:p w14:paraId="0A23795A" w14:textId="36019C9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152</w:t>
            </w:r>
          </w:p>
        </w:tc>
        <w:tc>
          <w:tcPr>
            <w:tcW w:w="0" w:type="auto"/>
            <w:tcBorders>
              <w:top w:val="nil"/>
              <w:left w:val="nil"/>
              <w:bottom w:val="single" w:sz="4" w:space="0" w:color="auto"/>
              <w:right w:val="single" w:sz="4" w:space="0" w:color="auto"/>
            </w:tcBorders>
            <w:shd w:val="clear" w:color="auto" w:fill="auto"/>
            <w:noWrap/>
            <w:vAlign w:val="center"/>
          </w:tcPr>
          <w:p w14:paraId="0DF336EF" w14:textId="296A04E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236</w:t>
            </w:r>
          </w:p>
        </w:tc>
        <w:tc>
          <w:tcPr>
            <w:tcW w:w="0" w:type="auto"/>
            <w:tcBorders>
              <w:top w:val="nil"/>
              <w:left w:val="nil"/>
              <w:bottom w:val="single" w:sz="4" w:space="0" w:color="auto"/>
              <w:right w:val="single" w:sz="4" w:space="0" w:color="auto"/>
            </w:tcBorders>
            <w:shd w:val="clear" w:color="auto" w:fill="auto"/>
            <w:noWrap/>
            <w:vAlign w:val="center"/>
          </w:tcPr>
          <w:p w14:paraId="468F1C02" w14:textId="146AE50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391</w:t>
            </w:r>
          </w:p>
        </w:tc>
        <w:tc>
          <w:tcPr>
            <w:tcW w:w="0" w:type="auto"/>
            <w:tcBorders>
              <w:top w:val="nil"/>
              <w:left w:val="nil"/>
              <w:bottom w:val="single" w:sz="4" w:space="0" w:color="auto"/>
              <w:right w:val="single" w:sz="4" w:space="0" w:color="auto"/>
            </w:tcBorders>
            <w:shd w:val="clear" w:color="auto" w:fill="auto"/>
            <w:noWrap/>
            <w:vAlign w:val="center"/>
          </w:tcPr>
          <w:p w14:paraId="7B324081" w14:textId="1CA183C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376</w:t>
            </w:r>
          </w:p>
        </w:tc>
        <w:tc>
          <w:tcPr>
            <w:tcW w:w="0" w:type="auto"/>
            <w:tcBorders>
              <w:top w:val="nil"/>
              <w:left w:val="nil"/>
              <w:bottom w:val="single" w:sz="4" w:space="0" w:color="auto"/>
              <w:right w:val="single" w:sz="4" w:space="0" w:color="auto"/>
            </w:tcBorders>
            <w:shd w:val="clear" w:color="auto" w:fill="auto"/>
            <w:noWrap/>
            <w:vAlign w:val="center"/>
          </w:tcPr>
          <w:p w14:paraId="51E19584" w14:textId="1FCB108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3749</w:t>
            </w:r>
          </w:p>
        </w:tc>
        <w:tc>
          <w:tcPr>
            <w:tcW w:w="0" w:type="auto"/>
            <w:tcBorders>
              <w:top w:val="nil"/>
              <w:left w:val="nil"/>
              <w:bottom w:val="single" w:sz="4" w:space="0" w:color="auto"/>
              <w:right w:val="single" w:sz="4" w:space="0" w:color="auto"/>
            </w:tcBorders>
            <w:shd w:val="clear" w:color="auto" w:fill="auto"/>
            <w:noWrap/>
            <w:vAlign w:val="center"/>
          </w:tcPr>
          <w:p w14:paraId="1CB02ABE" w14:textId="0D09081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91%</w:t>
            </w:r>
          </w:p>
        </w:tc>
      </w:tr>
      <w:tr w:rsidR="00941A5A" w:rsidRPr="00941A5A" w14:paraId="3BDFE2BD"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5EBD4"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10</w:t>
            </w:r>
          </w:p>
        </w:tc>
        <w:tc>
          <w:tcPr>
            <w:tcW w:w="0" w:type="auto"/>
            <w:tcBorders>
              <w:top w:val="nil"/>
              <w:left w:val="nil"/>
              <w:bottom w:val="single" w:sz="4" w:space="0" w:color="auto"/>
              <w:right w:val="single" w:sz="4" w:space="0" w:color="auto"/>
            </w:tcBorders>
            <w:shd w:val="clear" w:color="auto" w:fill="auto"/>
            <w:noWrap/>
            <w:vAlign w:val="center"/>
          </w:tcPr>
          <w:p w14:paraId="06C4E6A1" w14:textId="76E004C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68</w:t>
            </w:r>
          </w:p>
        </w:tc>
        <w:tc>
          <w:tcPr>
            <w:tcW w:w="0" w:type="auto"/>
            <w:tcBorders>
              <w:top w:val="nil"/>
              <w:left w:val="nil"/>
              <w:bottom w:val="single" w:sz="4" w:space="0" w:color="auto"/>
              <w:right w:val="single" w:sz="4" w:space="0" w:color="auto"/>
            </w:tcBorders>
            <w:shd w:val="clear" w:color="auto" w:fill="auto"/>
            <w:noWrap/>
            <w:vAlign w:val="center"/>
          </w:tcPr>
          <w:p w14:paraId="4AD07453" w14:textId="634A1DDA"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179</w:t>
            </w:r>
          </w:p>
        </w:tc>
        <w:tc>
          <w:tcPr>
            <w:tcW w:w="0" w:type="auto"/>
            <w:tcBorders>
              <w:top w:val="nil"/>
              <w:left w:val="nil"/>
              <w:bottom w:val="single" w:sz="4" w:space="0" w:color="auto"/>
              <w:right w:val="single" w:sz="4" w:space="0" w:color="auto"/>
            </w:tcBorders>
            <w:shd w:val="clear" w:color="auto" w:fill="auto"/>
            <w:noWrap/>
            <w:vAlign w:val="center"/>
          </w:tcPr>
          <w:p w14:paraId="3A0B69B6" w14:textId="63E0C25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265</w:t>
            </w:r>
          </w:p>
        </w:tc>
        <w:tc>
          <w:tcPr>
            <w:tcW w:w="0" w:type="auto"/>
            <w:tcBorders>
              <w:top w:val="nil"/>
              <w:left w:val="nil"/>
              <w:bottom w:val="single" w:sz="4" w:space="0" w:color="auto"/>
              <w:right w:val="single" w:sz="4" w:space="0" w:color="auto"/>
            </w:tcBorders>
            <w:shd w:val="clear" w:color="auto" w:fill="auto"/>
            <w:noWrap/>
            <w:vAlign w:val="center"/>
          </w:tcPr>
          <w:p w14:paraId="62E3464E" w14:textId="7B4908D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241</w:t>
            </w:r>
          </w:p>
        </w:tc>
        <w:tc>
          <w:tcPr>
            <w:tcW w:w="0" w:type="auto"/>
            <w:tcBorders>
              <w:top w:val="nil"/>
              <w:left w:val="nil"/>
              <w:bottom w:val="single" w:sz="4" w:space="0" w:color="auto"/>
              <w:right w:val="single" w:sz="4" w:space="0" w:color="auto"/>
            </w:tcBorders>
            <w:shd w:val="clear" w:color="auto" w:fill="auto"/>
            <w:noWrap/>
            <w:vAlign w:val="center"/>
          </w:tcPr>
          <w:p w14:paraId="440CFA59" w14:textId="4C46786A"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1592</w:t>
            </w:r>
          </w:p>
        </w:tc>
        <w:tc>
          <w:tcPr>
            <w:tcW w:w="0" w:type="auto"/>
            <w:tcBorders>
              <w:top w:val="nil"/>
              <w:left w:val="nil"/>
              <w:bottom w:val="single" w:sz="4" w:space="0" w:color="auto"/>
              <w:right w:val="single" w:sz="4" w:space="0" w:color="auto"/>
            </w:tcBorders>
            <w:shd w:val="clear" w:color="auto" w:fill="auto"/>
            <w:noWrap/>
            <w:vAlign w:val="center"/>
          </w:tcPr>
          <w:p w14:paraId="17769932" w14:textId="3C49BCB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43%</w:t>
            </w:r>
          </w:p>
        </w:tc>
      </w:tr>
      <w:tr w:rsidR="00941A5A" w:rsidRPr="00941A5A" w14:paraId="0FF48330"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0A42C1"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11</w:t>
            </w:r>
          </w:p>
        </w:tc>
        <w:tc>
          <w:tcPr>
            <w:tcW w:w="0" w:type="auto"/>
            <w:tcBorders>
              <w:top w:val="nil"/>
              <w:left w:val="nil"/>
              <w:bottom w:val="single" w:sz="4" w:space="0" w:color="auto"/>
              <w:right w:val="single" w:sz="4" w:space="0" w:color="auto"/>
            </w:tcBorders>
            <w:shd w:val="clear" w:color="auto" w:fill="auto"/>
            <w:noWrap/>
            <w:vAlign w:val="center"/>
          </w:tcPr>
          <w:p w14:paraId="7FAFB4A2" w14:textId="0B24E0B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130</w:t>
            </w:r>
          </w:p>
        </w:tc>
        <w:tc>
          <w:tcPr>
            <w:tcW w:w="0" w:type="auto"/>
            <w:tcBorders>
              <w:top w:val="nil"/>
              <w:left w:val="nil"/>
              <w:bottom w:val="single" w:sz="4" w:space="0" w:color="auto"/>
              <w:right w:val="single" w:sz="4" w:space="0" w:color="auto"/>
            </w:tcBorders>
            <w:shd w:val="clear" w:color="auto" w:fill="auto"/>
            <w:noWrap/>
            <w:vAlign w:val="center"/>
          </w:tcPr>
          <w:p w14:paraId="12B1B8D8" w14:textId="2D68268A"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246</w:t>
            </w:r>
          </w:p>
        </w:tc>
        <w:tc>
          <w:tcPr>
            <w:tcW w:w="0" w:type="auto"/>
            <w:tcBorders>
              <w:top w:val="nil"/>
              <w:left w:val="nil"/>
              <w:bottom w:val="single" w:sz="4" w:space="0" w:color="auto"/>
              <w:right w:val="single" w:sz="4" w:space="0" w:color="auto"/>
            </w:tcBorders>
            <w:shd w:val="clear" w:color="auto" w:fill="auto"/>
            <w:noWrap/>
            <w:vAlign w:val="center"/>
          </w:tcPr>
          <w:p w14:paraId="470CF209" w14:textId="408C4F0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387</w:t>
            </w:r>
          </w:p>
        </w:tc>
        <w:tc>
          <w:tcPr>
            <w:tcW w:w="0" w:type="auto"/>
            <w:tcBorders>
              <w:top w:val="nil"/>
              <w:left w:val="nil"/>
              <w:bottom w:val="single" w:sz="4" w:space="0" w:color="auto"/>
              <w:right w:val="single" w:sz="4" w:space="0" w:color="auto"/>
            </w:tcBorders>
            <w:shd w:val="clear" w:color="auto" w:fill="auto"/>
            <w:noWrap/>
            <w:vAlign w:val="center"/>
          </w:tcPr>
          <w:p w14:paraId="56AE2C9E" w14:textId="3BE4E5A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341</w:t>
            </w:r>
          </w:p>
        </w:tc>
        <w:tc>
          <w:tcPr>
            <w:tcW w:w="0" w:type="auto"/>
            <w:tcBorders>
              <w:top w:val="nil"/>
              <w:left w:val="nil"/>
              <w:bottom w:val="single" w:sz="4" w:space="0" w:color="auto"/>
              <w:right w:val="single" w:sz="4" w:space="0" w:color="auto"/>
            </w:tcBorders>
            <w:shd w:val="clear" w:color="auto" w:fill="auto"/>
            <w:noWrap/>
            <w:vAlign w:val="center"/>
          </w:tcPr>
          <w:p w14:paraId="72F29212" w14:textId="4686652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2973</w:t>
            </w:r>
          </w:p>
        </w:tc>
        <w:tc>
          <w:tcPr>
            <w:tcW w:w="0" w:type="auto"/>
            <w:tcBorders>
              <w:top w:val="nil"/>
              <w:left w:val="nil"/>
              <w:bottom w:val="single" w:sz="4" w:space="0" w:color="auto"/>
              <w:right w:val="single" w:sz="4" w:space="0" w:color="auto"/>
            </w:tcBorders>
            <w:shd w:val="clear" w:color="auto" w:fill="auto"/>
            <w:noWrap/>
            <w:vAlign w:val="center"/>
          </w:tcPr>
          <w:p w14:paraId="6CE107C8" w14:textId="532F64D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76%</w:t>
            </w:r>
          </w:p>
        </w:tc>
      </w:tr>
      <w:tr w:rsidR="00941A5A" w:rsidRPr="00941A5A" w14:paraId="3062C574" w14:textId="77777777" w:rsidTr="00472E4D">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5981E9" w14:textId="77777777"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v</w:t>
            </w:r>
            <w:r w:rsidRPr="00941A5A">
              <w:rPr>
                <w:rFonts w:ascii="Times New Roman" w:eastAsia="Times New Roman" w:hAnsi="Times New Roman" w:cs="Times New Roman"/>
                <w:i/>
                <w:iCs/>
                <w:color w:val="000000"/>
                <w:kern w:val="0"/>
                <w:sz w:val="20"/>
                <w:szCs w:val="20"/>
                <w:vertAlign w:val="subscript"/>
                <w:lang w:eastAsia="pt-BR"/>
                <w14:ligatures w14:val="none"/>
              </w:rPr>
              <w:t>12</w:t>
            </w:r>
          </w:p>
        </w:tc>
        <w:tc>
          <w:tcPr>
            <w:tcW w:w="0" w:type="auto"/>
            <w:tcBorders>
              <w:top w:val="nil"/>
              <w:left w:val="nil"/>
              <w:bottom w:val="single" w:sz="4" w:space="0" w:color="auto"/>
              <w:right w:val="single" w:sz="4" w:space="0" w:color="auto"/>
            </w:tcBorders>
            <w:shd w:val="clear" w:color="auto" w:fill="auto"/>
            <w:noWrap/>
            <w:vAlign w:val="center"/>
          </w:tcPr>
          <w:p w14:paraId="2ED98756" w14:textId="20CCFDB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153</w:t>
            </w:r>
          </w:p>
        </w:tc>
        <w:tc>
          <w:tcPr>
            <w:tcW w:w="0" w:type="auto"/>
            <w:tcBorders>
              <w:top w:val="nil"/>
              <w:left w:val="nil"/>
              <w:bottom w:val="single" w:sz="4" w:space="0" w:color="auto"/>
              <w:right w:val="single" w:sz="4" w:space="0" w:color="auto"/>
            </w:tcBorders>
            <w:shd w:val="clear" w:color="auto" w:fill="auto"/>
            <w:noWrap/>
            <w:vAlign w:val="center"/>
          </w:tcPr>
          <w:p w14:paraId="6A29B0DA" w14:textId="0F9B36A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194</w:t>
            </w:r>
          </w:p>
        </w:tc>
        <w:tc>
          <w:tcPr>
            <w:tcW w:w="0" w:type="auto"/>
            <w:tcBorders>
              <w:top w:val="nil"/>
              <w:left w:val="nil"/>
              <w:bottom w:val="single" w:sz="4" w:space="0" w:color="auto"/>
              <w:right w:val="single" w:sz="4" w:space="0" w:color="auto"/>
            </w:tcBorders>
            <w:shd w:val="clear" w:color="auto" w:fill="auto"/>
            <w:noWrap/>
            <w:vAlign w:val="center"/>
          </w:tcPr>
          <w:p w14:paraId="5C728764" w14:textId="61C1C8EA"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395</w:t>
            </w:r>
          </w:p>
        </w:tc>
        <w:tc>
          <w:tcPr>
            <w:tcW w:w="0" w:type="auto"/>
            <w:tcBorders>
              <w:top w:val="nil"/>
              <w:left w:val="nil"/>
              <w:bottom w:val="single" w:sz="4" w:space="0" w:color="auto"/>
              <w:right w:val="single" w:sz="4" w:space="0" w:color="auto"/>
            </w:tcBorders>
            <w:shd w:val="clear" w:color="auto" w:fill="auto"/>
            <w:noWrap/>
            <w:vAlign w:val="center"/>
          </w:tcPr>
          <w:p w14:paraId="30C0EC42" w14:textId="574A8DA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331</w:t>
            </w:r>
          </w:p>
        </w:tc>
        <w:tc>
          <w:tcPr>
            <w:tcW w:w="0" w:type="auto"/>
            <w:tcBorders>
              <w:top w:val="nil"/>
              <w:left w:val="nil"/>
              <w:bottom w:val="single" w:sz="4" w:space="0" w:color="auto"/>
              <w:right w:val="single" w:sz="4" w:space="0" w:color="auto"/>
            </w:tcBorders>
            <w:shd w:val="clear" w:color="auto" w:fill="auto"/>
            <w:noWrap/>
            <w:vAlign w:val="center"/>
          </w:tcPr>
          <w:p w14:paraId="74346D26" w14:textId="2CE28F09"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2645</w:t>
            </w:r>
          </w:p>
        </w:tc>
        <w:tc>
          <w:tcPr>
            <w:tcW w:w="0" w:type="auto"/>
            <w:tcBorders>
              <w:top w:val="nil"/>
              <w:left w:val="nil"/>
              <w:bottom w:val="single" w:sz="4" w:space="0" w:color="auto"/>
              <w:right w:val="single" w:sz="4" w:space="0" w:color="auto"/>
            </w:tcBorders>
            <w:shd w:val="clear" w:color="auto" w:fill="auto"/>
            <w:noWrap/>
            <w:vAlign w:val="center"/>
          </w:tcPr>
          <w:p w14:paraId="436FBAEC" w14:textId="4348A76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69%</w:t>
            </w:r>
          </w:p>
        </w:tc>
      </w:tr>
    </w:tbl>
    <w:p w14:paraId="21B2A171" w14:textId="77777777" w:rsidR="0029067D" w:rsidRDefault="0029067D" w:rsidP="00E0008E">
      <w:pPr>
        <w:spacing w:after="120" w:line="360" w:lineRule="auto"/>
        <w:jc w:val="center"/>
        <w:rPr>
          <w:rFonts w:ascii="Times New Roman" w:hAnsi="Times New Roman" w:cs="Times New Roman"/>
          <w:sz w:val="20"/>
          <w:szCs w:val="20"/>
        </w:rPr>
      </w:pPr>
    </w:p>
    <w:p w14:paraId="38A861C9" w14:textId="3E44BE69" w:rsidR="00E0008E" w:rsidRDefault="00E0008E" w:rsidP="00E0008E">
      <w:pPr>
        <w:spacing w:after="120" w:line="360" w:lineRule="auto"/>
        <w:jc w:val="center"/>
        <w:rPr>
          <w:rFonts w:ascii="Times New Roman" w:hAnsi="Times New Roman" w:cs="Times New Roman"/>
          <w:sz w:val="20"/>
          <w:szCs w:val="20"/>
        </w:rPr>
      </w:pPr>
      <w:r w:rsidRPr="00E0008E">
        <w:rPr>
          <w:rFonts w:ascii="Times New Roman" w:hAnsi="Times New Roman" w:cs="Times New Roman"/>
          <w:sz w:val="20"/>
          <w:szCs w:val="20"/>
        </w:rPr>
        <w:t>Tabela 1</w:t>
      </w:r>
      <w:r w:rsidR="00836A24">
        <w:rPr>
          <w:rFonts w:ascii="Times New Roman" w:hAnsi="Times New Roman" w:cs="Times New Roman"/>
          <w:sz w:val="20"/>
          <w:szCs w:val="20"/>
        </w:rPr>
        <w:t>6</w:t>
      </w:r>
      <w:r w:rsidRPr="00E0008E">
        <w:rPr>
          <w:rFonts w:ascii="Times New Roman" w:hAnsi="Times New Roman" w:cs="Times New Roman"/>
          <w:sz w:val="20"/>
          <w:szCs w:val="20"/>
        </w:rPr>
        <w:t xml:space="preserve"> – Análise dos pesos </w:t>
      </w:r>
      <w:r>
        <w:rPr>
          <w:rFonts w:ascii="Times New Roman" w:hAnsi="Times New Roman" w:cs="Times New Roman"/>
          <w:sz w:val="20"/>
          <w:szCs w:val="20"/>
        </w:rPr>
        <w:t xml:space="preserve">dos Produtos </w:t>
      </w:r>
      <w:r w:rsidRPr="00E0008E">
        <w:rPr>
          <w:rFonts w:ascii="Times New Roman" w:hAnsi="Times New Roman" w:cs="Times New Roman"/>
          <w:sz w:val="20"/>
          <w:szCs w:val="20"/>
        </w:rPr>
        <w:t>por</w:t>
      </w:r>
      <w:r>
        <w:rPr>
          <w:rFonts w:ascii="Times New Roman" w:hAnsi="Times New Roman" w:cs="Times New Roman"/>
          <w:sz w:val="20"/>
          <w:szCs w:val="20"/>
        </w:rPr>
        <w:t xml:space="preserve"> Hierarquia</w:t>
      </w:r>
      <w:r w:rsidRPr="00E0008E">
        <w:rPr>
          <w:rFonts w:ascii="Times New Roman" w:hAnsi="Times New Roman" w:cs="Times New Roman"/>
          <w:sz w:val="20"/>
          <w:szCs w:val="20"/>
        </w:rPr>
        <w:t xml:space="preserve"> </w:t>
      </w:r>
    </w:p>
    <w:tbl>
      <w:tblPr>
        <w:tblW w:w="0" w:type="auto"/>
        <w:tblCellMar>
          <w:left w:w="70" w:type="dxa"/>
          <w:right w:w="70" w:type="dxa"/>
        </w:tblCellMar>
        <w:tblLook w:val="04A0" w:firstRow="1" w:lastRow="0" w:firstColumn="1" w:lastColumn="0" w:noHBand="0" w:noVBand="1"/>
      </w:tblPr>
      <w:tblGrid>
        <w:gridCol w:w="518"/>
        <w:gridCol w:w="1051"/>
        <w:gridCol w:w="1646"/>
        <w:gridCol w:w="1835"/>
        <w:gridCol w:w="1385"/>
        <w:gridCol w:w="1346"/>
        <w:gridCol w:w="507"/>
      </w:tblGrid>
      <w:tr w:rsidR="00E8780D" w:rsidRPr="00941A5A" w14:paraId="5EA9C8F0" w14:textId="77777777" w:rsidTr="00941A5A">
        <w:trPr>
          <w:trHeight w:val="46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0614C9" w14:textId="77777777" w:rsidR="00E8780D" w:rsidRPr="00941A5A" w:rsidRDefault="00E8780D" w:rsidP="00F3649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Peso</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584D44" w14:textId="77777777" w:rsidR="00E8780D" w:rsidRPr="00941A5A" w:rsidRDefault="00E8780D" w:rsidP="00F3649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Metrópoles</w:t>
            </w:r>
          </w:p>
        </w:tc>
        <w:tc>
          <w:tcPr>
            <w:tcW w:w="0" w:type="auto"/>
            <w:tcBorders>
              <w:top w:val="single" w:sz="4" w:space="0" w:color="auto"/>
              <w:left w:val="nil"/>
              <w:bottom w:val="single" w:sz="4" w:space="0" w:color="auto"/>
              <w:right w:val="single" w:sz="4" w:space="0" w:color="auto"/>
            </w:tcBorders>
            <w:shd w:val="clear" w:color="auto" w:fill="auto"/>
            <w:vAlign w:val="center"/>
          </w:tcPr>
          <w:p w14:paraId="6F99196B" w14:textId="77777777" w:rsidR="00E8780D" w:rsidRPr="00941A5A" w:rsidRDefault="00E8780D" w:rsidP="00F3649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Capitais Regionais</w:t>
            </w:r>
          </w:p>
        </w:tc>
        <w:tc>
          <w:tcPr>
            <w:tcW w:w="0" w:type="auto"/>
            <w:tcBorders>
              <w:top w:val="single" w:sz="4" w:space="0" w:color="auto"/>
              <w:left w:val="nil"/>
              <w:bottom w:val="single" w:sz="4" w:space="0" w:color="auto"/>
              <w:right w:val="single" w:sz="4" w:space="0" w:color="auto"/>
            </w:tcBorders>
            <w:shd w:val="clear" w:color="auto" w:fill="auto"/>
            <w:vAlign w:val="center"/>
          </w:tcPr>
          <w:p w14:paraId="5F71177A" w14:textId="77777777" w:rsidR="00E8780D" w:rsidRPr="00941A5A" w:rsidRDefault="00E8780D" w:rsidP="00F3649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 xml:space="preserve">Centro </w:t>
            </w:r>
            <w:proofErr w:type="gramStart"/>
            <w:r w:rsidRPr="00941A5A">
              <w:rPr>
                <w:rFonts w:ascii="Times New Roman" w:eastAsia="Times New Roman" w:hAnsi="Times New Roman" w:cs="Times New Roman"/>
                <w:color w:val="000000"/>
                <w:kern w:val="0"/>
                <w:sz w:val="20"/>
                <w:szCs w:val="20"/>
                <w:lang w:eastAsia="pt-BR"/>
                <w14:ligatures w14:val="none"/>
              </w:rPr>
              <w:t>Sub-Regional</w:t>
            </w:r>
            <w:proofErr w:type="gramEnd"/>
          </w:p>
        </w:tc>
        <w:tc>
          <w:tcPr>
            <w:tcW w:w="0" w:type="auto"/>
            <w:tcBorders>
              <w:top w:val="single" w:sz="4" w:space="0" w:color="auto"/>
              <w:left w:val="nil"/>
              <w:bottom w:val="single" w:sz="4" w:space="0" w:color="auto"/>
              <w:right w:val="single" w:sz="4" w:space="0" w:color="auto"/>
            </w:tcBorders>
            <w:shd w:val="clear" w:color="auto" w:fill="auto"/>
            <w:vAlign w:val="center"/>
          </w:tcPr>
          <w:p w14:paraId="109E9C08" w14:textId="77777777" w:rsidR="00E8780D" w:rsidRPr="00941A5A" w:rsidRDefault="00E8780D" w:rsidP="00F3649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Centro de Zona</w:t>
            </w:r>
          </w:p>
        </w:tc>
        <w:tc>
          <w:tcPr>
            <w:tcW w:w="0" w:type="auto"/>
            <w:tcBorders>
              <w:top w:val="single" w:sz="4" w:space="0" w:color="auto"/>
              <w:left w:val="nil"/>
              <w:bottom w:val="single" w:sz="4" w:space="0" w:color="auto"/>
              <w:right w:val="single" w:sz="4" w:space="0" w:color="auto"/>
            </w:tcBorders>
            <w:shd w:val="clear" w:color="auto" w:fill="auto"/>
            <w:vAlign w:val="center"/>
          </w:tcPr>
          <w:p w14:paraId="2FD4AA49" w14:textId="77777777" w:rsidR="00E8780D" w:rsidRPr="00941A5A" w:rsidRDefault="00E8780D" w:rsidP="00F3649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Centros Locais</w:t>
            </w:r>
          </w:p>
        </w:tc>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58206" w14:textId="033E9D70" w:rsidR="00E8780D" w:rsidRPr="00941A5A" w:rsidRDefault="00941A5A" w:rsidP="00F36490">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eastAsia="Times New Roman" w:hAnsi="Times New Roman" w:cs="Times New Roman"/>
                <w:color w:val="000000"/>
                <w:kern w:val="0"/>
                <w:sz w:val="20"/>
                <w:szCs w:val="20"/>
                <w:lang w:eastAsia="pt-BR"/>
                <w14:ligatures w14:val="none"/>
              </w:rPr>
              <w:t>%</w:t>
            </w:r>
          </w:p>
        </w:tc>
      </w:tr>
      <w:tr w:rsidR="00941A5A" w:rsidRPr="00941A5A" w14:paraId="12F24412"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8E9833" w14:textId="73B23A49"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719D6B" w14:textId="3356FBA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B0D0E2" w14:textId="49B90BA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4A6517" w14:textId="4A48B2F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14E7EA" w14:textId="4D94B46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C11DD90" w14:textId="484E563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314</w:t>
            </w:r>
          </w:p>
        </w:tc>
        <w:tc>
          <w:tcPr>
            <w:tcW w:w="436" w:type="dxa"/>
            <w:tcBorders>
              <w:top w:val="single" w:sz="4" w:space="0" w:color="auto"/>
              <w:left w:val="nil"/>
              <w:bottom w:val="single" w:sz="4" w:space="0" w:color="auto"/>
              <w:right w:val="single" w:sz="4" w:space="0" w:color="auto"/>
            </w:tcBorders>
            <w:shd w:val="clear" w:color="auto" w:fill="auto"/>
            <w:noWrap/>
            <w:vAlign w:val="center"/>
          </w:tcPr>
          <w:p w14:paraId="546DCA2F" w14:textId="2F70C8D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8%</w:t>
            </w:r>
          </w:p>
        </w:tc>
      </w:tr>
      <w:tr w:rsidR="00941A5A" w:rsidRPr="00941A5A" w14:paraId="6C34F440"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2A1597" w14:textId="2E0095C9"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2</w:t>
            </w:r>
          </w:p>
        </w:tc>
        <w:tc>
          <w:tcPr>
            <w:tcW w:w="0" w:type="auto"/>
            <w:tcBorders>
              <w:top w:val="nil"/>
              <w:left w:val="nil"/>
              <w:bottom w:val="single" w:sz="4" w:space="0" w:color="auto"/>
              <w:right w:val="single" w:sz="4" w:space="0" w:color="auto"/>
            </w:tcBorders>
            <w:shd w:val="clear" w:color="auto" w:fill="auto"/>
            <w:noWrap/>
            <w:vAlign w:val="center"/>
          </w:tcPr>
          <w:p w14:paraId="308B44C2" w14:textId="2AFFFD59"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43</w:t>
            </w:r>
          </w:p>
        </w:tc>
        <w:tc>
          <w:tcPr>
            <w:tcW w:w="0" w:type="auto"/>
            <w:tcBorders>
              <w:top w:val="nil"/>
              <w:left w:val="nil"/>
              <w:bottom w:val="single" w:sz="4" w:space="0" w:color="auto"/>
              <w:right w:val="single" w:sz="4" w:space="0" w:color="auto"/>
            </w:tcBorders>
            <w:shd w:val="clear" w:color="auto" w:fill="auto"/>
            <w:noWrap/>
            <w:vAlign w:val="center"/>
          </w:tcPr>
          <w:p w14:paraId="69D9868A" w14:textId="5B01A4DE"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72</w:t>
            </w:r>
          </w:p>
        </w:tc>
        <w:tc>
          <w:tcPr>
            <w:tcW w:w="0" w:type="auto"/>
            <w:tcBorders>
              <w:top w:val="nil"/>
              <w:left w:val="nil"/>
              <w:bottom w:val="single" w:sz="4" w:space="0" w:color="auto"/>
              <w:right w:val="single" w:sz="4" w:space="0" w:color="auto"/>
            </w:tcBorders>
            <w:shd w:val="clear" w:color="auto" w:fill="auto"/>
            <w:noWrap/>
            <w:vAlign w:val="center"/>
          </w:tcPr>
          <w:p w14:paraId="590B4196" w14:textId="6205B43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139</w:t>
            </w:r>
          </w:p>
        </w:tc>
        <w:tc>
          <w:tcPr>
            <w:tcW w:w="0" w:type="auto"/>
            <w:tcBorders>
              <w:top w:val="nil"/>
              <w:left w:val="nil"/>
              <w:bottom w:val="single" w:sz="4" w:space="0" w:color="auto"/>
              <w:right w:val="single" w:sz="4" w:space="0" w:color="auto"/>
            </w:tcBorders>
            <w:shd w:val="clear" w:color="auto" w:fill="auto"/>
            <w:noWrap/>
            <w:vAlign w:val="center"/>
          </w:tcPr>
          <w:p w14:paraId="1FDFEF16" w14:textId="5CD8E68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80</w:t>
            </w:r>
          </w:p>
        </w:tc>
        <w:tc>
          <w:tcPr>
            <w:tcW w:w="0" w:type="auto"/>
            <w:tcBorders>
              <w:top w:val="nil"/>
              <w:left w:val="nil"/>
              <w:bottom w:val="single" w:sz="4" w:space="0" w:color="auto"/>
              <w:right w:val="single" w:sz="4" w:space="0" w:color="auto"/>
            </w:tcBorders>
            <w:shd w:val="clear" w:color="auto" w:fill="auto"/>
            <w:noWrap/>
            <w:vAlign w:val="center"/>
          </w:tcPr>
          <w:p w14:paraId="6CE3DF6E" w14:textId="004EFB1E"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1250</w:t>
            </w:r>
          </w:p>
        </w:tc>
        <w:tc>
          <w:tcPr>
            <w:tcW w:w="436" w:type="dxa"/>
            <w:tcBorders>
              <w:top w:val="nil"/>
              <w:left w:val="nil"/>
              <w:bottom w:val="single" w:sz="4" w:space="0" w:color="auto"/>
              <w:right w:val="single" w:sz="4" w:space="0" w:color="auto"/>
            </w:tcBorders>
            <w:shd w:val="clear" w:color="auto" w:fill="auto"/>
            <w:noWrap/>
            <w:vAlign w:val="center"/>
          </w:tcPr>
          <w:p w14:paraId="7CFF60E4" w14:textId="5EA2E2C9"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29%</w:t>
            </w:r>
          </w:p>
        </w:tc>
      </w:tr>
      <w:tr w:rsidR="00941A5A" w:rsidRPr="00941A5A" w14:paraId="6250FEFE"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8B2AF8" w14:textId="1132888E"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3</w:t>
            </w:r>
          </w:p>
        </w:tc>
        <w:tc>
          <w:tcPr>
            <w:tcW w:w="0" w:type="auto"/>
            <w:tcBorders>
              <w:top w:val="nil"/>
              <w:left w:val="nil"/>
              <w:bottom w:val="single" w:sz="4" w:space="0" w:color="auto"/>
              <w:right w:val="single" w:sz="4" w:space="0" w:color="auto"/>
            </w:tcBorders>
            <w:shd w:val="clear" w:color="auto" w:fill="auto"/>
            <w:noWrap/>
            <w:vAlign w:val="center"/>
          </w:tcPr>
          <w:p w14:paraId="63FC3F56" w14:textId="39A6F91A"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13</w:t>
            </w:r>
          </w:p>
        </w:tc>
        <w:tc>
          <w:tcPr>
            <w:tcW w:w="0" w:type="auto"/>
            <w:tcBorders>
              <w:top w:val="nil"/>
              <w:left w:val="nil"/>
              <w:bottom w:val="single" w:sz="4" w:space="0" w:color="auto"/>
              <w:right w:val="single" w:sz="4" w:space="0" w:color="auto"/>
            </w:tcBorders>
            <w:shd w:val="clear" w:color="auto" w:fill="auto"/>
            <w:noWrap/>
            <w:vAlign w:val="center"/>
          </w:tcPr>
          <w:p w14:paraId="5F16BEE0" w14:textId="691EBB4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19</w:t>
            </w:r>
          </w:p>
        </w:tc>
        <w:tc>
          <w:tcPr>
            <w:tcW w:w="0" w:type="auto"/>
            <w:tcBorders>
              <w:top w:val="nil"/>
              <w:left w:val="nil"/>
              <w:bottom w:val="single" w:sz="4" w:space="0" w:color="auto"/>
              <w:right w:val="single" w:sz="4" w:space="0" w:color="auto"/>
            </w:tcBorders>
            <w:shd w:val="clear" w:color="auto" w:fill="auto"/>
            <w:noWrap/>
            <w:vAlign w:val="center"/>
          </w:tcPr>
          <w:p w14:paraId="06A58227" w14:textId="0FDECA8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21</w:t>
            </w:r>
          </w:p>
        </w:tc>
        <w:tc>
          <w:tcPr>
            <w:tcW w:w="0" w:type="auto"/>
            <w:tcBorders>
              <w:top w:val="nil"/>
              <w:left w:val="nil"/>
              <w:bottom w:val="single" w:sz="4" w:space="0" w:color="auto"/>
              <w:right w:val="single" w:sz="4" w:space="0" w:color="auto"/>
            </w:tcBorders>
            <w:shd w:val="clear" w:color="auto" w:fill="auto"/>
            <w:noWrap/>
            <w:vAlign w:val="center"/>
          </w:tcPr>
          <w:p w14:paraId="167EBF6D" w14:textId="081165A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60</w:t>
            </w:r>
          </w:p>
        </w:tc>
        <w:tc>
          <w:tcPr>
            <w:tcW w:w="0" w:type="auto"/>
            <w:tcBorders>
              <w:top w:val="nil"/>
              <w:left w:val="nil"/>
              <w:bottom w:val="single" w:sz="4" w:space="0" w:color="auto"/>
              <w:right w:val="single" w:sz="4" w:space="0" w:color="auto"/>
            </w:tcBorders>
            <w:shd w:val="clear" w:color="auto" w:fill="auto"/>
            <w:noWrap/>
            <w:vAlign w:val="center"/>
          </w:tcPr>
          <w:p w14:paraId="1782875A" w14:textId="71044DAA"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820</w:t>
            </w:r>
          </w:p>
        </w:tc>
        <w:tc>
          <w:tcPr>
            <w:tcW w:w="436" w:type="dxa"/>
            <w:tcBorders>
              <w:top w:val="nil"/>
              <w:left w:val="nil"/>
              <w:bottom w:val="single" w:sz="4" w:space="0" w:color="auto"/>
              <w:right w:val="single" w:sz="4" w:space="0" w:color="auto"/>
            </w:tcBorders>
            <w:shd w:val="clear" w:color="auto" w:fill="auto"/>
            <w:noWrap/>
            <w:vAlign w:val="center"/>
          </w:tcPr>
          <w:p w14:paraId="058F3781" w14:textId="08C7430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17%</w:t>
            </w:r>
          </w:p>
        </w:tc>
      </w:tr>
      <w:tr w:rsidR="00941A5A" w:rsidRPr="00941A5A" w14:paraId="4B0235DD"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5339C7" w14:textId="4A3C7D49"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4</w:t>
            </w:r>
          </w:p>
        </w:tc>
        <w:tc>
          <w:tcPr>
            <w:tcW w:w="0" w:type="auto"/>
            <w:tcBorders>
              <w:top w:val="nil"/>
              <w:left w:val="nil"/>
              <w:bottom w:val="single" w:sz="4" w:space="0" w:color="auto"/>
              <w:right w:val="single" w:sz="4" w:space="0" w:color="auto"/>
            </w:tcBorders>
            <w:shd w:val="clear" w:color="auto" w:fill="auto"/>
            <w:noWrap/>
            <w:vAlign w:val="center"/>
          </w:tcPr>
          <w:p w14:paraId="0BDC6987" w14:textId="55AF360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25</w:t>
            </w:r>
          </w:p>
        </w:tc>
        <w:tc>
          <w:tcPr>
            <w:tcW w:w="0" w:type="auto"/>
            <w:tcBorders>
              <w:top w:val="nil"/>
              <w:left w:val="nil"/>
              <w:bottom w:val="single" w:sz="4" w:space="0" w:color="auto"/>
              <w:right w:val="single" w:sz="4" w:space="0" w:color="auto"/>
            </w:tcBorders>
            <w:shd w:val="clear" w:color="auto" w:fill="auto"/>
            <w:noWrap/>
            <w:vAlign w:val="center"/>
          </w:tcPr>
          <w:p w14:paraId="21C9188B" w14:textId="5B0287F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46</w:t>
            </w:r>
          </w:p>
        </w:tc>
        <w:tc>
          <w:tcPr>
            <w:tcW w:w="0" w:type="auto"/>
            <w:tcBorders>
              <w:top w:val="nil"/>
              <w:left w:val="nil"/>
              <w:bottom w:val="single" w:sz="4" w:space="0" w:color="auto"/>
              <w:right w:val="single" w:sz="4" w:space="0" w:color="auto"/>
            </w:tcBorders>
            <w:shd w:val="clear" w:color="auto" w:fill="auto"/>
            <w:noWrap/>
            <w:vAlign w:val="center"/>
          </w:tcPr>
          <w:p w14:paraId="3ABF3E53" w14:textId="710CEAF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104</w:t>
            </w:r>
          </w:p>
        </w:tc>
        <w:tc>
          <w:tcPr>
            <w:tcW w:w="0" w:type="auto"/>
            <w:tcBorders>
              <w:top w:val="nil"/>
              <w:left w:val="nil"/>
              <w:bottom w:val="single" w:sz="4" w:space="0" w:color="auto"/>
              <w:right w:val="single" w:sz="4" w:space="0" w:color="auto"/>
            </w:tcBorders>
            <w:shd w:val="clear" w:color="auto" w:fill="auto"/>
            <w:noWrap/>
            <w:vAlign w:val="center"/>
          </w:tcPr>
          <w:p w14:paraId="55C6C7F9" w14:textId="1E7459A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152</w:t>
            </w:r>
          </w:p>
        </w:tc>
        <w:tc>
          <w:tcPr>
            <w:tcW w:w="0" w:type="auto"/>
            <w:tcBorders>
              <w:top w:val="nil"/>
              <w:left w:val="nil"/>
              <w:bottom w:val="single" w:sz="4" w:space="0" w:color="auto"/>
              <w:right w:val="single" w:sz="4" w:space="0" w:color="auto"/>
            </w:tcBorders>
            <w:shd w:val="clear" w:color="auto" w:fill="auto"/>
            <w:noWrap/>
            <w:vAlign w:val="center"/>
          </w:tcPr>
          <w:p w14:paraId="45F282C8" w14:textId="4D24738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1341</w:t>
            </w:r>
          </w:p>
        </w:tc>
        <w:tc>
          <w:tcPr>
            <w:tcW w:w="436" w:type="dxa"/>
            <w:tcBorders>
              <w:top w:val="nil"/>
              <w:left w:val="nil"/>
              <w:bottom w:val="single" w:sz="4" w:space="0" w:color="auto"/>
              <w:right w:val="single" w:sz="4" w:space="0" w:color="auto"/>
            </w:tcBorders>
            <w:shd w:val="clear" w:color="auto" w:fill="auto"/>
            <w:noWrap/>
            <w:vAlign w:val="center"/>
          </w:tcPr>
          <w:p w14:paraId="03901F02" w14:textId="0FD493D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31%</w:t>
            </w:r>
          </w:p>
        </w:tc>
      </w:tr>
      <w:tr w:rsidR="00941A5A" w:rsidRPr="00941A5A" w14:paraId="3BA7371E"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D94A95" w14:textId="2DCA55E2"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5</w:t>
            </w:r>
          </w:p>
        </w:tc>
        <w:tc>
          <w:tcPr>
            <w:tcW w:w="0" w:type="auto"/>
            <w:tcBorders>
              <w:top w:val="nil"/>
              <w:left w:val="nil"/>
              <w:bottom w:val="single" w:sz="4" w:space="0" w:color="auto"/>
              <w:right w:val="single" w:sz="4" w:space="0" w:color="auto"/>
            </w:tcBorders>
            <w:shd w:val="clear" w:color="auto" w:fill="auto"/>
            <w:noWrap/>
            <w:vAlign w:val="center"/>
          </w:tcPr>
          <w:p w14:paraId="610F142A" w14:textId="3DB7C33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52</w:t>
            </w:r>
          </w:p>
        </w:tc>
        <w:tc>
          <w:tcPr>
            <w:tcW w:w="0" w:type="auto"/>
            <w:tcBorders>
              <w:top w:val="nil"/>
              <w:left w:val="nil"/>
              <w:bottom w:val="single" w:sz="4" w:space="0" w:color="auto"/>
              <w:right w:val="single" w:sz="4" w:space="0" w:color="auto"/>
            </w:tcBorders>
            <w:shd w:val="clear" w:color="auto" w:fill="auto"/>
            <w:noWrap/>
            <w:vAlign w:val="center"/>
          </w:tcPr>
          <w:p w14:paraId="1A856787" w14:textId="0B265F3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74</w:t>
            </w:r>
          </w:p>
        </w:tc>
        <w:tc>
          <w:tcPr>
            <w:tcW w:w="0" w:type="auto"/>
            <w:tcBorders>
              <w:top w:val="nil"/>
              <w:left w:val="nil"/>
              <w:bottom w:val="single" w:sz="4" w:space="0" w:color="auto"/>
              <w:right w:val="single" w:sz="4" w:space="0" w:color="auto"/>
            </w:tcBorders>
            <w:shd w:val="clear" w:color="auto" w:fill="auto"/>
            <w:noWrap/>
            <w:vAlign w:val="center"/>
          </w:tcPr>
          <w:p w14:paraId="0AE15879" w14:textId="179E257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138</w:t>
            </w:r>
          </w:p>
        </w:tc>
        <w:tc>
          <w:tcPr>
            <w:tcW w:w="0" w:type="auto"/>
            <w:tcBorders>
              <w:top w:val="nil"/>
              <w:left w:val="nil"/>
              <w:bottom w:val="single" w:sz="4" w:space="0" w:color="auto"/>
              <w:right w:val="single" w:sz="4" w:space="0" w:color="auto"/>
            </w:tcBorders>
            <w:shd w:val="clear" w:color="auto" w:fill="auto"/>
            <w:noWrap/>
            <w:vAlign w:val="center"/>
          </w:tcPr>
          <w:p w14:paraId="020BD6CE" w14:textId="70A0542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118</w:t>
            </w:r>
          </w:p>
        </w:tc>
        <w:tc>
          <w:tcPr>
            <w:tcW w:w="0" w:type="auto"/>
            <w:tcBorders>
              <w:top w:val="nil"/>
              <w:left w:val="nil"/>
              <w:bottom w:val="single" w:sz="4" w:space="0" w:color="auto"/>
              <w:right w:val="single" w:sz="4" w:space="0" w:color="auto"/>
            </w:tcBorders>
            <w:shd w:val="clear" w:color="auto" w:fill="auto"/>
            <w:noWrap/>
            <w:vAlign w:val="center"/>
          </w:tcPr>
          <w:p w14:paraId="1B3C3CD5" w14:textId="0A72267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1869</w:t>
            </w:r>
          </w:p>
        </w:tc>
        <w:tc>
          <w:tcPr>
            <w:tcW w:w="436" w:type="dxa"/>
            <w:tcBorders>
              <w:top w:val="nil"/>
              <w:left w:val="nil"/>
              <w:bottom w:val="single" w:sz="4" w:space="0" w:color="auto"/>
              <w:right w:val="single" w:sz="4" w:space="0" w:color="auto"/>
            </w:tcBorders>
            <w:shd w:val="clear" w:color="auto" w:fill="auto"/>
            <w:noWrap/>
            <w:vAlign w:val="center"/>
          </w:tcPr>
          <w:p w14:paraId="70F6805C" w14:textId="47176EB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42%</w:t>
            </w:r>
          </w:p>
        </w:tc>
      </w:tr>
      <w:tr w:rsidR="00941A5A" w:rsidRPr="00941A5A" w14:paraId="0F5D59FD"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FA50BE" w14:textId="26A12D60"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6</w:t>
            </w:r>
          </w:p>
        </w:tc>
        <w:tc>
          <w:tcPr>
            <w:tcW w:w="0" w:type="auto"/>
            <w:tcBorders>
              <w:top w:val="nil"/>
              <w:left w:val="nil"/>
              <w:bottom w:val="single" w:sz="4" w:space="0" w:color="auto"/>
              <w:right w:val="single" w:sz="4" w:space="0" w:color="auto"/>
            </w:tcBorders>
            <w:shd w:val="clear" w:color="auto" w:fill="auto"/>
            <w:noWrap/>
            <w:vAlign w:val="center"/>
          </w:tcPr>
          <w:p w14:paraId="55F85081" w14:textId="4DC902A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w:t>
            </w:r>
          </w:p>
        </w:tc>
        <w:tc>
          <w:tcPr>
            <w:tcW w:w="0" w:type="auto"/>
            <w:tcBorders>
              <w:top w:val="nil"/>
              <w:left w:val="nil"/>
              <w:bottom w:val="single" w:sz="4" w:space="0" w:color="auto"/>
              <w:right w:val="single" w:sz="4" w:space="0" w:color="auto"/>
            </w:tcBorders>
            <w:shd w:val="clear" w:color="auto" w:fill="auto"/>
            <w:noWrap/>
            <w:vAlign w:val="center"/>
          </w:tcPr>
          <w:p w14:paraId="323549A5" w14:textId="5A2007C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w:t>
            </w:r>
          </w:p>
        </w:tc>
        <w:tc>
          <w:tcPr>
            <w:tcW w:w="0" w:type="auto"/>
            <w:tcBorders>
              <w:top w:val="nil"/>
              <w:left w:val="nil"/>
              <w:bottom w:val="single" w:sz="4" w:space="0" w:color="auto"/>
              <w:right w:val="single" w:sz="4" w:space="0" w:color="auto"/>
            </w:tcBorders>
            <w:shd w:val="clear" w:color="auto" w:fill="auto"/>
            <w:noWrap/>
            <w:vAlign w:val="center"/>
          </w:tcPr>
          <w:p w14:paraId="4156FE2E" w14:textId="290F770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175</w:t>
            </w:r>
          </w:p>
        </w:tc>
        <w:tc>
          <w:tcPr>
            <w:tcW w:w="0" w:type="auto"/>
            <w:tcBorders>
              <w:top w:val="nil"/>
              <w:left w:val="nil"/>
              <w:bottom w:val="single" w:sz="4" w:space="0" w:color="auto"/>
              <w:right w:val="single" w:sz="4" w:space="0" w:color="auto"/>
            </w:tcBorders>
            <w:shd w:val="clear" w:color="auto" w:fill="auto"/>
            <w:noWrap/>
            <w:vAlign w:val="center"/>
          </w:tcPr>
          <w:p w14:paraId="4162103D" w14:textId="51C9390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225</w:t>
            </w:r>
          </w:p>
        </w:tc>
        <w:tc>
          <w:tcPr>
            <w:tcW w:w="0" w:type="auto"/>
            <w:tcBorders>
              <w:top w:val="nil"/>
              <w:left w:val="nil"/>
              <w:bottom w:val="single" w:sz="4" w:space="0" w:color="auto"/>
              <w:right w:val="single" w:sz="4" w:space="0" w:color="auto"/>
            </w:tcBorders>
            <w:shd w:val="clear" w:color="auto" w:fill="auto"/>
            <w:noWrap/>
            <w:vAlign w:val="center"/>
          </w:tcPr>
          <w:p w14:paraId="6A15D2B8" w14:textId="583A843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967</w:t>
            </w:r>
          </w:p>
        </w:tc>
        <w:tc>
          <w:tcPr>
            <w:tcW w:w="436" w:type="dxa"/>
            <w:tcBorders>
              <w:top w:val="nil"/>
              <w:left w:val="nil"/>
              <w:bottom w:val="single" w:sz="4" w:space="0" w:color="auto"/>
              <w:right w:val="single" w:sz="4" w:space="0" w:color="auto"/>
            </w:tcBorders>
            <w:shd w:val="clear" w:color="auto" w:fill="auto"/>
            <w:noWrap/>
            <w:vAlign w:val="center"/>
          </w:tcPr>
          <w:p w14:paraId="6241BF86" w14:textId="0E39139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26%</w:t>
            </w:r>
          </w:p>
        </w:tc>
      </w:tr>
      <w:tr w:rsidR="00941A5A" w:rsidRPr="00941A5A" w14:paraId="07C1B03A"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B51FE61" w14:textId="62E0147D"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7</w:t>
            </w:r>
          </w:p>
        </w:tc>
        <w:tc>
          <w:tcPr>
            <w:tcW w:w="0" w:type="auto"/>
            <w:tcBorders>
              <w:top w:val="nil"/>
              <w:left w:val="nil"/>
              <w:bottom w:val="single" w:sz="4" w:space="0" w:color="auto"/>
              <w:right w:val="single" w:sz="4" w:space="0" w:color="auto"/>
            </w:tcBorders>
            <w:shd w:val="clear" w:color="auto" w:fill="auto"/>
            <w:noWrap/>
            <w:vAlign w:val="center"/>
          </w:tcPr>
          <w:p w14:paraId="63987CF1" w14:textId="33787DB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10</w:t>
            </w:r>
          </w:p>
        </w:tc>
        <w:tc>
          <w:tcPr>
            <w:tcW w:w="0" w:type="auto"/>
            <w:tcBorders>
              <w:top w:val="nil"/>
              <w:left w:val="nil"/>
              <w:bottom w:val="single" w:sz="4" w:space="0" w:color="auto"/>
              <w:right w:val="single" w:sz="4" w:space="0" w:color="auto"/>
            </w:tcBorders>
            <w:shd w:val="clear" w:color="auto" w:fill="auto"/>
            <w:noWrap/>
            <w:vAlign w:val="center"/>
          </w:tcPr>
          <w:p w14:paraId="6BFE221C" w14:textId="19D6BFE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33</w:t>
            </w:r>
          </w:p>
        </w:tc>
        <w:tc>
          <w:tcPr>
            <w:tcW w:w="0" w:type="auto"/>
            <w:tcBorders>
              <w:top w:val="nil"/>
              <w:left w:val="nil"/>
              <w:bottom w:val="single" w:sz="4" w:space="0" w:color="auto"/>
              <w:right w:val="single" w:sz="4" w:space="0" w:color="auto"/>
            </w:tcBorders>
            <w:shd w:val="clear" w:color="auto" w:fill="auto"/>
            <w:noWrap/>
            <w:vAlign w:val="center"/>
          </w:tcPr>
          <w:p w14:paraId="0F6F6FFB" w14:textId="515647F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53</w:t>
            </w:r>
          </w:p>
        </w:tc>
        <w:tc>
          <w:tcPr>
            <w:tcW w:w="0" w:type="auto"/>
            <w:tcBorders>
              <w:top w:val="nil"/>
              <w:left w:val="nil"/>
              <w:bottom w:val="single" w:sz="4" w:space="0" w:color="auto"/>
              <w:right w:val="single" w:sz="4" w:space="0" w:color="auto"/>
            </w:tcBorders>
            <w:shd w:val="clear" w:color="auto" w:fill="auto"/>
            <w:noWrap/>
            <w:vAlign w:val="center"/>
          </w:tcPr>
          <w:p w14:paraId="4127A190" w14:textId="2F9CB74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173</w:t>
            </w:r>
          </w:p>
        </w:tc>
        <w:tc>
          <w:tcPr>
            <w:tcW w:w="0" w:type="auto"/>
            <w:tcBorders>
              <w:top w:val="nil"/>
              <w:left w:val="nil"/>
              <w:bottom w:val="single" w:sz="4" w:space="0" w:color="auto"/>
              <w:right w:val="single" w:sz="4" w:space="0" w:color="auto"/>
            </w:tcBorders>
            <w:shd w:val="clear" w:color="auto" w:fill="auto"/>
            <w:noWrap/>
            <w:vAlign w:val="center"/>
          </w:tcPr>
          <w:p w14:paraId="286DDFB0" w14:textId="57EE00E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1403</w:t>
            </w:r>
          </w:p>
        </w:tc>
        <w:tc>
          <w:tcPr>
            <w:tcW w:w="436" w:type="dxa"/>
            <w:tcBorders>
              <w:top w:val="nil"/>
              <w:left w:val="nil"/>
              <w:bottom w:val="single" w:sz="4" w:space="0" w:color="auto"/>
              <w:right w:val="single" w:sz="4" w:space="0" w:color="auto"/>
            </w:tcBorders>
            <w:shd w:val="clear" w:color="auto" w:fill="auto"/>
            <w:noWrap/>
            <w:vAlign w:val="center"/>
          </w:tcPr>
          <w:p w14:paraId="1A2B3CA1" w14:textId="538B66F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31%</w:t>
            </w:r>
          </w:p>
        </w:tc>
      </w:tr>
      <w:tr w:rsidR="00941A5A" w:rsidRPr="00941A5A" w14:paraId="5A6690E4"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925C57" w14:textId="267A6EB8"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8</w:t>
            </w:r>
          </w:p>
        </w:tc>
        <w:tc>
          <w:tcPr>
            <w:tcW w:w="0" w:type="auto"/>
            <w:tcBorders>
              <w:top w:val="nil"/>
              <w:left w:val="nil"/>
              <w:bottom w:val="single" w:sz="4" w:space="0" w:color="auto"/>
              <w:right w:val="single" w:sz="4" w:space="0" w:color="auto"/>
            </w:tcBorders>
            <w:shd w:val="clear" w:color="auto" w:fill="auto"/>
            <w:noWrap/>
            <w:vAlign w:val="center"/>
          </w:tcPr>
          <w:p w14:paraId="05ED4316" w14:textId="307AB6C9"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43</w:t>
            </w:r>
          </w:p>
        </w:tc>
        <w:tc>
          <w:tcPr>
            <w:tcW w:w="0" w:type="auto"/>
            <w:tcBorders>
              <w:top w:val="nil"/>
              <w:left w:val="nil"/>
              <w:bottom w:val="single" w:sz="4" w:space="0" w:color="auto"/>
              <w:right w:val="single" w:sz="4" w:space="0" w:color="auto"/>
            </w:tcBorders>
            <w:shd w:val="clear" w:color="auto" w:fill="auto"/>
            <w:noWrap/>
            <w:vAlign w:val="center"/>
          </w:tcPr>
          <w:p w14:paraId="7A334F6C" w14:textId="5E8D92C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91</w:t>
            </w:r>
          </w:p>
        </w:tc>
        <w:tc>
          <w:tcPr>
            <w:tcW w:w="0" w:type="auto"/>
            <w:tcBorders>
              <w:top w:val="nil"/>
              <w:left w:val="nil"/>
              <w:bottom w:val="single" w:sz="4" w:space="0" w:color="auto"/>
              <w:right w:val="single" w:sz="4" w:space="0" w:color="auto"/>
            </w:tcBorders>
            <w:shd w:val="clear" w:color="auto" w:fill="auto"/>
            <w:noWrap/>
            <w:vAlign w:val="center"/>
          </w:tcPr>
          <w:p w14:paraId="1D7AD76D" w14:textId="7613DBA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120</w:t>
            </w:r>
          </w:p>
        </w:tc>
        <w:tc>
          <w:tcPr>
            <w:tcW w:w="0" w:type="auto"/>
            <w:tcBorders>
              <w:top w:val="nil"/>
              <w:left w:val="nil"/>
              <w:bottom w:val="single" w:sz="4" w:space="0" w:color="auto"/>
              <w:right w:val="single" w:sz="4" w:space="0" w:color="auto"/>
            </w:tcBorders>
            <w:shd w:val="clear" w:color="auto" w:fill="auto"/>
            <w:noWrap/>
            <w:vAlign w:val="center"/>
          </w:tcPr>
          <w:p w14:paraId="0CA72760" w14:textId="2A30D9F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154</w:t>
            </w:r>
          </w:p>
        </w:tc>
        <w:tc>
          <w:tcPr>
            <w:tcW w:w="0" w:type="auto"/>
            <w:tcBorders>
              <w:top w:val="nil"/>
              <w:left w:val="nil"/>
              <w:bottom w:val="single" w:sz="4" w:space="0" w:color="auto"/>
              <w:right w:val="single" w:sz="4" w:space="0" w:color="auto"/>
            </w:tcBorders>
            <w:shd w:val="clear" w:color="auto" w:fill="auto"/>
            <w:noWrap/>
            <w:vAlign w:val="center"/>
          </w:tcPr>
          <w:p w14:paraId="039E38E3" w14:textId="60A6559E"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935</w:t>
            </w:r>
          </w:p>
        </w:tc>
        <w:tc>
          <w:tcPr>
            <w:tcW w:w="436" w:type="dxa"/>
            <w:tcBorders>
              <w:top w:val="nil"/>
              <w:left w:val="nil"/>
              <w:bottom w:val="single" w:sz="4" w:space="0" w:color="auto"/>
              <w:right w:val="single" w:sz="4" w:space="0" w:color="auto"/>
            </w:tcBorders>
            <w:shd w:val="clear" w:color="auto" w:fill="auto"/>
            <w:noWrap/>
            <w:vAlign w:val="center"/>
          </w:tcPr>
          <w:p w14:paraId="67F919FB" w14:textId="6A45C9C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25%</w:t>
            </w:r>
          </w:p>
        </w:tc>
      </w:tr>
      <w:tr w:rsidR="00941A5A" w:rsidRPr="00941A5A" w14:paraId="54A386D1"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D16B72" w14:textId="22EFD3DD"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9</w:t>
            </w:r>
          </w:p>
        </w:tc>
        <w:tc>
          <w:tcPr>
            <w:tcW w:w="0" w:type="auto"/>
            <w:tcBorders>
              <w:top w:val="nil"/>
              <w:left w:val="nil"/>
              <w:bottom w:val="single" w:sz="4" w:space="0" w:color="auto"/>
              <w:right w:val="single" w:sz="4" w:space="0" w:color="auto"/>
            </w:tcBorders>
            <w:shd w:val="clear" w:color="auto" w:fill="auto"/>
            <w:noWrap/>
            <w:vAlign w:val="center"/>
          </w:tcPr>
          <w:p w14:paraId="1C13CE7B" w14:textId="6EC2FB6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16</w:t>
            </w:r>
          </w:p>
        </w:tc>
        <w:tc>
          <w:tcPr>
            <w:tcW w:w="0" w:type="auto"/>
            <w:tcBorders>
              <w:top w:val="nil"/>
              <w:left w:val="nil"/>
              <w:bottom w:val="single" w:sz="4" w:space="0" w:color="auto"/>
              <w:right w:val="single" w:sz="4" w:space="0" w:color="auto"/>
            </w:tcBorders>
            <w:shd w:val="clear" w:color="auto" w:fill="auto"/>
            <w:noWrap/>
            <w:vAlign w:val="center"/>
          </w:tcPr>
          <w:p w14:paraId="3EE504E6" w14:textId="7844D885"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21</w:t>
            </w:r>
          </w:p>
        </w:tc>
        <w:tc>
          <w:tcPr>
            <w:tcW w:w="0" w:type="auto"/>
            <w:tcBorders>
              <w:top w:val="nil"/>
              <w:left w:val="nil"/>
              <w:bottom w:val="single" w:sz="4" w:space="0" w:color="auto"/>
              <w:right w:val="single" w:sz="4" w:space="0" w:color="auto"/>
            </w:tcBorders>
            <w:shd w:val="clear" w:color="auto" w:fill="auto"/>
            <w:noWrap/>
            <w:vAlign w:val="center"/>
          </w:tcPr>
          <w:p w14:paraId="72F9B894" w14:textId="72DF228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64</w:t>
            </w:r>
          </w:p>
        </w:tc>
        <w:tc>
          <w:tcPr>
            <w:tcW w:w="0" w:type="auto"/>
            <w:tcBorders>
              <w:top w:val="nil"/>
              <w:left w:val="nil"/>
              <w:bottom w:val="single" w:sz="4" w:space="0" w:color="auto"/>
              <w:right w:val="single" w:sz="4" w:space="0" w:color="auto"/>
            </w:tcBorders>
            <w:shd w:val="clear" w:color="auto" w:fill="auto"/>
            <w:noWrap/>
            <w:vAlign w:val="center"/>
          </w:tcPr>
          <w:p w14:paraId="712AFB7A" w14:textId="2F25CBA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51</w:t>
            </w:r>
          </w:p>
        </w:tc>
        <w:tc>
          <w:tcPr>
            <w:tcW w:w="0" w:type="auto"/>
            <w:tcBorders>
              <w:top w:val="nil"/>
              <w:left w:val="nil"/>
              <w:bottom w:val="single" w:sz="4" w:space="0" w:color="auto"/>
              <w:right w:val="single" w:sz="4" w:space="0" w:color="auto"/>
            </w:tcBorders>
            <w:shd w:val="clear" w:color="auto" w:fill="auto"/>
            <w:noWrap/>
            <w:vAlign w:val="center"/>
          </w:tcPr>
          <w:p w14:paraId="18FE5EF3" w14:textId="682F803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765</w:t>
            </w:r>
          </w:p>
        </w:tc>
        <w:tc>
          <w:tcPr>
            <w:tcW w:w="436" w:type="dxa"/>
            <w:tcBorders>
              <w:top w:val="nil"/>
              <w:left w:val="nil"/>
              <w:bottom w:val="single" w:sz="4" w:space="0" w:color="auto"/>
              <w:right w:val="single" w:sz="4" w:space="0" w:color="auto"/>
            </w:tcBorders>
            <w:shd w:val="clear" w:color="auto" w:fill="auto"/>
            <w:noWrap/>
            <w:vAlign w:val="center"/>
          </w:tcPr>
          <w:p w14:paraId="718D4BD8" w14:textId="1FAE008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17%</w:t>
            </w:r>
          </w:p>
        </w:tc>
      </w:tr>
      <w:tr w:rsidR="00941A5A" w:rsidRPr="00941A5A" w14:paraId="6A37B61B"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77E8C1" w14:textId="32A37A1B"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10</w:t>
            </w:r>
          </w:p>
        </w:tc>
        <w:tc>
          <w:tcPr>
            <w:tcW w:w="0" w:type="auto"/>
            <w:tcBorders>
              <w:top w:val="nil"/>
              <w:left w:val="nil"/>
              <w:bottom w:val="single" w:sz="4" w:space="0" w:color="auto"/>
              <w:right w:val="single" w:sz="4" w:space="0" w:color="auto"/>
            </w:tcBorders>
            <w:shd w:val="clear" w:color="auto" w:fill="auto"/>
            <w:noWrap/>
            <w:vAlign w:val="center"/>
          </w:tcPr>
          <w:p w14:paraId="3328EC03" w14:textId="4934B6E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tcPr>
          <w:p w14:paraId="43F2F5E6" w14:textId="04336CA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56</w:t>
            </w:r>
          </w:p>
        </w:tc>
        <w:tc>
          <w:tcPr>
            <w:tcW w:w="0" w:type="auto"/>
            <w:tcBorders>
              <w:top w:val="nil"/>
              <w:left w:val="nil"/>
              <w:bottom w:val="single" w:sz="4" w:space="0" w:color="auto"/>
              <w:right w:val="single" w:sz="4" w:space="0" w:color="auto"/>
            </w:tcBorders>
            <w:shd w:val="clear" w:color="auto" w:fill="auto"/>
            <w:noWrap/>
            <w:vAlign w:val="center"/>
          </w:tcPr>
          <w:p w14:paraId="5AD044FB" w14:textId="753BCAF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120</w:t>
            </w:r>
          </w:p>
        </w:tc>
        <w:tc>
          <w:tcPr>
            <w:tcW w:w="0" w:type="auto"/>
            <w:tcBorders>
              <w:top w:val="nil"/>
              <w:left w:val="nil"/>
              <w:bottom w:val="single" w:sz="4" w:space="0" w:color="auto"/>
              <w:right w:val="single" w:sz="4" w:space="0" w:color="auto"/>
            </w:tcBorders>
            <w:shd w:val="clear" w:color="auto" w:fill="auto"/>
            <w:noWrap/>
            <w:vAlign w:val="center"/>
          </w:tcPr>
          <w:p w14:paraId="02F33584" w14:textId="58022B4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52</w:t>
            </w:r>
          </w:p>
        </w:tc>
        <w:tc>
          <w:tcPr>
            <w:tcW w:w="0" w:type="auto"/>
            <w:tcBorders>
              <w:top w:val="nil"/>
              <w:left w:val="nil"/>
              <w:bottom w:val="single" w:sz="4" w:space="0" w:color="auto"/>
              <w:right w:val="single" w:sz="4" w:space="0" w:color="auto"/>
            </w:tcBorders>
            <w:shd w:val="clear" w:color="auto" w:fill="auto"/>
            <w:noWrap/>
            <w:vAlign w:val="center"/>
          </w:tcPr>
          <w:p w14:paraId="4758C4BF" w14:textId="0156947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695</w:t>
            </w:r>
          </w:p>
        </w:tc>
        <w:tc>
          <w:tcPr>
            <w:tcW w:w="436" w:type="dxa"/>
            <w:tcBorders>
              <w:top w:val="nil"/>
              <w:left w:val="nil"/>
              <w:bottom w:val="single" w:sz="4" w:space="0" w:color="auto"/>
              <w:right w:val="single" w:sz="4" w:space="0" w:color="auto"/>
            </w:tcBorders>
            <w:shd w:val="clear" w:color="auto" w:fill="auto"/>
            <w:noWrap/>
            <w:vAlign w:val="center"/>
          </w:tcPr>
          <w:p w14:paraId="3380AB48" w14:textId="4FCCFC9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17%</w:t>
            </w:r>
          </w:p>
        </w:tc>
      </w:tr>
      <w:tr w:rsidR="00941A5A" w:rsidRPr="00941A5A" w14:paraId="5D466C79" w14:textId="77777777" w:rsidTr="00941A5A">
        <w:trPr>
          <w:trHeight w:val="3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52188D" w14:textId="6BBC4C96"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11</w:t>
            </w:r>
          </w:p>
        </w:tc>
        <w:tc>
          <w:tcPr>
            <w:tcW w:w="0" w:type="auto"/>
            <w:tcBorders>
              <w:top w:val="nil"/>
              <w:left w:val="nil"/>
              <w:bottom w:val="single" w:sz="4" w:space="0" w:color="auto"/>
              <w:right w:val="single" w:sz="4" w:space="0" w:color="auto"/>
            </w:tcBorders>
            <w:shd w:val="clear" w:color="auto" w:fill="auto"/>
            <w:noWrap/>
            <w:vAlign w:val="center"/>
          </w:tcPr>
          <w:p w14:paraId="4684C4E5" w14:textId="065A87A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116</w:t>
            </w:r>
          </w:p>
        </w:tc>
        <w:tc>
          <w:tcPr>
            <w:tcW w:w="0" w:type="auto"/>
            <w:tcBorders>
              <w:top w:val="nil"/>
              <w:left w:val="nil"/>
              <w:bottom w:val="single" w:sz="4" w:space="0" w:color="auto"/>
              <w:right w:val="single" w:sz="4" w:space="0" w:color="auto"/>
            </w:tcBorders>
            <w:shd w:val="clear" w:color="auto" w:fill="auto"/>
            <w:noWrap/>
            <w:vAlign w:val="center"/>
          </w:tcPr>
          <w:p w14:paraId="6E825FC7" w14:textId="43DC8375"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72</w:t>
            </w:r>
          </w:p>
        </w:tc>
        <w:tc>
          <w:tcPr>
            <w:tcW w:w="0" w:type="auto"/>
            <w:tcBorders>
              <w:top w:val="nil"/>
              <w:left w:val="nil"/>
              <w:bottom w:val="single" w:sz="4" w:space="0" w:color="auto"/>
              <w:right w:val="single" w:sz="4" w:space="0" w:color="auto"/>
            </w:tcBorders>
            <w:shd w:val="clear" w:color="auto" w:fill="auto"/>
            <w:noWrap/>
            <w:vAlign w:val="center"/>
          </w:tcPr>
          <w:p w14:paraId="1AA1464A" w14:textId="11E540D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44</w:t>
            </w:r>
          </w:p>
        </w:tc>
        <w:tc>
          <w:tcPr>
            <w:tcW w:w="0" w:type="auto"/>
            <w:tcBorders>
              <w:top w:val="nil"/>
              <w:left w:val="nil"/>
              <w:bottom w:val="single" w:sz="4" w:space="0" w:color="auto"/>
              <w:right w:val="single" w:sz="4" w:space="0" w:color="auto"/>
            </w:tcBorders>
            <w:shd w:val="clear" w:color="auto" w:fill="auto"/>
            <w:noWrap/>
            <w:vAlign w:val="center"/>
          </w:tcPr>
          <w:p w14:paraId="38123510" w14:textId="6643B87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41</w:t>
            </w:r>
          </w:p>
        </w:tc>
        <w:tc>
          <w:tcPr>
            <w:tcW w:w="0" w:type="auto"/>
            <w:tcBorders>
              <w:top w:val="nil"/>
              <w:left w:val="nil"/>
              <w:bottom w:val="single" w:sz="4" w:space="0" w:color="auto"/>
              <w:right w:val="single" w:sz="4" w:space="0" w:color="auto"/>
            </w:tcBorders>
            <w:shd w:val="clear" w:color="auto" w:fill="auto"/>
            <w:noWrap/>
            <w:vAlign w:val="center"/>
          </w:tcPr>
          <w:p w14:paraId="2D8A78C9" w14:textId="7189CAC7"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342</w:t>
            </w:r>
          </w:p>
        </w:tc>
        <w:tc>
          <w:tcPr>
            <w:tcW w:w="436" w:type="dxa"/>
            <w:tcBorders>
              <w:top w:val="nil"/>
              <w:left w:val="nil"/>
              <w:bottom w:val="single" w:sz="4" w:space="0" w:color="auto"/>
              <w:right w:val="single" w:sz="4" w:space="0" w:color="auto"/>
            </w:tcBorders>
            <w:shd w:val="clear" w:color="auto" w:fill="auto"/>
            <w:noWrap/>
            <w:vAlign w:val="center"/>
          </w:tcPr>
          <w:p w14:paraId="344885EC" w14:textId="62B0FBDE"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11%</w:t>
            </w:r>
          </w:p>
        </w:tc>
      </w:tr>
      <w:tr w:rsidR="00941A5A" w:rsidRPr="00941A5A" w14:paraId="43759880" w14:textId="77777777" w:rsidTr="00941A5A">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BC5192" w14:textId="082EF274"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12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092324B" w14:textId="5A11E3A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A04295" w14:textId="7DAC073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96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273815" w14:textId="22F44D7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210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9F2AF5" w14:textId="4F09378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3FF515" w14:textId="4E352DA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845</w:t>
            </w:r>
          </w:p>
        </w:tc>
        <w:tc>
          <w:tcPr>
            <w:tcW w:w="436" w:type="dxa"/>
            <w:tcBorders>
              <w:top w:val="single" w:sz="4" w:space="0" w:color="auto"/>
              <w:left w:val="nil"/>
              <w:bottom w:val="single" w:sz="4" w:space="0" w:color="auto"/>
              <w:right w:val="single" w:sz="4" w:space="0" w:color="auto"/>
            </w:tcBorders>
            <w:shd w:val="clear" w:color="auto" w:fill="auto"/>
            <w:noWrap/>
            <w:vAlign w:val="center"/>
          </w:tcPr>
          <w:p w14:paraId="32AA1F0A" w14:textId="4305132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25%</w:t>
            </w:r>
          </w:p>
        </w:tc>
      </w:tr>
      <w:tr w:rsidR="00941A5A" w:rsidRPr="00941A5A" w14:paraId="181C537E" w14:textId="77777777" w:rsidTr="00941A5A">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7651A5" w14:textId="0C180D55"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13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26ED4D" w14:textId="7B58934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6A6BF5" w14:textId="4B9D3EB7"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BC4655" w14:textId="114DC42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62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30AC9" w14:textId="2FA3FEA6"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110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21AE0A" w14:textId="6926351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852</w:t>
            </w:r>
          </w:p>
        </w:tc>
        <w:tc>
          <w:tcPr>
            <w:tcW w:w="436" w:type="dxa"/>
            <w:tcBorders>
              <w:top w:val="single" w:sz="4" w:space="0" w:color="auto"/>
              <w:left w:val="nil"/>
              <w:bottom w:val="single" w:sz="4" w:space="0" w:color="auto"/>
              <w:right w:val="single" w:sz="4" w:space="0" w:color="auto"/>
            </w:tcBorders>
            <w:shd w:val="clear" w:color="auto" w:fill="auto"/>
            <w:noWrap/>
            <w:vAlign w:val="center"/>
          </w:tcPr>
          <w:p w14:paraId="131E9A90" w14:textId="1DD9D6E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20%</w:t>
            </w:r>
          </w:p>
        </w:tc>
      </w:tr>
      <w:tr w:rsidR="00941A5A" w:rsidRPr="00941A5A" w14:paraId="20DD0E07" w14:textId="77777777" w:rsidTr="00941A5A">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7F08C4A" w14:textId="11C42A68"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14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242A9A8" w14:textId="101606EC"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2736367" w14:textId="6A7BD0D0"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102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B94A4C" w14:textId="6F69C1EF"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153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642451" w14:textId="416D0085"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177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6D2280B" w14:textId="79D08F9E"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1384</w:t>
            </w:r>
          </w:p>
        </w:tc>
        <w:tc>
          <w:tcPr>
            <w:tcW w:w="436" w:type="dxa"/>
            <w:tcBorders>
              <w:top w:val="single" w:sz="4" w:space="0" w:color="auto"/>
              <w:left w:val="nil"/>
              <w:bottom w:val="single" w:sz="4" w:space="0" w:color="auto"/>
              <w:right w:val="single" w:sz="4" w:space="0" w:color="auto"/>
            </w:tcBorders>
            <w:shd w:val="clear" w:color="auto" w:fill="auto"/>
            <w:noWrap/>
            <w:vAlign w:val="center"/>
          </w:tcPr>
          <w:p w14:paraId="37570810" w14:textId="1F0376DE"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35%</w:t>
            </w:r>
          </w:p>
        </w:tc>
      </w:tr>
      <w:tr w:rsidR="00941A5A" w:rsidRPr="00941A5A" w14:paraId="0D5C76B8" w14:textId="77777777" w:rsidTr="00941A5A">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5123904" w14:textId="2D9B97EC"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15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21170" w14:textId="38144B3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103DE5E" w14:textId="2B06AFB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106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76661D" w14:textId="4741E483"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80F39" w14:textId="0DB9BC7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116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2ACD4E3" w14:textId="5122AACA"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1666</w:t>
            </w:r>
          </w:p>
        </w:tc>
        <w:tc>
          <w:tcPr>
            <w:tcW w:w="436" w:type="dxa"/>
            <w:tcBorders>
              <w:top w:val="single" w:sz="4" w:space="0" w:color="auto"/>
              <w:left w:val="nil"/>
              <w:bottom w:val="single" w:sz="4" w:space="0" w:color="auto"/>
              <w:right w:val="single" w:sz="4" w:space="0" w:color="auto"/>
            </w:tcBorders>
            <w:shd w:val="clear" w:color="auto" w:fill="auto"/>
            <w:noWrap/>
            <w:vAlign w:val="center"/>
          </w:tcPr>
          <w:p w14:paraId="7B6FDC1E" w14:textId="41D73F5D"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38%</w:t>
            </w:r>
          </w:p>
        </w:tc>
      </w:tr>
      <w:tr w:rsidR="00941A5A" w:rsidRPr="00941A5A" w14:paraId="5AA323D0" w14:textId="77777777" w:rsidTr="00941A5A">
        <w:trPr>
          <w:trHeight w:val="36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3F711F" w14:textId="451FFECB" w:rsidR="00941A5A" w:rsidRPr="00941A5A" w:rsidRDefault="00941A5A" w:rsidP="00941A5A">
            <w:pPr>
              <w:spacing w:after="0" w:line="240" w:lineRule="auto"/>
              <w:jc w:val="center"/>
              <w:rPr>
                <w:rFonts w:ascii="Times New Roman" w:eastAsia="Times New Roman" w:hAnsi="Times New Roman" w:cs="Times New Roman"/>
                <w:i/>
                <w:iCs/>
                <w:color w:val="000000"/>
                <w:kern w:val="0"/>
                <w:sz w:val="20"/>
                <w:szCs w:val="20"/>
                <w:lang w:eastAsia="pt-BR"/>
                <w14:ligatures w14:val="none"/>
              </w:rPr>
            </w:pPr>
            <w:r w:rsidRPr="00941A5A">
              <w:rPr>
                <w:rFonts w:ascii="Times New Roman" w:eastAsia="Times New Roman" w:hAnsi="Times New Roman" w:cs="Times New Roman"/>
                <w:i/>
                <w:iCs/>
                <w:color w:val="000000"/>
                <w:kern w:val="0"/>
                <w:sz w:val="20"/>
                <w:szCs w:val="20"/>
                <w:lang w:eastAsia="pt-BR"/>
                <w14:ligatures w14:val="none"/>
              </w:rPr>
              <w:t>u</w:t>
            </w:r>
            <w:r w:rsidRPr="00941A5A">
              <w:rPr>
                <w:rFonts w:ascii="Times New Roman" w:eastAsia="Times New Roman" w:hAnsi="Times New Roman" w:cs="Times New Roman"/>
                <w:i/>
                <w:iCs/>
                <w:color w:val="000000"/>
                <w:kern w:val="0"/>
                <w:sz w:val="20"/>
                <w:szCs w:val="20"/>
                <w:vertAlign w:val="subscript"/>
                <w:lang w:eastAsia="pt-BR"/>
                <w14:ligatures w14:val="none"/>
              </w:rPr>
              <w:t>16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E37361" w14:textId="7D95B798"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86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6CDFDCB" w14:textId="3A8F54B2"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89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78E3F5E" w14:textId="45E844A4"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283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21E532" w14:textId="29800C61"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212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628628" w14:textId="39FEF41B"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2368</w:t>
            </w:r>
          </w:p>
        </w:tc>
        <w:tc>
          <w:tcPr>
            <w:tcW w:w="436" w:type="dxa"/>
            <w:tcBorders>
              <w:top w:val="single" w:sz="4" w:space="0" w:color="auto"/>
              <w:left w:val="nil"/>
              <w:bottom w:val="single" w:sz="4" w:space="0" w:color="auto"/>
              <w:right w:val="single" w:sz="4" w:space="0" w:color="auto"/>
            </w:tcBorders>
            <w:shd w:val="clear" w:color="auto" w:fill="auto"/>
            <w:noWrap/>
            <w:vAlign w:val="center"/>
          </w:tcPr>
          <w:p w14:paraId="40C181F3" w14:textId="08FD1607" w:rsidR="00941A5A" w:rsidRPr="00941A5A" w:rsidRDefault="00941A5A" w:rsidP="00941A5A">
            <w:pPr>
              <w:spacing w:after="0" w:line="240" w:lineRule="auto"/>
              <w:jc w:val="center"/>
              <w:rPr>
                <w:rFonts w:ascii="Times New Roman" w:eastAsia="Times New Roman" w:hAnsi="Times New Roman" w:cs="Times New Roman"/>
                <w:color w:val="000000"/>
                <w:kern w:val="0"/>
                <w:sz w:val="20"/>
                <w:szCs w:val="20"/>
                <w:lang w:eastAsia="pt-BR"/>
                <w14:ligatures w14:val="none"/>
              </w:rPr>
            </w:pPr>
            <w:r w:rsidRPr="00941A5A">
              <w:rPr>
                <w:rFonts w:ascii="Times New Roman" w:hAnsi="Times New Roman" w:cs="Times New Roman"/>
                <w:color w:val="000000"/>
                <w:sz w:val="20"/>
                <w:szCs w:val="20"/>
              </w:rPr>
              <w:t>56%</w:t>
            </w:r>
          </w:p>
        </w:tc>
      </w:tr>
    </w:tbl>
    <w:p w14:paraId="535DBB2B" w14:textId="77777777" w:rsidR="00B150EC" w:rsidRPr="00B150EC" w:rsidRDefault="00B150EC" w:rsidP="00B150EC">
      <w:pPr>
        <w:spacing w:after="120" w:line="360" w:lineRule="auto"/>
        <w:ind w:firstLine="708"/>
        <w:jc w:val="both"/>
        <w:rPr>
          <w:rFonts w:ascii="Times New Roman" w:hAnsi="Times New Roman" w:cs="Times New Roman"/>
          <w:sz w:val="24"/>
          <w:szCs w:val="24"/>
        </w:rPr>
      </w:pPr>
    </w:p>
    <w:p w14:paraId="74B5F66D" w14:textId="6F0A5511" w:rsidR="00656936" w:rsidRDefault="0090484D" w:rsidP="00B150EC">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P</w:t>
      </w:r>
      <w:r w:rsidR="007C5D29">
        <w:rPr>
          <w:rFonts w:ascii="Times New Roman" w:hAnsi="Times New Roman" w:cs="Times New Roman"/>
          <w:sz w:val="24"/>
          <w:szCs w:val="24"/>
        </w:rPr>
        <w:t xml:space="preserve">ara a análise foi registrado </w:t>
      </w:r>
      <w:r w:rsidR="00B150EC" w:rsidRPr="00B150EC">
        <w:rPr>
          <w:rFonts w:ascii="Times New Roman" w:hAnsi="Times New Roman" w:cs="Times New Roman"/>
          <w:sz w:val="24"/>
          <w:szCs w:val="24"/>
        </w:rPr>
        <w:t>o número de vezes em que um peso distinto de zero foi atribuído a cada variável nas Tabelas 1</w:t>
      </w:r>
      <w:r w:rsidR="00836A24">
        <w:rPr>
          <w:rFonts w:ascii="Times New Roman" w:hAnsi="Times New Roman" w:cs="Times New Roman"/>
          <w:sz w:val="24"/>
          <w:szCs w:val="24"/>
        </w:rPr>
        <w:t>5</w:t>
      </w:r>
      <w:r w:rsidR="00B150EC" w:rsidRPr="00B150EC">
        <w:rPr>
          <w:rFonts w:ascii="Times New Roman" w:hAnsi="Times New Roman" w:cs="Times New Roman"/>
          <w:sz w:val="24"/>
          <w:szCs w:val="24"/>
        </w:rPr>
        <w:t xml:space="preserve"> e 1</w:t>
      </w:r>
      <w:r w:rsidR="00836A24">
        <w:rPr>
          <w:rFonts w:ascii="Times New Roman" w:hAnsi="Times New Roman" w:cs="Times New Roman"/>
          <w:sz w:val="24"/>
          <w:szCs w:val="24"/>
        </w:rPr>
        <w:t>6</w:t>
      </w:r>
      <w:r w:rsidR="00D6026A">
        <w:rPr>
          <w:rFonts w:ascii="Times New Roman" w:hAnsi="Times New Roman" w:cs="Times New Roman"/>
          <w:sz w:val="24"/>
          <w:szCs w:val="24"/>
        </w:rPr>
        <w:t>. Dessa forma</w:t>
      </w:r>
      <w:r w:rsidR="00B150EC" w:rsidRPr="00B150EC">
        <w:rPr>
          <w:rFonts w:ascii="Times New Roman" w:hAnsi="Times New Roman" w:cs="Times New Roman"/>
          <w:sz w:val="24"/>
          <w:szCs w:val="24"/>
        </w:rPr>
        <w:t xml:space="preserve"> p</w:t>
      </w:r>
      <w:r w:rsidR="00D6026A">
        <w:rPr>
          <w:rFonts w:ascii="Times New Roman" w:hAnsi="Times New Roman" w:cs="Times New Roman"/>
          <w:sz w:val="24"/>
          <w:szCs w:val="24"/>
        </w:rPr>
        <w:t>o</w:t>
      </w:r>
      <w:r w:rsidR="00B150EC" w:rsidRPr="00B150EC">
        <w:rPr>
          <w:rFonts w:ascii="Times New Roman" w:hAnsi="Times New Roman" w:cs="Times New Roman"/>
          <w:sz w:val="24"/>
          <w:szCs w:val="24"/>
        </w:rPr>
        <w:t>de</w:t>
      </w:r>
      <w:r w:rsidR="00D6026A">
        <w:rPr>
          <w:rFonts w:ascii="Times New Roman" w:hAnsi="Times New Roman" w:cs="Times New Roman"/>
          <w:sz w:val="24"/>
          <w:szCs w:val="24"/>
        </w:rPr>
        <w:t xml:space="preserve">-se </w:t>
      </w:r>
      <w:r w:rsidR="00B150EC" w:rsidRPr="00B150EC">
        <w:rPr>
          <w:rFonts w:ascii="Times New Roman" w:hAnsi="Times New Roman" w:cs="Times New Roman"/>
          <w:sz w:val="24"/>
          <w:szCs w:val="24"/>
        </w:rPr>
        <w:t>avaliar a contribuição relativa de cada variável para a eficiência. A frequência de atribuição de um peso diferente de zero indica a relevância da variável para a eficiência global. Por outro lado, uma alta incidência de pesos zero sugere que a variável em questão contribui para a ineficiência da unidade de decisão.</w:t>
      </w:r>
      <w:r w:rsidR="00836A24">
        <w:rPr>
          <w:rFonts w:ascii="Times New Roman" w:hAnsi="Times New Roman" w:cs="Times New Roman"/>
          <w:sz w:val="24"/>
          <w:szCs w:val="24"/>
        </w:rPr>
        <w:t xml:space="preserve"> A última coluna das Tabelas 14 e 15 indica o percentual de pesos diferentes de zero atribuídos aquela variável em comparação ao total de pesos possíveis de serem atribuídos. </w:t>
      </w:r>
    </w:p>
    <w:p w14:paraId="79F3CD92" w14:textId="32CEABA0" w:rsidR="00836A24" w:rsidRDefault="00656936" w:rsidP="00EA45A9">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Pela análise dos dados, verifica-se uma maior homogeneidade nos resultados nas atribuições dos pesos dos insumos, porém nota-se que as variáveis</w:t>
      </w:r>
      <w:r w:rsidR="00847ECE">
        <w:rPr>
          <w:rFonts w:ascii="Times New Roman" w:hAnsi="Times New Roman" w:cs="Times New Roman"/>
          <w:sz w:val="24"/>
          <w:szCs w:val="24"/>
        </w:rPr>
        <w:t xml:space="preserve"> referentes ao orçamento per capita municipal:</w:t>
      </w:r>
      <w:r>
        <w:rPr>
          <w:rFonts w:ascii="Times New Roman" w:hAnsi="Times New Roman" w:cs="Times New Roman"/>
          <w:sz w:val="24"/>
          <w:szCs w:val="24"/>
        </w:rPr>
        <w:t xml:space="preserve">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9</w:t>
      </w:r>
      <w:r w:rsidR="00836A24" w:rsidRPr="007D1E12">
        <w:rPr>
          <w:rFonts w:ascii="Times New Roman" w:hAnsi="Times New Roman" w:cs="Times New Roman"/>
          <w:i/>
          <w:iCs/>
          <w:sz w:val="24"/>
          <w:szCs w:val="24"/>
        </w:rPr>
        <w:t xml:space="preserve"> </w:t>
      </w:r>
      <w:r w:rsidR="00836A24">
        <w:rPr>
          <w:rFonts w:ascii="Times New Roman" w:hAnsi="Times New Roman" w:cs="Times New Roman"/>
          <w:sz w:val="24"/>
          <w:szCs w:val="24"/>
        </w:rPr>
        <w:t>(Educação e Cultura),</w:t>
      </w:r>
      <w:r w:rsidR="00836A24" w:rsidRPr="00836A24">
        <w:rPr>
          <w:rFonts w:ascii="Times New Roman" w:hAnsi="Times New Roman" w:cs="Times New Roman"/>
          <w:i/>
          <w:iCs/>
          <w:sz w:val="24"/>
          <w:szCs w:val="24"/>
        </w:rPr>
        <w:t xml:space="preserve">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11</w:t>
      </w:r>
      <w:r w:rsidR="00836A24">
        <w:rPr>
          <w:rFonts w:ascii="Times New Roman" w:hAnsi="Times New Roman" w:cs="Times New Roman"/>
          <w:sz w:val="24"/>
          <w:szCs w:val="24"/>
        </w:rPr>
        <w:t xml:space="preserve"> (Previdência Social),</w:t>
      </w:r>
      <w:r w:rsidR="00836A24" w:rsidRPr="00836A24">
        <w:rPr>
          <w:rFonts w:ascii="Times New Roman" w:hAnsi="Times New Roman" w:cs="Times New Roman"/>
          <w:i/>
          <w:iCs/>
          <w:sz w:val="24"/>
          <w:szCs w:val="24"/>
        </w:rPr>
        <w:t xml:space="preserve">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3</w:t>
      </w:r>
      <w:r w:rsidR="00836A24">
        <w:rPr>
          <w:rFonts w:ascii="Times New Roman" w:hAnsi="Times New Roman" w:cs="Times New Roman"/>
          <w:sz w:val="24"/>
          <w:szCs w:val="24"/>
        </w:rPr>
        <w:t xml:space="preserve"> (Administração),</w:t>
      </w:r>
      <w:r w:rsidR="00836A24" w:rsidRPr="00836A24">
        <w:rPr>
          <w:rFonts w:ascii="Times New Roman" w:hAnsi="Times New Roman" w:cs="Times New Roman"/>
          <w:i/>
          <w:iCs/>
          <w:sz w:val="24"/>
          <w:szCs w:val="24"/>
        </w:rPr>
        <w:t xml:space="preserve">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12</w:t>
      </w:r>
      <w:r w:rsidR="00836A24">
        <w:rPr>
          <w:rFonts w:ascii="Times New Roman" w:hAnsi="Times New Roman" w:cs="Times New Roman"/>
          <w:sz w:val="24"/>
          <w:szCs w:val="24"/>
        </w:rPr>
        <w:t xml:space="preserve"> (saúde),</w:t>
      </w:r>
      <w:r w:rsidR="00836A24" w:rsidRPr="00836A24">
        <w:rPr>
          <w:rFonts w:ascii="Times New Roman" w:hAnsi="Times New Roman" w:cs="Times New Roman"/>
          <w:i/>
          <w:iCs/>
          <w:sz w:val="24"/>
          <w:szCs w:val="24"/>
        </w:rPr>
        <w:t xml:space="preserve">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5</w:t>
      </w:r>
      <w:r w:rsidR="00836A24">
        <w:rPr>
          <w:rFonts w:ascii="Times New Roman" w:hAnsi="Times New Roman" w:cs="Times New Roman"/>
          <w:sz w:val="24"/>
          <w:szCs w:val="24"/>
        </w:rPr>
        <w:t xml:space="preserve"> (Comércio e Serviço) e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4</w:t>
      </w:r>
      <w:r w:rsidR="00836A24">
        <w:rPr>
          <w:rFonts w:ascii="Times New Roman" w:hAnsi="Times New Roman" w:cs="Times New Roman"/>
          <w:sz w:val="24"/>
          <w:szCs w:val="24"/>
        </w:rPr>
        <w:t xml:space="preserve"> (Segurança Pública) ocupam as primeiras 6 posições com maiores números de pesos atribuídos pelo modelo. Na sequência se encontram: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rPr>
        <w:softHyphen/>
      </w:r>
      <w:r w:rsidR="00836A24" w:rsidRPr="007D1E12">
        <w:rPr>
          <w:rFonts w:ascii="Times New Roman" w:hAnsi="Times New Roman" w:cs="Times New Roman"/>
          <w:i/>
          <w:iCs/>
          <w:sz w:val="24"/>
          <w:szCs w:val="24"/>
          <w:vertAlign w:val="subscript"/>
        </w:rPr>
        <w:t>1</w:t>
      </w:r>
      <w:r w:rsidR="00836A24">
        <w:rPr>
          <w:rFonts w:ascii="Times New Roman" w:hAnsi="Times New Roman" w:cs="Times New Roman"/>
          <w:sz w:val="24"/>
          <w:szCs w:val="24"/>
        </w:rPr>
        <w:t xml:space="preserve"> (Outros),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6</w:t>
      </w:r>
      <w:r w:rsidR="00836A24" w:rsidRPr="007D1E12">
        <w:rPr>
          <w:rFonts w:ascii="Times New Roman" w:hAnsi="Times New Roman" w:cs="Times New Roman"/>
          <w:i/>
          <w:iCs/>
          <w:sz w:val="24"/>
          <w:szCs w:val="24"/>
        </w:rPr>
        <w:t xml:space="preserve"> </w:t>
      </w:r>
      <w:r w:rsidR="00836A24">
        <w:rPr>
          <w:rFonts w:ascii="Times New Roman" w:hAnsi="Times New Roman" w:cs="Times New Roman"/>
          <w:sz w:val="24"/>
          <w:szCs w:val="24"/>
        </w:rPr>
        <w:t xml:space="preserve">(Urbanismo, Saneamento e Transporte),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7</w:t>
      </w:r>
      <w:r w:rsidR="00836A24" w:rsidRPr="007D1E12">
        <w:rPr>
          <w:rFonts w:ascii="Times New Roman" w:hAnsi="Times New Roman" w:cs="Times New Roman"/>
          <w:i/>
          <w:iCs/>
          <w:sz w:val="24"/>
          <w:szCs w:val="24"/>
        </w:rPr>
        <w:t xml:space="preserve"> </w:t>
      </w:r>
      <w:r w:rsidR="00836A24">
        <w:rPr>
          <w:rFonts w:ascii="Times New Roman" w:hAnsi="Times New Roman" w:cs="Times New Roman"/>
          <w:sz w:val="24"/>
          <w:szCs w:val="24"/>
        </w:rPr>
        <w:t>(Gestão Ambiental e Agricultura) e</w:t>
      </w:r>
      <w:r w:rsidR="00836A24" w:rsidRPr="00836A24">
        <w:rPr>
          <w:rFonts w:ascii="Times New Roman" w:hAnsi="Times New Roman" w:cs="Times New Roman"/>
          <w:i/>
          <w:iCs/>
          <w:sz w:val="24"/>
          <w:szCs w:val="24"/>
        </w:rPr>
        <w:t xml:space="preserve"> </w:t>
      </w:r>
      <w:r w:rsidR="00836A24" w:rsidRPr="00847ECE">
        <w:rPr>
          <w:rFonts w:ascii="Times New Roman" w:hAnsi="Times New Roman" w:cs="Times New Roman"/>
          <w:i/>
          <w:iCs/>
          <w:sz w:val="24"/>
          <w:szCs w:val="24"/>
        </w:rPr>
        <w:t>v</w:t>
      </w:r>
      <w:r w:rsidR="00836A24" w:rsidRPr="00847ECE">
        <w:rPr>
          <w:rFonts w:ascii="Times New Roman" w:hAnsi="Times New Roman" w:cs="Times New Roman"/>
          <w:i/>
          <w:iCs/>
          <w:sz w:val="24"/>
          <w:szCs w:val="24"/>
          <w:vertAlign w:val="subscript"/>
        </w:rPr>
        <w:t>8</w:t>
      </w:r>
      <w:r w:rsidR="00836A24">
        <w:rPr>
          <w:rFonts w:ascii="Times New Roman" w:hAnsi="Times New Roman" w:cs="Times New Roman"/>
          <w:sz w:val="24"/>
          <w:szCs w:val="24"/>
        </w:rPr>
        <w:t xml:space="preserve"> (desporto e lazer).</w:t>
      </w:r>
      <w:r w:rsidR="00B1608A">
        <w:rPr>
          <w:rFonts w:ascii="Times New Roman" w:hAnsi="Times New Roman" w:cs="Times New Roman"/>
          <w:sz w:val="24"/>
          <w:szCs w:val="24"/>
        </w:rPr>
        <w:t xml:space="preserve"> Já</w:t>
      </w:r>
      <w:r w:rsidR="00836A24">
        <w:rPr>
          <w:rFonts w:ascii="Times New Roman" w:hAnsi="Times New Roman" w:cs="Times New Roman"/>
          <w:sz w:val="24"/>
          <w:szCs w:val="24"/>
        </w:rPr>
        <w:t xml:space="preserve"> </w:t>
      </w:r>
      <w:r w:rsidR="00B1608A">
        <w:rPr>
          <w:rFonts w:ascii="Times New Roman" w:hAnsi="Times New Roman" w:cs="Times New Roman"/>
          <w:sz w:val="24"/>
          <w:szCs w:val="24"/>
        </w:rPr>
        <w:t>n</w:t>
      </w:r>
      <w:r w:rsidR="00836A24">
        <w:rPr>
          <w:rFonts w:ascii="Times New Roman" w:hAnsi="Times New Roman" w:cs="Times New Roman"/>
          <w:sz w:val="24"/>
          <w:szCs w:val="24"/>
        </w:rPr>
        <w:t>as duas últimas posições</w:t>
      </w:r>
      <w:r w:rsidR="00B1608A">
        <w:rPr>
          <w:rFonts w:ascii="Times New Roman" w:hAnsi="Times New Roman" w:cs="Times New Roman"/>
          <w:sz w:val="24"/>
          <w:szCs w:val="24"/>
        </w:rPr>
        <w:t>,</w:t>
      </w:r>
      <w:r w:rsidR="00836A24">
        <w:rPr>
          <w:rFonts w:ascii="Times New Roman" w:hAnsi="Times New Roman" w:cs="Times New Roman"/>
          <w:sz w:val="24"/>
          <w:szCs w:val="24"/>
        </w:rPr>
        <w:t xml:space="preserve"> com menor número de pesos atribuídos: </w:t>
      </w:r>
      <w:r w:rsidR="00836A24" w:rsidRPr="007D1E12">
        <w:rPr>
          <w:rFonts w:ascii="Times New Roman" w:hAnsi="Times New Roman" w:cs="Times New Roman"/>
          <w:i/>
          <w:iCs/>
          <w:sz w:val="24"/>
          <w:szCs w:val="24"/>
        </w:rPr>
        <w:t>v</w:t>
      </w:r>
      <w:r w:rsidR="00836A24" w:rsidRPr="007D1E12">
        <w:rPr>
          <w:rFonts w:ascii="Times New Roman" w:hAnsi="Times New Roman" w:cs="Times New Roman"/>
          <w:i/>
          <w:iCs/>
          <w:sz w:val="24"/>
          <w:szCs w:val="24"/>
          <w:vertAlign w:val="subscript"/>
        </w:rPr>
        <w:t>2</w:t>
      </w:r>
      <w:r w:rsidR="00836A24">
        <w:rPr>
          <w:rFonts w:ascii="Times New Roman" w:hAnsi="Times New Roman" w:cs="Times New Roman"/>
          <w:sz w:val="24"/>
          <w:szCs w:val="24"/>
        </w:rPr>
        <w:t xml:space="preserve"> (Legislativo) e </w:t>
      </w:r>
      <w:r w:rsidR="00B1608A" w:rsidRPr="00847ECE">
        <w:rPr>
          <w:rFonts w:ascii="Times New Roman" w:hAnsi="Times New Roman" w:cs="Times New Roman"/>
          <w:i/>
          <w:iCs/>
          <w:sz w:val="24"/>
          <w:szCs w:val="24"/>
        </w:rPr>
        <w:t>v</w:t>
      </w:r>
      <w:r w:rsidR="00B1608A" w:rsidRPr="00847ECE">
        <w:rPr>
          <w:rFonts w:ascii="Times New Roman" w:hAnsi="Times New Roman" w:cs="Times New Roman"/>
          <w:i/>
          <w:iCs/>
          <w:sz w:val="24"/>
          <w:szCs w:val="24"/>
          <w:vertAlign w:val="subscript"/>
        </w:rPr>
        <w:t>10</w:t>
      </w:r>
      <w:r w:rsidR="00B1608A">
        <w:rPr>
          <w:rFonts w:ascii="Times New Roman" w:hAnsi="Times New Roman" w:cs="Times New Roman"/>
          <w:sz w:val="24"/>
          <w:szCs w:val="24"/>
        </w:rPr>
        <w:t xml:space="preserve"> (assistência social).</w:t>
      </w:r>
    </w:p>
    <w:p w14:paraId="71DF9AD1" w14:textId="583EE9CC" w:rsidR="00825CE0" w:rsidRDefault="007D1E12" w:rsidP="00EA45A9">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Quanto aos pesos das variáveis dos outputs, verifica-se uma situação menos equilibrada. Para este caso, destacam-se os outputs</w:t>
      </w:r>
      <w:r w:rsidR="00825CE0">
        <w:rPr>
          <w:rFonts w:ascii="Times New Roman" w:hAnsi="Times New Roman" w:cs="Times New Roman"/>
          <w:sz w:val="24"/>
          <w:szCs w:val="24"/>
        </w:rPr>
        <w:t>:</w:t>
      </w:r>
      <w:r>
        <w:rPr>
          <w:rFonts w:ascii="Times New Roman" w:hAnsi="Times New Roman" w:cs="Times New Roman"/>
          <w:sz w:val="24"/>
          <w:szCs w:val="24"/>
        </w:rPr>
        <w:t xml:space="preserve">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1</w:t>
      </w:r>
      <w:r w:rsidR="00825CE0">
        <w:rPr>
          <w:rFonts w:ascii="Times New Roman" w:hAnsi="Times New Roman" w:cs="Times New Roman"/>
          <w:i/>
          <w:iCs/>
          <w:sz w:val="24"/>
          <w:szCs w:val="24"/>
          <w:vertAlign w:val="subscript"/>
        </w:rPr>
        <w:t>6</w:t>
      </w:r>
      <w:r w:rsidR="00825CE0">
        <w:rPr>
          <w:rFonts w:ascii="Times New Roman" w:hAnsi="Times New Roman" w:cs="Times New Roman"/>
          <w:sz w:val="24"/>
          <w:szCs w:val="24"/>
        </w:rPr>
        <w:t xml:space="preserve"> (ODS 17), </w:t>
      </w:r>
      <w:r w:rsidR="00825CE0" w:rsidRPr="007D1E12">
        <w:rPr>
          <w:rFonts w:ascii="Times New Roman" w:hAnsi="Times New Roman" w:cs="Times New Roman"/>
          <w:i/>
          <w:iCs/>
          <w:sz w:val="24"/>
          <w:szCs w:val="24"/>
        </w:rPr>
        <w:t>u</w:t>
      </w:r>
      <w:r w:rsidR="00825CE0">
        <w:rPr>
          <w:rFonts w:ascii="Times New Roman" w:hAnsi="Times New Roman" w:cs="Times New Roman"/>
          <w:i/>
          <w:iCs/>
          <w:sz w:val="24"/>
          <w:szCs w:val="24"/>
          <w:vertAlign w:val="subscript"/>
        </w:rPr>
        <w:t>5</w:t>
      </w:r>
      <w:r w:rsidR="00825CE0">
        <w:rPr>
          <w:rFonts w:ascii="Times New Roman" w:hAnsi="Times New Roman" w:cs="Times New Roman"/>
          <w:sz w:val="24"/>
          <w:szCs w:val="24"/>
        </w:rPr>
        <w:t xml:space="preserve"> (ODS 5),</w:t>
      </w:r>
      <w:r w:rsidR="00825CE0" w:rsidRPr="00825CE0">
        <w:rPr>
          <w:rFonts w:ascii="Times New Roman" w:hAnsi="Times New Roman" w:cs="Times New Roman"/>
          <w:i/>
          <w:iCs/>
          <w:sz w:val="24"/>
          <w:szCs w:val="24"/>
        </w:rPr>
        <w:t xml:space="preserve">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15</w:t>
      </w:r>
      <w:r w:rsidR="00825CE0">
        <w:rPr>
          <w:rFonts w:ascii="Times New Roman" w:hAnsi="Times New Roman" w:cs="Times New Roman"/>
          <w:sz w:val="24"/>
          <w:szCs w:val="24"/>
        </w:rPr>
        <w:t xml:space="preserve"> (ODS16),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1</w:t>
      </w:r>
      <w:r w:rsidR="00825CE0">
        <w:rPr>
          <w:rFonts w:ascii="Times New Roman" w:hAnsi="Times New Roman" w:cs="Times New Roman"/>
          <w:i/>
          <w:iCs/>
          <w:sz w:val="24"/>
          <w:szCs w:val="24"/>
          <w:vertAlign w:val="subscript"/>
        </w:rPr>
        <w:t>4</w:t>
      </w:r>
      <w:r w:rsidR="00825CE0">
        <w:rPr>
          <w:rFonts w:ascii="Times New Roman" w:hAnsi="Times New Roman" w:cs="Times New Roman"/>
          <w:sz w:val="24"/>
          <w:szCs w:val="24"/>
        </w:rPr>
        <w:t xml:space="preserve"> (ODS15), </w:t>
      </w:r>
      <w:r w:rsidR="00825CE0" w:rsidRPr="007D1E12">
        <w:rPr>
          <w:rFonts w:ascii="Times New Roman" w:hAnsi="Times New Roman" w:cs="Times New Roman"/>
          <w:i/>
          <w:iCs/>
          <w:sz w:val="24"/>
          <w:szCs w:val="24"/>
        </w:rPr>
        <w:t>u</w:t>
      </w:r>
      <w:r w:rsidR="00825CE0">
        <w:rPr>
          <w:rFonts w:ascii="Times New Roman" w:hAnsi="Times New Roman" w:cs="Times New Roman"/>
          <w:i/>
          <w:iCs/>
          <w:sz w:val="24"/>
          <w:szCs w:val="24"/>
          <w:vertAlign w:val="subscript"/>
        </w:rPr>
        <w:t>7</w:t>
      </w:r>
      <w:r w:rsidR="00825CE0">
        <w:rPr>
          <w:rFonts w:ascii="Times New Roman" w:hAnsi="Times New Roman" w:cs="Times New Roman"/>
          <w:sz w:val="24"/>
          <w:szCs w:val="24"/>
        </w:rPr>
        <w:t xml:space="preserve"> (ODS7) e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4</w:t>
      </w:r>
      <w:r w:rsidR="00825CE0">
        <w:rPr>
          <w:rFonts w:ascii="Times New Roman" w:hAnsi="Times New Roman" w:cs="Times New Roman"/>
          <w:sz w:val="24"/>
          <w:szCs w:val="24"/>
        </w:rPr>
        <w:t xml:space="preserve"> (ODS 4). Na sequência aparecem os outputs: </w:t>
      </w:r>
      <w:r w:rsidR="00825CE0" w:rsidRPr="007D1E12">
        <w:rPr>
          <w:rFonts w:ascii="Times New Roman" w:hAnsi="Times New Roman" w:cs="Times New Roman"/>
          <w:i/>
          <w:iCs/>
          <w:sz w:val="24"/>
          <w:szCs w:val="24"/>
        </w:rPr>
        <w:t>u</w:t>
      </w:r>
      <w:r w:rsidR="00825CE0">
        <w:rPr>
          <w:rFonts w:ascii="Times New Roman" w:hAnsi="Times New Roman" w:cs="Times New Roman"/>
          <w:i/>
          <w:iCs/>
          <w:sz w:val="24"/>
          <w:szCs w:val="24"/>
          <w:vertAlign w:val="subscript"/>
        </w:rPr>
        <w:t>2</w:t>
      </w:r>
      <w:r w:rsidR="00825CE0">
        <w:rPr>
          <w:rFonts w:ascii="Times New Roman" w:hAnsi="Times New Roman" w:cs="Times New Roman"/>
          <w:sz w:val="24"/>
          <w:szCs w:val="24"/>
        </w:rPr>
        <w:t xml:space="preserve"> (ODS 2), </w:t>
      </w:r>
      <w:r w:rsidR="00825CE0" w:rsidRPr="007D1E12">
        <w:rPr>
          <w:rFonts w:ascii="Times New Roman" w:hAnsi="Times New Roman" w:cs="Times New Roman"/>
          <w:i/>
          <w:iCs/>
          <w:sz w:val="24"/>
          <w:szCs w:val="24"/>
        </w:rPr>
        <w:t>u</w:t>
      </w:r>
      <w:r w:rsidR="00825CE0">
        <w:rPr>
          <w:rFonts w:ascii="Times New Roman" w:hAnsi="Times New Roman" w:cs="Times New Roman"/>
          <w:i/>
          <w:iCs/>
          <w:sz w:val="24"/>
          <w:szCs w:val="24"/>
          <w:vertAlign w:val="subscript"/>
        </w:rPr>
        <w:t>6</w:t>
      </w:r>
      <w:r w:rsidR="00825CE0">
        <w:rPr>
          <w:rFonts w:ascii="Times New Roman" w:hAnsi="Times New Roman" w:cs="Times New Roman"/>
          <w:sz w:val="24"/>
          <w:szCs w:val="24"/>
        </w:rPr>
        <w:t xml:space="preserve"> (ODS 6),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1</w:t>
      </w:r>
      <w:r w:rsidR="00825CE0">
        <w:rPr>
          <w:rFonts w:ascii="Times New Roman" w:hAnsi="Times New Roman" w:cs="Times New Roman"/>
          <w:i/>
          <w:iCs/>
          <w:sz w:val="24"/>
          <w:szCs w:val="24"/>
          <w:vertAlign w:val="subscript"/>
        </w:rPr>
        <w:t>2</w:t>
      </w:r>
      <w:r w:rsidR="00825CE0">
        <w:rPr>
          <w:rFonts w:ascii="Times New Roman" w:hAnsi="Times New Roman" w:cs="Times New Roman"/>
          <w:sz w:val="24"/>
          <w:szCs w:val="24"/>
        </w:rPr>
        <w:t xml:space="preserve"> (ODS 12), </w:t>
      </w:r>
      <w:r w:rsidR="00825CE0" w:rsidRPr="007D1E12">
        <w:rPr>
          <w:rFonts w:ascii="Times New Roman" w:hAnsi="Times New Roman" w:cs="Times New Roman"/>
          <w:i/>
          <w:iCs/>
          <w:sz w:val="24"/>
          <w:szCs w:val="24"/>
        </w:rPr>
        <w:t>u</w:t>
      </w:r>
      <w:r w:rsidR="00825CE0">
        <w:rPr>
          <w:rFonts w:ascii="Times New Roman" w:hAnsi="Times New Roman" w:cs="Times New Roman"/>
          <w:i/>
          <w:iCs/>
          <w:sz w:val="24"/>
          <w:szCs w:val="24"/>
          <w:vertAlign w:val="subscript"/>
        </w:rPr>
        <w:t>8</w:t>
      </w:r>
      <w:r w:rsidR="00825CE0">
        <w:rPr>
          <w:rFonts w:ascii="Times New Roman" w:hAnsi="Times New Roman" w:cs="Times New Roman"/>
          <w:sz w:val="24"/>
          <w:szCs w:val="24"/>
        </w:rPr>
        <w:t xml:space="preserve"> (ODS8) e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1</w:t>
      </w:r>
      <w:r w:rsidR="00825CE0">
        <w:rPr>
          <w:rFonts w:ascii="Times New Roman" w:hAnsi="Times New Roman" w:cs="Times New Roman"/>
          <w:i/>
          <w:iCs/>
          <w:sz w:val="24"/>
          <w:szCs w:val="24"/>
          <w:vertAlign w:val="subscript"/>
        </w:rPr>
        <w:t>3</w:t>
      </w:r>
      <w:r w:rsidR="00825CE0">
        <w:rPr>
          <w:rFonts w:ascii="Times New Roman" w:hAnsi="Times New Roman" w:cs="Times New Roman"/>
          <w:sz w:val="24"/>
          <w:szCs w:val="24"/>
        </w:rPr>
        <w:t xml:space="preserve"> (ODS13). Por fim, nas últimas posições: </w:t>
      </w:r>
      <w:r w:rsidR="00825CE0" w:rsidRPr="007D1E12">
        <w:rPr>
          <w:rFonts w:ascii="Times New Roman" w:hAnsi="Times New Roman" w:cs="Times New Roman"/>
          <w:i/>
          <w:iCs/>
          <w:sz w:val="24"/>
          <w:szCs w:val="24"/>
        </w:rPr>
        <w:t>u</w:t>
      </w:r>
      <w:r w:rsidR="00825CE0">
        <w:rPr>
          <w:rFonts w:ascii="Times New Roman" w:hAnsi="Times New Roman" w:cs="Times New Roman"/>
          <w:i/>
          <w:iCs/>
          <w:sz w:val="24"/>
          <w:szCs w:val="24"/>
          <w:vertAlign w:val="subscript"/>
        </w:rPr>
        <w:t>3</w:t>
      </w:r>
      <w:r w:rsidR="00825CE0">
        <w:rPr>
          <w:rFonts w:ascii="Times New Roman" w:hAnsi="Times New Roman" w:cs="Times New Roman"/>
          <w:sz w:val="24"/>
          <w:szCs w:val="24"/>
        </w:rPr>
        <w:t xml:space="preserve"> (ODS 3),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1</w:t>
      </w:r>
      <w:r w:rsidR="00825CE0">
        <w:rPr>
          <w:rFonts w:ascii="Times New Roman" w:hAnsi="Times New Roman" w:cs="Times New Roman"/>
          <w:i/>
          <w:iCs/>
          <w:sz w:val="24"/>
          <w:szCs w:val="24"/>
          <w:vertAlign w:val="subscript"/>
        </w:rPr>
        <w:t>0</w:t>
      </w:r>
      <w:r w:rsidR="00825CE0">
        <w:rPr>
          <w:rFonts w:ascii="Times New Roman" w:hAnsi="Times New Roman" w:cs="Times New Roman"/>
          <w:sz w:val="24"/>
          <w:szCs w:val="24"/>
        </w:rPr>
        <w:t xml:space="preserve"> (ODS 10), </w:t>
      </w:r>
      <w:r w:rsidR="00825CE0" w:rsidRPr="007D1E12">
        <w:rPr>
          <w:rFonts w:ascii="Times New Roman" w:hAnsi="Times New Roman" w:cs="Times New Roman"/>
          <w:i/>
          <w:iCs/>
          <w:sz w:val="24"/>
          <w:szCs w:val="24"/>
        </w:rPr>
        <w:t>u</w:t>
      </w:r>
      <w:r w:rsidR="00825CE0">
        <w:rPr>
          <w:rFonts w:ascii="Times New Roman" w:hAnsi="Times New Roman" w:cs="Times New Roman"/>
          <w:i/>
          <w:iCs/>
          <w:sz w:val="24"/>
          <w:szCs w:val="24"/>
          <w:vertAlign w:val="subscript"/>
        </w:rPr>
        <w:t>9</w:t>
      </w:r>
      <w:r w:rsidR="00825CE0">
        <w:rPr>
          <w:rFonts w:ascii="Times New Roman" w:hAnsi="Times New Roman" w:cs="Times New Roman"/>
          <w:sz w:val="24"/>
          <w:szCs w:val="24"/>
        </w:rPr>
        <w:t xml:space="preserve"> (ODS 9),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1</w:t>
      </w:r>
      <w:r w:rsidR="00825CE0">
        <w:rPr>
          <w:rFonts w:ascii="Times New Roman" w:hAnsi="Times New Roman" w:cs="Times New Roman"/>
          <w:i/>
          <w:iCs/>
          <w:sz w:val="24"/>
          <w:szCs w:val="24"/>
          <w:vertAlign w:val="subscript"/>
        </w:rPr>
        <w:t>1</w:t>
      </w:r>
      <w:r w:rsidR="00825CE0">
        <w:rPr>
          <w:rFonts w:ascii="Times New Roman" w:hAnsi="Times New Roman" w:cs="Times New Roman"/>
          <w:sz w:val="24"/>
          <w:szCs w:val="24"/>
        </w:rPr>
        <w:t xml:space="preserve"> (ODS11) e </w:t>
      </w:r>
      <w:r w:rsidR="00825CE0" w:rsidRPr="007D1E12">
        <w:rPr>
          <w:rFonts w:ascii="Times New Roman" w:hAnsi="Times New Roman" w:cs="Times New Roman"/>
          <w:i/>
          <w:iCs/>
          <w:sz w:val="24"/>
          <w:szCs w:val="24"/>
        </w:rPr>
        <w:t>u</w:t>
      </w:r>
      <w:r w:rsidR="00825CE0" w:rsidRPr="007D1E12">
        <w:rPr>
          <w:rFonts w:ascii="Times New Roman" w:hAnsi="Times New Roman" w:cs="Times New Roman"/>
          <w:i/>
          <w:iCs/>
          <w:sz w:val="24"/>
          <w:szCs w:val="24"/>
          <w:vertAlign w:val="subscript"/>
        </w:rPr>
        <w:t>1</w:t>
      </w:r>
      <w:r w:rsidR="00825CE0">
        <w:rPr>
          <w:rFonts w:ascii="Times New Roman" w:hAnsi="Times New Roman" w:cs="Times New Roman"/>
          <w:sz w:val="24"/>
          <w:szCs w:val="24"/>
        </w:rPr>
        <w:t xml:space="preserve"> (ODS1)</w:t>
      </w:r>
      <w:r w:rsidR="00586F01">
        <w:rPr>
          <w:rFonts w:ascii="Times New Roman" w:hAnsi="Times New Roman" w:cs="Times New Roman"/>
          <w:sz w:val="24"/>
          <w:szCs w:val="24"/>
        </w:rPr>
        <w:t>.</w:t>
      </w:r>
      <w:r w:rsidR="00825CE0">
        <w:rPr>
          <w:rFonts w:ascii="Times New Roman" w:hAnsi="Times New Roman" w:cs="Times New Roman"/>
          <w:sz w:val="24"/>
          <w:szCs w:val="24"/>
        </w:rPr>
        <w:t xml:space="preserve">     </w:t>
      </w:r>
    </w:p>
    <w:p w14:paraId="115EA105" w14:textId="77777777" w:rsidR="00A30FA7" w:rsidRDefault="00A30FA7" w:rsidP="00DD44D5">
      <w:pPr>
        <w:spacing w:after="120" w:line="360" w:lineRule="auto"/>
        <w:rPr>
          <w:rFonts w:ascii="Times New Roman" w:hAnsi="Times New Roman" w:cs="Times New Roman"/>
          <w:b/>
          <w:bCs/>
          <w:sz w:val="24"/>
          <w:szCs w:val="24"/>
        </w:rPr>
      </w:pPr>
    </w:p>
    <w:p w14:paraId="154837ED" w14:textId="0AEC3FCA" w:rsidR="00DD44D5" w:rsidRDefault="002F213F" w:rsidP="00DD44D5">
      <w:pPr>
        <w:spacing w:after="120" w:line="360" w:lineRule="auto"/>
        <w:rPr>
          <w:rFonts w:ascii="Times New Roman" w:hAnsi="Times New Roman" w:cs="Times New Roman"/>
          <w:b/>
          <w:bCs/>
          <w:sz w:val="24"/>
          <w:szCs w:val="24"/>
        </w:rPr>
      </w:pPr>
      <w:r>
        <w:rPr>
          <w:rFonts w:ascii="Times New Roman" w:hAnsi="Times New Roman" w:cs="Times New Roman"/>
          <w:b/>
          <w:bCs/>
          <w:sz w:val="24"/>
          <w:szCs w:val="24"/>
        </w:rPr>
        <w:t>6</w:t>
      </w:r>
      <w:r w:rsidR="00DD44D5">
        <w:rPr>
          <w:rFonts w:ascii="Times New Roman" w:hAnsi="Times New Roman" w:cs="Times New Roman"/>
          <w:b/>
          <w:bCs/>
          <w:sz w:val="24"/>
          <w:szCs w:val="24"/>
        </w:rPr>
        <w:t>. Conclusões</w:t>
      </w:r>
    </w:p>
    <w:p w14:paraId="4AA945E5" w14:textId="3320FCCE" w:rsidR="00DD46B7" w:rsidRDefault="00DD46B7" w:rsidP="00574EC2">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A aplicação do Modelo DEA CCR permitiu</w:t>
      </w:r>
      <w:r w:rsidR="00574EC2" w:rsidRPr="00574EC2">
        <w:rPr>
          <w:rFonts w:ascii="Times New Roman" w:hAnsi="Times New Roman" w:cs="Times New Roman"/>
          <w:sz w:val="24"/>
          <w:szCs w:val="24"/>
        </w:rPr>
        <w:t xml:space="preserve"> avaliar a eficiência relativa dos municípios em relação aos inputs (co</w:t>
      </w:r>
      <w:r>
        <w:rPr>
          <w:rFonts w:ascii="Times New Roman" w:hAnsi="Times New Roman" w:cs="Times New Roman"/>
          <w:sz w:val="24"/>
          <w:szCs w:val="24"/>
        </w:rPr>
        <w:t xml:space="preserve">ntas do orçamento </w:t>
      </w:r>
      <w:r w:rsidR="00574EC2" w:rsidRPr="00574EC2">
        <w:rPr>
          <w:rFonts w:ascii="Times New Roman" w:hAnsi="Times New Roman" w:cs="Times New Roman"/>
          <w:sz w:val="24"/>
          <w:szCs w:val="24"/>
        </w:rPr>
        <w:t>municipal</w:t>
      </w:r>
      <w:r>
        <w:rPr>
          <w:rFonts w:ascii="Times New Roman" w:hAnsi="Times New Roman" w:cs="Times New Roman"/>
          <w:sz w:val="24"/>
          <w:szCs w:val="24"/>
        </w:rPr>
        <w:t xml:space="preserve"> per capita</w:t>
      </w:r>
      <w:r w:rsidR="00574EC2" w:rsidRPr="00574EC2">
        <w:rPr>
          <w:rFonts w:ascii="Times New Roman" w:hAnsi="Times New Roman" w:cs="Times New Roman"/>
          <w:sz w:val="24"/>
          <w:szCs w:val="24"/>
        </w:rPr>
        <w:t xml:space="preserve">) e outputs (resultados dos ODS) considerados. Em vez de calcular uma média simples que pode mascarar as disparidades entre os municípios, a DEA permite identificar quais </w:t>
      </w:r>
      <w:r w:rsidR="00820A7D">
        <w:rPr>
          <w:rFonts w:ascii="Times New Roman" w:hAnsi="Times New Roman" w:cs="Times New Roman"/>
          <w:sz w:val="24"/>
          <w:szCs w:val="24"/>
        </w:rPr>
        <w:t xml:space="preserve">municípios </w:t>
      </w:r>
      <w:r w:rsidR="00574EC2" w:rsidRPr="00574EC2">
        <w:rPr>
          <w:rFonts w:ascii="Times New Roman" w:hAnsi="Times New Roman" w:cs="Times New Roman"/>
          <w:sz w:val="24"/>
          <w:szCs w:val="24"/>
        </w:rPr>
        <w:t xml:space="preserve">estão utilizando seus recursos de forma mais eficiente para alcançar os resultados desejados em relação aos ODS. </w:t>
      </w:r>
    </w:p>
    <w:p w14:paraId="61D4A97F" w14:textId="3C34B388" w:rsidR="00574EC2" w:rsidRPr="00574EC2" w:rsidRDefault="00574EC2" w:rsidP="00574EC2">
      <w:pPr>
        <w:spacing w:after="120" w:line="360" w:lineRule="auto"/>
        <w:ind w:firstLine="708"/>
        <w:jc w:val="both"/>
        <w:rPr>
          <w:rFonts w:ascii="Times New Roman" w:hAnsi="Times New Roman" w:cs="Times New Roman"/>
          <w:sz w:val="24"/>
          <w:szCs w:val="24"/>
        </w:rPr>
      </w:pPr>
      <w:r w:rsidRPr="00574EC2">
        <w:rPr>
          <w:rFonts w:ascii="Times New Roman" w:hAnsi="Times New Roman" w:cs="Times New Roman"/>
          <w:sz w:val="24"/>
          <w:szCs w:val="24"/>
        </w:rPr>
        <w:t>Ao identificar os municípios mais eficientes na transformação de inputs em outputs, a DEA pode ajudar a identificar melhores práticas e estratégias replicáveis. Isso é especialmente relevante considera</w:t>
      </w:r>
      <w:r w:rsidR="00DD46B7">
        <w:rPr>
          <w:rFonts w:ascii="Times New Roman" w:hAnsi="Times New Roman" w:cs="Times New Roman"/>
          <w:sz w:val="24"/>
          <w:szCs w:val="24"/>
        </w:rPr>
        <w:t>ndo as disparidades regionais de um</w:t>
      </w:r>
      <w:r w:rsidRPr="00574EC2">
        <w:rPr>
          <w:rFonts w:ascii="Times New Roman" w:hAnsi="Times New Roman" w:cs="Times New Roman"/>
          <w:sz w:val="24"/>
          <w:szCs w:val="24"/>
        </w:rPr>
        <w:t xml:space="preserve"> país</w:t>
      </w:r>
      <w:r w:rsidR="00DD46B7">
        <w:rPr>
          <w:rFonts w:ascii="Times New Roman" w:hAnsi="Times New Roman" w:cs="Times New Roman"/>
          <w:sz w:val="24"/>
          <w:szCs w:val="24"/>
        </w:rPr>
        <w:t xml:space="preserve"> continental </w:t>
      </w:r>
      <w:r w:rsidR="00DD46B7">
        <w:rPr>
          <w:rFonts w:ascii="Times New Roman" w:hAnsi="Times New Roman" w:cs="Times New Roman"/>
          <w:sz w:val="24"/>
          <w:szCs w:val="24"/>
        </w:rPr>
        <w:lastRenderedPageBreak/>
        <w:t xml:space="preserve">como é o caso </w:t>
      </w:r>
      <w:proofErr w:type="gramStart"/>
      <w:r w:rsidR="00DD46B7">
        <w:rPr>
          <w:rFonts w:ascii="Times New Roman" w:hAnsi="Times New Roman" w:cs="Times New Roman"/>
          <w:sz w:val="24"/>
          <w:szCs w:val="24"/>
        </w:rPr>
        <w:t>do</w:t>
      </w:r>
      <w:proofErr w:type="gramEnd"/>
      <w:r w:rsidR="00DD46B7">
        <w:rPr>
          <w:rFonts w:ascii="Times New Roman" w:hAnsi="Times New Roman" w:cs="Times New Roman"/>
          <w:sz w:val="24"/>
          <w:szCs w:val="24"/>
        </w:rPr>
        <w:t xml:space="preserve"> Brasil</w:t>
      </w:r>
      <w:r w:rsidRPr="00574EC2">
        <w:rPr>
          <w:rFonts w:ascii="Times New Roman" w:hAnsi="Times New Roman" w:cs="Times New Roman"/>
          <w:sz w:val="24"/>
          <w:szCs w:val="24"/>
        </w:rPr>
        <w:t xml:space="preserve">. Para aplicar o modelo DEA CCR, o orçamento municipal foi subdividido em 12 contas principais, e os dados foram normalizados pela população do município para permitir uma análise equilibrada. </w:t>
      </w:r>
      <w:r w:rsidR="00BC370D">
        <w:rPr>
          <w:rFonts w:ascii="Times New Roman" w:hAnsi="Times New Roman" w:cs="Times New Roman"/>
          <w:sz w:val="24"/>
          <w:szCs w:val="24"/>
        </w:rPr>
        <w:t>Dessa forma, c</w:t>
      </w:r>
      <w:r w:rsidRPr="00574EC2">
        <w:rPr>
          <w:rFonts w:ascii="Times New Roman" w:hAnsi="Times New Roman" w:cs="Times New Roman"/>
          <w:sz w:val="24"/>
          <w:szCs w:val="24"/>
        </w:rPr>
        <w:t>ada município tinha 12 inputs (contas orçamentárias per capita) e 16 outputs (resultados dos ODS</w:t>
      </w:r>
      <w:r w:rsidR="00BC370D">
        <w:rPr>
          <w:rFonts w:ascii="Times New Roman" w:hAnsi="Times New Roman" w:cs="Times New Roman"/>
          <w:sz w:val="24"/>
          <w:szCs w:val="24"/>
        </w:rPr>
        <w:t xml:space="preserve"> por município</w:t>
      </w:r>
      <w:r w:rsidRPr="00574EC2">
        <w:rPr>
          <w:rFonts w:ascii="Times New Roman" w:hAnsi="Times New Roman" w:cs="Times New Roman"/>
          <w:sz w:val="24"/>
          <w:szCs w:val="24"/>
        </w:rPr>
        <w:t>). Antes da aplicação do modelo DEA, os municípios foram separados por classificação hierárquica para aplicação do modelo DEA CCR.</w:t>
      </w:r>
      <w:r w:rsidR="00DD46B7">
        <w:rPr>
          <w:rFonts w:ascii="Times New Roman" w:hAnsi="Times New Roman" w:cs="Times New Roman"/>
          <w:sz w:val="24"/>
          <w:szCs w:val="24"/>
        </w:rPr>
        <w:t xml:space="preserve"> Por volta de 97% dos municípios brasileiros (5</w:t>
      </w:r>
      <w:r w:rsidR="00BC370D">
        <w:rPr>
          <w:rFonts w:ascii="Times New Roman" w:hAnsi="Times New Roman" w:cs="Times New Roman"/>
          <w:sz w:val="24"/>
          <w:szCs w:val="24"/>
        </w:rPr>
        <w:t>393</w:t>
      </w:r>
      <w:r w:rsidR="00DD46B7">
        <w:rPr>
          <w:rFonts w:ascii="Times New Roman" w:hAnsi="Times New Roman" w:cs="Times New Roman"/>
          <w:sz w:val="24"/>
          <w:szCs w:val="24"/>
        </w:rPr>
        <w:t xml:space="preserve">), foram analisados nesta pesquisa. </w:t>
      </w:r>
    </w:p>
    <w:p w14:paraId="1EE1A132" w14:textId="0E48902F" w:rsidR="00574EC2" w:rsidRPr="00574EC2" w:rsidRDefault="00DD46B7" w:rsidP="00574EC2">
      <w:pPr>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Pode-se identificar pela aplicação da DEA que o</w:t>
      </w:r>
      <w:r w:rsidR="00574EC2" w:rsidRPr="00574EC2">
        <w:rPr>
          <w:rFonts w:ascii="Times New Roman" w:hAnsi="Times New Roman" w:cs="Times New Roman"/>
          <w:sz w:val="24"/>
          <w:szCs w:val="24"/>
        </w:rPr>
        <w:t xml:space="preserve">s municípios ineficientes geralmente </w:t>
      </w:r>
      <w:r>
        <w:rPr>
          <w:rFonts w:ascii="Times New Roman" w:hAnsi="Times New Roman" w:cs="Times New Roman"/>
          <w:sz w:val="24"/>
          <w:szCs w:val="24"/>
        </w:rPr>
        <w:t>possuem</w:t>
      </w:r>
      <w:r w:rsidR="00574EC2" w:rsidRPr="00574EC2">
        <w:rPr>
          <w:rFonts w:ascii="Times New Roman" w:hAnsi="Times New Roman" w:cs="Times New Roman"/>
          <w:sz w:val="24"/>
          <w:szCs w:val="24"/>
        </w:rPr>
        <w:t xml:space="preserve"> um orçamento per capita maior em comparação com os municípios eficientes, em todas as hierarquias municipais estudadas. Além disso, os municípios ineficientes tendem a ter uma população menor em comparação com os municípios eficientes, em todas as hierarquias municipais analisadas.</w:t>
      </w:r>
      <w:r>
        <w:rPr>
          <w:rFonts w:ascii="Times New Roman" w:hAnsi="Times New Roman" w:cs="Times New Roman"/>
          <w:sz w:val="24"/>
          <w:szCs w:val="24"/>
        </w:rPr>
        <w:t xml:space="preserve"> </w:t>
      </w:r>
      <w:r w:rsidR="00574EC2" w:rsidRPr="00574EC2">
        <w:rPr>
          <w:rFonts w:ascii="Times New Roman" w:hAnsi="Times New Roman" w:cs="Times New Roman"/>
          <w:sz w:val="24"/>
          <w:szCs w:val="24"/>
        </w:rPr>
        <w:t>Enquanto a igualdade dos ODS entre municípios eficientes e ineficientes foi verificada para Metrópoles, Capitais Regionais</w:t>
      </w:r>
      <w:r w:rsidR="0065366C">
        <w:rPr>
          <w:rFonts w:ascii="Times New Roman" w:hAnsi="Times New Roman" w:cs="Times New Roman"/>
          <w:sz w:val="24"/>
          <w:szCs w:val="24"/>
        </w:rPr>
        <w:t xml:space="preserve">, </w:t>
      </w:r>
      <w:r w:rsidR="00574EC2" w:rsidRPr="00574EC2">
        <w:rPr>
          <w:rFonts w:ascii="Times New Roman" w:hAnsi="Times New Roman" w:cs="Times New Roman"/>
          <w:sz w:val="24"/>
          <w:szCs w:val="24"/>
        </w:rPr>
        <w:t>Centros de Zona</w:t>
      </w:r>
      <w:r w:rsidR="0065366C">
        <w:rPr>
          <w:rFonts w:ascii="Times New Roman" w:hAnsi="Times New Roman" w:cs="Times New Roman"/>
          <w:sz w:val="24"/>
          <w:szCs w:val="24"/>
        </w:rPr>
        <w:t xml:space="preserve"> e </w:t>
      </w:r>
      <w:r w:rsidR="0065366C" w:rsidRPr="00574EC2">
        <w:rPr>
          <w:rFonts w:ascii="Times New Roman" w:hAnsi="Times New Roman" w:cs="Times New Roman"/>
          <w:sz w:val="24"/>
          <w:szCs w:val="24"/>
        </w:rPr>
        <w:t xml:space="preserve">Centros </w:t>
      </w:r>
      <w:proofErr w:type="gramStart"/>
      <w:r w:rsidR="0065366C" w:rsidRPr="00574EC2">
        <w:rPr>
          <w:rFonts w:ascii="Times New Roman" w:hAnsi="Times New Roman" w:cs="Times New Roman"/>
          <w:sz w:val="24"/>
          <w:szCs w:val="24"/>
        </w:rPr>
        <w:t>Sub-Regionais</w:t>
      </w:r>
      <w:proofErr w:type="gramEnd"/>
      <w:r w:rsidR="00574EC2" w:rsidRPr="00574EC2">
        <w:rPr>
          <w:rFonts w:ascii="Times New Roman" w:hAnsi="Times New Roman" w:cs="Times New Roman"/>
          <w:sz w:val="24"/>
          <w:szCs w:val="24"/>
        </w:rPr>
        <w:t>, essa igualdade não foi confirmada para Centros Locais, que apresentam uma quantidade maior de municípios ineficientes.</w:t>
      </w:r>
    </w:p>
    <w:p w14:paraId="0A76B6FB" w14:textId="0A73D73D" w:rsidR="00820A7D" w:rsidRDefault="00820A7D" w:rsidP="00574EC2">
      <w:pPr>
        <w:spacing w:after="120" w:line="360" w:lineRule="auto"/>
        <w:ind w:firstLine="708"/>
        <w:jc w:val="both"/>
        <w:rPr>
          <w:rFonts w:ascii="Times New Roman" w:hAnsi="Times New Roman" w:cs="Times New Roman"/>
          <w:sz w:val="24"/>
          <w:szCs w:val="24"/>
        </w:rPr>
      </w:pPr>
      <w:r w:rsidRPr="00820A7D">
        <w:rPr>
          <w:rFonts w:ascii="Times New Roman" w:hAnsi="Times New Roman" w:cs="Times New Roman"/>
          <w:sz w:val="24"/>
          <w:szCs w:val="24"/>
        </w:rPr>
        <w:t xml:space="preserve">Ao se analisar a eficiência entre estados e regiões, observa-se uma variabilidade considerável na eficiência, com o Nordeste emergindo como a região </w:t>
      </w:r>
      <w:r w:rsidR="00BB55E0">
        <w:rPr>
          <w:rFonts w:ascii="Times New Roman" w:hAnsi="Times New Roman" w:cs="Times New Roman"/>
          <w:sz w:val="24"/>
          <w:szCs w:val="24"/>
        </w:rPr>
        <w:t>com maior número de municípios</w:t>
      </w:r>
      <w:r w:rsidRPr="00820A7D">
        <w:rPr>
          <w:rFonts w:ascii="Times New Roman" w:hAnsi="Times New Roman" w:cs="Times New Roman"/>
          <w:sz w:val="24"/>
          <w:szCs w:val="24"/>
        </w:rPr>
        <w:t xml:space="preserve"> eficiente</w:t>
      </w:r>
      <w:r w:rsidR="00BB55E0">
        <w:rPr>
          <w:rFonts w:ascii="Times New Roman" w:hAnsi="Times New Roman" w:cs="Times New Roman"/>
          <w:sz w:val="24"/>
          <w:szCs w:val="24"/>
        </w:rPr>
        <w:t>s</w:t>
      </w:r>
      <w:r w:rsidRPr="00820A7D">
        <w:rPr>
          <w:rFonts w:ascii="Times New Roman" w:hAnsi="Times New Roman" w:cs="Times New Roman"/>
          <w:sz w:val="24"/>
          <w:szCs w:val="24"/>
        </w:rPr>
        <w:t>, ainda que registre os piores resultados médios de ODS. Essa aparente contradição ressalta a habilidade de seus municípios em maximizar a utilização de seus recursos, mesmo diante de restrições orçamentárias. Esses resultados enfatizam a importância crucial da eficiência na gestão pública para impulsionar o progresso em direção aos ODS. Além disso, a análise intrarregional revela discrepâncias significativas</w:t>
      </w:r>
      <w:r w:rsidR="0065366C">
        <w:rPr>
          <w:rFonts w:ascii="Times New Roman" w:hAnsi="Times New Roman" w:cs="Times New Roman"/>
          <w:sz w:val="24"/>
          <w:szCs w:val="24"/>
        </w:rPr>
        <w:t xml:space="preserve"> entre as regiões</w:t>
      </w:r>
      <w:r w:rsidRPr="00820A7D">
        <w:rPr>
          <w:rFonts w:ascii="Times New Roman" w:hAnsi="Times New Roman" w:cs="Times New Roman"/>
          <w:sz w:val="24"/>
          <w:szCs w:val="24"/>
        </w:rPr>
        <w:t>, evidenciando a necessidade de abordagens específicas e direcionadas em cada estado. Ou seja, compreender os padrões de eficiência por região e estado oferece insights valiosos para informar políticas públicas e estratégias de desenvolvimento mais eficazes, essenciais para alcançar avanços tangíveis em direção aos ODS em todo o Brasil.</w:t>
      </w:r>
    </w:p>
    <w:p w14:paraId="5D34031E" w14:textId="2478AAE0" w:rsidR="00EE16E5" w:rsidRDefault="00D41A34" w:rsidP="00D41A34">
      <w:pPr>
        <w:spacing w:after="120" w:line="360" w:lineRule="auto"/>
        <w:ind w:firstLine="708"/>
        <w:jc w:val="both"/>
        <w:rPr>
          <w:rFonts w:ascii="Times New Roman" w:hAnsi="Times New Roman" w:cs="Times New Roman"/>
          <w:bCs/>
          <w:sz w:val="24"/>
          <w:szCs w:val="24"/>
        </w:rPr>
      </w:pPr>
      <w:r w:rsidRPr="00D41A34">
        <w:rPr>
          <w:rFonts w:ascii="Times New Roman" w:hAnsi="Times New Roman" w:cs="Times New Roman"/>
          <w:bCs/>
          <w:sz w:val="24"/>
          <w:szCs w:val="24"/>
        </w:rPr>
        <w:t xml:space="preserve">O Brasil enfrenta grandes desafios na busca por </w:t>
      </w:r>
      <w:proofErr w:type="gramStart"/>
      <w:r w:rsidRPr="00D41A34">
        <w:rPr>
          <w:rFonts w:ascii="Times New Roman" w:hAnsi="Times New Roman" w:cs="Times New Roman"/>
          <w:bCs/>
          <w:sz w:val="24"/>
          <w:szCs w:val="24"/>
        </w:rPr>
        <w:t>melhores</w:t>
      </w:r>
      <w:proofErr w:type="gramEnd"/>
      <w:r w:rsidRPr="00D41A34">
        <w:rPr>
          <w:rFonts w:ascii="Times New Roman" w:hAnsi="Times New Roman" w:cs="Times New Roman"/>
          <w:bCs/>
          <w:sz w:val="24"/>
          <w:szCs w:val="24"/>
        </w:rPr>
        <w:t xml:space="preserve"> resultados dos Objetivos de De</w:t>
      </w:r>
      <w:r>
        <w:rPr>
          <w:rFonts w:ascii="Times New Roman" w:hAnsi="Times New Roman" w:cs="Times New Roman"/>
          <w:bCs/>
          <w:sz w:val="24"/>
          <w:szCs w:val="24"/>
        </w:rPr>
        <w:t>senvolvimento Sustentável</w:t>
      </w:r>
      <w:r w:rsidRPr="00D41A34">
        <w:rPr>
          <w:rFonts w:ascii="Times New Roman" w:hAnsi="Times New Roman" w:cs="Times New Roman"/>
          <w:bCs/>
          <w:sz w:val="24"/>
          <w:szCs w:val="24"/>
        </w:rPr>
        <w:t xml:space="preserve">. </w:t>
      </w:r>
      <w:r w:rsidR="00EE16E5">
        <w:rPr>
          <w:rFonts w:ascii="Times New Roman" w:hAnsi="Times New Roman" w:cs="Times New Roman"/>
          <w:bCs/>
          <w:sz w:val="24"/>
          <w:szCs w:val="24"/>
        </w:rPr>
        <w:t>Ainda que todo o orçamento público municipal represent</w:t>
      </w:r>
      <w:r w:rsidR="00E47AFE">
        <w:rPr>
          <w:rFonts w:ascii="Times New Roman" w:hAnsi="Times New Roman" w:cs="Times New Roman"/>
          <w:bCs/>
          <w:sz w:val="24"/>
          <w:szCs w:val="24"/>
        </w:rPr>
        <w:t>asse</w:t>
      </w:r>
      <w:r w:rsidR="00EE16E5">
        <w:rPr>
          <w:rFonts w:ascii="Times New Roman" w:hAnsi="Times New Roman" w:cs="Times New Roman"/>
          <w:bCs/>
          <w:sz w:val="24"/>
          <w:szCs w:val="24"/>
        </w:rPr>
        <w:t xml:space="preserve"> algo em torno de 10% do PIB brasileiro</w:t>
      </w:r>
      <w:r w:rsidR="00E47AFE">
        <w:rPr>
          <w:rFonts w:ascii="Times New Roman" w:hAnsi="Times New Roman" w:cs="Times New Roman"/>
          <w:bCs/>
          <w:sz w:val="24"/>
          <w:szCs w:val="24"/>
        </w:rPr>
        <w:t xml:space="preserve"> em 2022</w:t>
      </w:r>
      <w:r w:rsidR="00EE16E5">
        <w:rPr>
          <w:rFonts w:ascii="Times New Roman" w:hAnsi="Times New Roman" w:cs="Times New Roman"/>
          <w:bCs/>
          <w:sz w:val="24"/>
          <w:szCs w:val="24"/>
        </w:rPr>
        <w:t>, d</w:t>
      </w:r>
      <w:r w:rsidRPr="00D41A34">
        <w:rPr>
          <w:rFonts w:ascii="Times New Roman" w:hAnsi="Times New Roman" w:cs="Times New Roman"/>
          <w:bCs/>
          <w:sz w:val="24"/>
          <w:szCs w:val="24"/>
        </w:rPr>
        <w:t>os 5</w:t>
      </w:r>
      <w:r w:rsidR="0065366C">
        <w:rPr>
          <w:rFonts w:ascii="Times New Roman" w:hAnsi="Times New Roman" w:cs="Times New Roman"/>
          <w:bCs/>
          <w:sz w:val="24"/>
          <w:szCs w:val="24"/>
        </w:rPr>
        <w:t>393</w:t>
      </w:r>
      <w:r w:rsidRPr="00D41A34">
        <w:rPr>
          <w:rFonts w:ascii="Times New Roman" w:hAnsi="Times New Roman" w:cs="Times New Roman"/>
          <w:bCs/>
          <w:sz w:val="24"/>
          <w:szCs w:val="24"/>
        </w:rPr>
        <w:t xml:space="preserve"> municípios analisados, </w:t>
      </w:r>
      <w:r w:rsidR="0065366C">
        <w:rPr>
          <w:rFonts w:ascii="Times New Roman" w:hAnsi="Times New Roman" w:cs="Times New Roman"/>
          <w:bCs/>
          <w:sz w:val="24"/>
          <w:szCs w:val="24"/>
        </w:rPr>
        <w:t>49,84</w:t>
      </w:r>
      <w:r w:rsidRPr="00D41A34">
        <w:rPr>
          <w:rFonts w:ascii="Times New Roman" w:hAnsi="Times New Roman" w:cs="Times New Roman"/>
          <w:bCs/>
          <w:sz w:val="24"/>
          <w:szCs w:val="24"/>
        </w:rPr>
        <w:t xml:space="preserve">% foram considerados eficientes, enquanto </w:t>
      </w:r>
      <w:r w:rsidR="00D72833">
        <w:rPr>
          <w:rFonts w:ascii="Times New Roman" w:hAnsi="Times New Roman" w:cs="Times New Roman"/>
          <w:bCs/>
          <w:sz w:val="24"/>
          <w:szCs w:val="24"/>
        </w:rPr>
        <w:t>50,16</w:t>
      </w:r>
      <w:proofErr w:type="gramStart"/>
      <w:r w:rsidR="00D72833">
        <w:rPr>
          <w:rFonts w:ascii="Times New Roman" w:hAnsi="Times New Roman" w:cs="Times New Roman"/>
          <w:bCs/>
          <w:sz w:val="24"/>
          <w:szCs w:val="24"/>
        </w:rPr>
        <w:t xml:space="preserve">% </w:t>
      </w:r>
      <w:r w:rsidR="00D72833" w:rsidRPr="00D41A34">
        <w:rPr>
          <w:rFonts w:ascii="Times New Roman" w:hAnsi="Times New Roman" w:cs="Times New Roman"/>
          <w:bCs/>
          <w:sz w:val="24"/>
          <w:szCs w:val="24"/>
        </w:rPr>
        <w:t xml:space="preserve"> foram</w:t>
      </w:r>
      <w:proofErr w:type="gramEnd"/>
      <w:r w:rsidRPr="00D41A34">
        <w:rPr>
          <w:rFonts w:ascii="Times New Roman" w:hAnsi="Times New Roman" w:cs="Times New Roman"/>
          <w:bCs/>
          <w:sz w:val="24"/>
          <w:szCs w:val="24"/>
        </w:rPr>
        <w:t xml:space="preserve"> classificad</w:t>
      </w:r>
      <w:r w:rsidR="00D72833">
        <w:rPr>
          <w:rFonts w:ascii="Times New Roman" w:hAnsi="Times New Roman" w:cs="Times New Roman"/>
          <w:bCs/>
          <w:sz w:val="24"/>
          <w:szCs w:val="24"/>
        </w:rPr>
        <w:t>os</w:t>
      </w:r>
      <w:r w:rsidRPr="00D41A34">
        <w:rPr>
          <w:rFonts w:ascii="Times New Roman" w:hAnsi="Times New Roman" w:cs="Times New Roman"/>
          <w:bCs/>
          <w:sz w:val="24"/>
          <w:szCs w:val="24"/>
        </w:rPr>
        <w:t xml:space="preserve"> como ineficiente</w:t>
      </w:r>
      <w:r w:rsidR="00D72833">
        <w:rPr>
          <w:rFonts w:ascii="Times New Roman" w:hAnsi="Times New Roman" w:cs="Times New Roman"/>
          <w:bCs/>
          <w:sz w:val="24"/>
          <w:szCs w:val="24"/>
        </w:rPr>
        <w:t>s</w:t>
      </w:r>
      <w:r w:rsidRPr="00D41A34">
        <w:rPr>
          <w:rFonts w:ascii="Times New Roman" w:hAnsi="Times New Roman" w:cs="Times New Roman"/>
          <w:bCs/>
          <w:sz w:val="24"/>
          <w:szCs w:val="24"/>
        </w:rPr>
        <w:t xml:space="preserve">. </w:t>
      </w:r>
      <w:r w:rsidR="00EE16E5">
        <w:rPr>
          <w:rFonts w:ascii="Times New Roman" w:hAnsi="Times New Roman" w:cs="Times New Roman"/>
          <w:bCs/>
          <w:sz w:val="24"/>
          <w:szCs w:val="24"/>
        </w:rPr>
        <w:t>Isso num cenário onde a média geral dos ODS por região, gira em torno de 48,7</w:t>
      </w:r>
      <w:r w:rsidR="0065366C">
        <w:rPr>
          <w:rFonts w:ascii="Times New Roman" w:hAnsi="Times New Roman" w:cs="Times New Roman"/>
          <w:bCs/>
          <w:sz w:val="24"/>
          <w:szCs w:val="24"/>
        </w:rPr>
        <w:t>0</w:t>
      </w:r>
      <w:r w:rsidR="00EE16E5">
        <w:rPr>
          <w:rFonts w:ascii="Times New Roman" w:hAnsi="Times New Roman" w:cs="Times New Roman"/>
          <w:bCs/>
          <w:sz w:val="24"/>
          <w:szCs w:val="24"/>
        </w:rPr>
        <w:t>.</w:t>
      </w:r>
      <w:r w:rsidR="00504FAC">
        <w:rPr>
          <w:rFonts w:ascii="Times New Roman" w:hAnsi="Times New Roman" w:cs="Times New Roman"/>
          <w:bCs/>
          <w:sz w:val="24"/>
          <w:szCs w:val="24"/>
        </w:rPr>
        <w:t xml:space="preserve"> </w:t>
      </w:r>
      <w:r w:rsidR="00663605">
        <w:rPr>
          <w:rFonts w:ascii="Times New Roman" w:hAnsi="Times New Roman" w:cs="Times New Roman"/>
          <w:bCs/>
          <w:sz w:val="24"/>
          <w:szCs w:val="24"/>
        </w:rPr>
        <w:t xml:space="preserve">Outro fato a se destacar é que quanto maior o orçamento per capita de um </w:t>
      </w:r>
      <w:r w:rsidR="00663605">
        <w:rPr>
          <w:rFonts w:ascii="Times New Roman" w:hAnsi="Times New Roman" w:cs="Times New Roman"/>
          <w:bCs/>
          <w:sz w:val="24"/>
          <w:szCs w:val="24"/>
        </w:rPr>
        <w:lastRenderedPageBreak/>
        <w:t>município menos eficiente esse município tende a ser</w:t>
      </w:r>
      <w:r w:rsidR="00CE4174">
        <w:rPr>
          <w:rFonts w:ascii="Times New Roman" w:hAnsi="Times New Roman" w:cs="Times New Roman"/>
          <w:bCs/>
          <w:sz w:val="24"/>
          <w:szCs w:val="24"/>
        </w:rPr>
        <w:t>, indicando a grande dificuldade de se converter o aumento d</w:t>
      </w:r>
      <w:r w:rsidR="007470DB">
        <w:rPr>
          <w:rFonts w:ascii="Times New Roman" w:hAnsi="Times New Roman" w:cs="Times New Roman"/>
          <w:bCs/>
          <w:sz w:val="24"/>
          <w:szCs w:val="24"/>
        </w:rPr>
        <w:t>o</w:t>
      </w:r>
      <w:r w:rsidR="00CE4174">
        <w:rPr>
          <w:rFonts w:ascii="Times New Roman" w:hAnsi="Times New Roman" w:cs="Times New Roman"/>
          <w:bCs/>
          <w:sz w:val="24"/>
          <w:szCs w:val="24"/>
        </w:rPr>
        <w:t xml:space="preserve"> orçamento em ODS mais elevados</w:t>
      </w:r>
      <w:r w:rsidR="007470DB">
        <w:rPr>
          <w:rFonts w:ascii="Times New Roman" w:hAnsi="Times New Roman" w:cs="Times New Roman"/>
          <w:bCs/>
          <w:sz w:val="24"/>
          <w:szCs w:val="24"/>
        </w:rPr>
        <w:t>.</w:t>
      </w:r>
    </w:p>
    <w:p w14:paraId="1CDC5D6C" w14:textId="527464B3" w:rsidR="00574EC2" w:rsidRDefault="00D41A34" w:rsidP="00D41A34">
      <w:pPr>
        <w:spacing w:after="120" w:line="360" w:lineRule="auto"/>
        <w:ind w:firstLine="708"/>
        <w:jc w:val="both"/>
        <w:rPr>
          <w:rFonts w:ascii="Times New Roman" w:hAnsi="Times New Roman" w:cs="Times New Roman"/>
          <w:bCs/>
          <w:sz w:val="24"/>
          <w:szCs w:val="24"/>
        </w:rPr>
      </w:pPr>
      <w:r w:rsidRPr="00D41A34">
        <w:rPr>
          <w:rFonts w:ascii="Times New Roman" w:hAnsi="Times New Roman" w:cs="Times New Roman"/>
          <w:bCs/>
          <w:sz w:val="24"/>
          <w:szCs w:val="24"/>
        </w:rPr>
        <w:t xml:space="preserve">Isso evidencia a necessidade urgente de </w:t>
      </w:r>
      <w:r w:rsidR="00EE16E5">
        <w:rPr>
          <w:rFonts w:ascii="Times New Roman" w:hAnsi="Times New Roman" w:cs="Times New Roman"/>
          <w:bCs/>
          <w:sz w:val="24"/>
          <w:szCs w:val="24"/>
        </w:rPr>
        <w:t xml:space="preserve">se </w:t>
      </w:r>
      <w:r w:rsidRPr="00D41A34">
        <w:rPr>
          <w:rFonts w:ascii="Times New Roman" w:hAnsi="Times New Roman" w:cs="Times New Roman"/>
          <w:bCs/>
          <w:sz w:val="24"/>
          <w:szCs w:val="24"/>
        </w:rPr>
        <w:t>aprimorar a eficiência na alocação e utilização dos recursos disponíveis, a fim de maximizar os impactos positivos na consecução dos ODS em todo o território nacional. Este cenário aponta para a importância de políticas públicas e estratégias que promovam a eficiência, a transparência na gestão e a otimização dos investimentos, visando garantir um desenvolvimento sustentável e equitativo em todas as regiões do país.</w:t>
      </w:r>
    </w:p>
    <w:p w14:paraId="4F4562C1" w14:textId="77777777" w:rsidR="001463F4" w:rsidRDefault="00EB4315" w:rsidP="00D41A34">
      <w:pPr>
        <w:spacing w:after="120" w:line="360" w:lineRule="auto"/>
        <w:ind w:firstLine="708"/>
        <w:jc w:val="both"/>
        <w:rPr>
          <w:rFonts w:ascii="Times New Roman" w:hAnsi="Times New Roman" w:cs="Times New Roman"/>
          <w:bCs/>
          <w:sz w:val="24"/>
          <w:szCs w:val="24"/>
        </w:rPr>
      </w:pPr>
      <w:r w:rsidRPr="00EB4315">
        <w:rPr>
          <w:rFonts w:ascii="Times New Roman" w:hAnsi="Times New Roman" w:cs="Times New Roman"/>
          <w:bCs/>
          <w:sz w:val="24"/>
          <w:szCs w:val="24"/>
        </w:rPr>
        <w:t xml:space="preserve">O estudo das causas subjacentes à ineficiência na implementação dos </w:t>
      </w:r>
      <w:r>
        <w:rPr>
          <w:rFonts w:ascii="Times New Roman" w:hAnsi="Times New Roman" w:cs="Times New Roman"/>
          <w:bCs/>
          <w:sz w:val="24"/>
          <w:szCs w:val="24"/>
        </w:rPr>
        <w:t>ODS</w:t>
      </w:r>
      <w:r w:rsidRPr="00EB4315">
        <w:rPr>
          <w:rFonts w:ascii="Times New Roman" w:hAnsi="Times New Roman" w:cs="Times New Roman"/>
          <w:bCs/>
          <w:sz w:val="24"/>
          <w:szCs w:val="24"/>
        </w:rPr>
        <w:t xml:space="preserve"> emerge como uma necessidade urgente, demandando uma investigação meticulosa dos fatores socioeconômicos, políticos e geográficos que influenciam esse cenário. Como propostas de trabalhos futuros, sugere-se uma análise comparativa regional que permita a comparação entre as estratégias de alocação de recursos e seus impactos na implementação dos ODS. </w:t>
      </w:r>
    </w:p>
    <w:p w14:paraId="56481240" w14:textId="6517708B" w:rsidR="00EE16E5" w:rsidRDefault="00EB4315" w:rsidP="00D41A34">
      <w:pPr>
        <w:spacing w:after="120" w:line="360" w:lineRule="auto"/>
        <w:ind w:firstLine="708"/>
        <w:jc w:val="both"/>
        <w:rPr>
          <w:rFonts w:ascii="Times New Roman" w:hAnsi="Times New Roman" w:cs="Times New Roman"/>
          <w:bCs/>
          <w:sz w:val="24"/>
          <w:szCs w:val="24"/>
        </w:rPr>
      </w:pPr>
      <w:r w:rsidRPr="00EB4315">
        <w:rPr>
          <w:rFonts w:ascii="Times New Roman" w:hAnsi="Times New Roman" w:cs="Times New Roman"/>
          <w:bCs/>
          <w:sz w:val="24"/>
          <w:szCs w:val="24"/>
        </w:rPr>
        <w:t xml:space="preserve">Além disso, é essencial avaliar o impacto das políticas públicas municipais na melhoria dos indicadores relacionados aos ODS, identificando práticas mais eficazes para orientar intervenções futuras. A capacitação de gestores municipais e a proposição de programas e políticas públicas direcionadas para aprimorar suas habilidades na alocação eficiente de recursos também se destacam como áreas de investigação promissoras. Por fim, trabalhos futuros podem se concentrar no estabelecimento de sistemas de monitoramento contínuo para acompanhar o progresso na implementação dos ODS e garantir a sustentabilidade das iniciativas de desenvolvimento local. </w:t>
      </w:r>
    </w:p>
    <w:p w14:paraId="43D78291" w14:textId="77777777" w:rsidR="00EB4315" w:rsidRPr="00D41A34" w:rsidRDefault="00EB4315" w:rsidP="00D41A34">
      <w:pPr>
        <w:spacing w:after="120" w:line="360" w:lineRule="auto"/>
        <w:ind w:firstLine="708"/>
        <w:jc w:val="both"/>
        <w:rPr>
          <w:rFonts w:ascii="Times New Roman" w:hAnsi="Times New Roman" w:cs="Times New Roman"/>
          <w:bCs/>
          <w:sz w:val="24"/>
          <w:szCs w:val="24"/>
        </w:rPr>
      </w:pPr>
    </w:p>
    <w:p w14:paraId="12ECF376" w14:textId="0776A525" w:rsidR="002C6DEE" w:rsidRPr="008577EA" w:rsidRDefault="00ED374E" w:rsidP="008577EA">
      <w:pPr>
        <w:spacing w:after="120" w:line="360" w:lineRule="auto"/>
        <w:rPr>
          <w:rFonts w:ascii="Times New Roman" w:hAnsi="Times New Roman" w:cs="Times New Roman"/>
          <w:b/>
          <w:bCs/>
          <w:sz w:val="24"/>
          <w:szCs w:val="24"/>
        </w:rPr>
      </w:pPr>
      <w:r w:rsidRPr="008577EA">
        <w:rPr>
          <w:rFonts w:ascii="Times New Roman" w:hAnsi="Times New Roman" w:cs="Times New Roman"/>
          <w:b/>
          <w:bCs/>
          <w:sz w:val="24"/>
          <w:szCs w:val="24"/>
        </w:rPr>
        <w:t>Referências:</w:t>
      </w:r>
    </w:p>
    <w:p w14:paraId="2CF3C346" w14:textId="1EFAD848" w:rsidR="00ED374E" w:rsidRPr="00C7620D" w:rsidRDefault="00ED374E" w:rsidP="008577EA">
      <w:pPr>
        <w:spacing w:after="120" w:line="360" w:lineRule="auto"/>
        <w:rPr>
          <w:rFonts w:ascii="Times New Roman" w:hAnsi="Times New Roman" w:cs="Times New Roman"/>
          <w:sz w:val="20"/>
          <w:szCs w:val="20"/>
        </w:rPr>
      </w:pPr>
      <w:r w:rsidRPr="00C7620D">
        <w:rPr>
          <w:rFonts w:ascii="Times New Roman" w:hAnsi="Times New Roman" w:cs="Times New Roman"/>
          <w:sz w:val="20"/>
          <w:szCs w:val="20"/>
        </w:rPr>
        <w:t>IBGE – Instituto Brasileiro de Geografia e Estatística. 2024. Disponível em: https://www.ibge.gov.br/en/home-eng.html?lang=en-GB</w:t>
      </w:r>
    </w:p>
    <w:p w14:paraId="54A7B307" w14:textId="6942809B" w:rsidR="00C7620D" w:rsidRDefault="00C7620D" w:rsidP="008577EA">
      <w:pPr>
        <w:spacing w:after="120" w:line="360" w:lineRule="auto"/>
        <w:rPr>
          <w:rFonts w:ascii="Times New Roman" w:hAnsi="Times New Roman" w:cs="Times New Roman"/>
          <w:sz w:val="20"/>
          <w:szCs w:val="20"/>
        </w:rPr>
      </w:pPr>
      <w:r>
        <w:rPr>
          <w:rFonts w:ascii="Times New Roman" w:hAnsi="Times New Roman" w:cs="Times New Roman"/>
          <w:sz w:val="20"/>
          <w:szCs w:val="20"/>
        </w:rPr>
        <w:t xml:space="preserve">Centro Brasileiro de Pesquisa e Planejamento. 2024. </w:t>
      </w:r>
      <w:r w:rsidRPr="00C7620D">
        <w:rPr>
          <w:rFonts w:ascii="Times New Roman" w:hAnsi="Times New Roman" w:cs="Times New Roman"/>
          <w:sz w:val="20"/>
          <w:szCs w:val="20"/>
        </w:rPr>
        <w:t>Disponível em: https://cebrap.org.br/</w:t>
      </w:r>
    </w:p>
    <w:p w14:paraId="001609E8" w14:textId="4F9CFD21" w:rsidR="00C7620D" w:rsidRPr="00C7620D" w:rsidRDefault="00C7620D" w:rsidP="008577EA">
      <w:pPr>
        <w:spacing w:after="120" w:line="360" w:lineRule="auto"/>
        <w:rPr>
          <w:rFonts w:ascii="Times New Roman" w:hAnsi="Times New Roman" w:cs="Times New Roman"/>
          <w:color w:val="000000"/>
          <w:sz w:val="20"/>
          <w:szCs w:val="20"/>
        </w:rPr>
      </w:pPr>
      <w:r w:rsidRPr="00C7620D">
        <w:rPr>
          <w:rFonts w:ascii="Times New Roman" w:hAnsi="Times New Roman" w:cs="Times New Roman"/>
          <w:sz w:val="20"/>
          <w:szCs w:val="20"/>
        </w:rPr>
        <w:t xml:space="preserve">Índice de Desenvolvimento Sustentável das Cidades (IDSC-BR). 2024. Disponível em: </w:t>
      </w:r>
      <w:r w:rsidRPr="00C7620D">
        <w:rPr>
          <w:rFonts w:ascii="Times New Roman" w:hAnsi="Times New Roman" w:cs="Times New Roman"/>
          <w:color w:val="000000"/>
          <w:sz w:val="20"/>
          <w:szCs w:val="20"/>
        </w:rPr>
        <w:t>https://idsc.cidadessustentaveis.org.br/introduction/#</w:t>
      </w:r>
    </w:p>
    <w:p w14:paraId="2E52BBCE" w14:textId="78EBC9B0" w:rsidR="00ED374E" w:rsidRPr="00C7620D" w:rsidRDefault="00ED374E" w:rsidP="008577EA">
      <w:pPr>
        <w:spacing w:after="120" w:line="360" w:lineRule="auto"/>
        <w:rPr>
          <w:rFonts w:ascii="Times New Roman" w:hAnsi="Times New Roman" w:cs="Times New Roman"/>
          <w:b/>
          <w:bCs/>
          <w:color w:val="000000"/>
          <w:sz w:val="20"/>
          <w:szCs w:val="20"/>
        </w:rPr>
      </w:pPr>
      <w:r w:rsidRPr="00C7620D">
        <w:rPr>
          <w:rFonts w:ascii="Times New Roman" w:hAnsi="Times New Roman" w:cs="Times New Roman"/>
          <w:color w:val="000000"/>
          <w:sz w:val="20"/>
          <w:szCs w:val="20"/>
        </w:rPr>
        <w:t xml:space="preserve">REGIC - Regiões de Influência das Cidades. 2018. Disponível em: </w:t>
      </w:r>
      <w:r w:rsidR="008577EA" w:rsidRPr="00C7620D">
        <w:rPr>
          <w:rFonts w:ascii="Times New Roman" w:hAnsi="Times New Roman" w:cs="Times New Roman"/>
          <w:sz w:val="20"/>
          <w:szCs w:val="20"/>
        </w:rPr>
        <w:t>https://www.ibge.gov.br/apps/regic/#/home/</w:t>
      </w:r>
    </w:p>
    <w:p w14:paraId="3E8611C1" w14:textId="0509F45E" w:rsidR="008577EA" w:rsidRDefault="008577EA" w:rsidP="008577EA">
      <w:pPr>
        <w:spacing w:after="120" w:line="360" w:lineRule="auto"/>
        <w:rPr>
          <w:rFonts w:ascii="Times New Roman" w:hAnsi="Times New Roman" w:cs="Times New Roman"/>
          <w:sz w:val="20"/>
          <w:szCs w:val="20"/>
        </w:rPr>
      </w:pPr>
      <w:r w:rsidRPr="00C7620D">
        <w:rPr>
          <w:rFonts w:ascii="Times New Roman" w:hAnsi="Times New Roman" w:cs="Times New Roman"/>
          <w:color w:val="333333"/>
          <w:sz w:val="20"/>
          <w:szCs w:val="20"/>
          <w:shd w:val="clear" w:color="auto" w:fill="FFFFFF"/>
        </w:rPr>
        <w:lastRenderedPageBreak/>
        <w:t>REGIC 2018 - Municípios - Hierarquia e região de influência -</w:t>
      </w:r>
      <w:r w:rsidR="00C7620D" w:rsidRPr="00C7620D">
        <w:rPr>
          <w:rFonts w:ascii="Times New Roman" w:hAnsi="Times New Roman" w:cs="Times New Roman"/>
          <w:sz w:val="20"/>
          <w:szCs w:val="20"/>
        </w:rPr>
        <w:t>https://geoftp.ibge.gov.br/organizacao_do_territorio/divisao_regional/regioes_de_influencia_das_cidades/Regioes_de_influencia_das_cidades_2018_Resultados_definitivos/base_tabular/REGIC2018_Municipios_Hierarquia_e_regiao.xlsx</w:t>
      </w:r>
    </w:p>
    <w:p w14:paraId="5CF16BA7" w14:textId="1520B203" w:rsidR="005B0A9F" w:rsidRPr="00C7620D" w:rsidRDefault="005B0A9F" w:rsidP="008577EA">
      <w:pPr>
        <w:spacing w:after="120" w:line="360" w:lineRule="auto"/>
        <w:rPr>
          <w:rFonts w:ascii="Times New Roman" w:hAnsi="Times New Roman" w:cs="Times New Roman"/>
          <w:sz w:val="20"/>
          <w:szCs w:val="20"/>
        </w:rPr>
      </w:pPr>
      <w:r w:rsidRPr="005B0A9F">
        <w:rPr>
          <w:rFonts w:ascii="Times New Roman" w:hAnsi="Times New Roman" w:cs="Times New Roman"/>
          <w:sz w:val="20"/>
          <w:szCs w:val="20"/>
        </w:rPr>
        <w:t xml:space="preserve">SICONFI </w:t>
      </w:r>
      <w:r>
        <w:rPr>
          <w:rFonts w:ascii="Times New Roman" w:hAnsi="Times New Roman" w:cs="Times New Roman"/>
          <w:sz w:val="20"/>
          <w:szCs w:val="20"/>
        </w:rPr>
        <w:t xml:space="preserve">- </w:t>
      </w:r>
      <w:r w:rsidRPr="005B0A9F">
        <w:rPr>
          <w:rFonts w:ascii="Times New Roman" w:hAnsi="Times New Roman" w:cs="Times New Roman"/>
          <w:sz w:val="20"/>
          <w:szCs w:val="20"/>
        </w:rPr>
        <w:t>Sistema de Informações Contábeis e Fisca</w:t>
      </w:r>
      <w:r>
        <w:rPr>
          <w:rFonts w:ascii="Times New Roman" w:hAnsi="Times New Roman" w:cs="Times New Roman"/>
          <w:sz w:val="20"/>
          <w:szCs w:val="20"/>
        </w:rPr>
        <w:t xml:space="preserve">is do Setor Público Brasileiro. 2024. </w:t>
      </w:r>
      <w:r w:rsidRPr="00C7620D">
        <w:rPr>
          <w:rFonts w:ascii="Times New Roman" w:hAnsi="Times New Roman" w:cs="Times New Roman"/>
          <w:sz w:val="20"/>
          <w:szCs w:val="20"/>
        </w:rPr>
        <w:t>Disponível em:</w:t>
      </w:r>
      <w:r w:rsidRPr="005B0A9F">
        <w:t xml:space="preserve"> </w:t>
      </w:r>
      <w:r w:rsidRPr="005B0A9F">
        <w:rPr>
          <w:rFonts w:ascii="Times New Roman" w:hAnsi="Times New Roman" w:cs="Times New Roman"/>
          <w:sz w:val="20"/>
          <w:szCs w:val="20"/>
        </w:rPr>
        <w:t>https://siconfi.tesouro.gov.br/siconfi/index.jsf</w:t>
      </w:r>
    </w:p>
    <w:p w14:paraId="1735B7EF" w14:textId="77777777" w:rsidR="00140F1E" w:rsidRPr="00D91C7C" w:rsidRDefault="00140F1E" w:rsidP="00140F1E">
      <w:pPr>
        <w:spacing w:after="120" w:line="360" w:lineRule="auto"/>
        <w:jc w:val="both"/>
        <w:rPr>
          <w:rFonts w:ascii="Times New Roman" w:hAnsi="Times New Roman" w:cs="Times New Roman"/>
          <w:b/>
        </w:rPr>
      </w:pPr>
      <w:r w:rsidRPr="00D91C7C">
        <w:rPr>
          <w:rFonts w:ascii="Times New Roman" w:hAnsi="Times New Roman" w:cs="Times New Roman"/>
          <w:b/>
        </w:rPr>
        <w:t>References</w:t>
      </w:r>
    </w:p>
    <w:p w14:paraId="02DE0500" w14:textId="77777777" w:rsidR="00140F1E" w:rsidRPr="00D91C7C" w:rsidRDefault="00140F1E" w:rsidP="00140F1E">
      <w:pPr>
        <w:spacing w:after="120" w:line="360" w:lineRule="auto"/>
        <w:jc w:val="both"/>
        <w:rPr>
          <w:rFonts w:ascii="Times New Roman" w:hAnsi="Times New Roman" w:cs="Times New Roman"/>
        </w:rPr>
      </w:pPr>
      <w:r w:rsidRPr="00CD27B9">
        <w:rPr>
          <w:rFonts w:ascii="Times New Roman" w:hAnsi="Times New Roman" w:cs="Times New Roman"/>
        </w:rPr>
        <w:t>ABRAHAM, Marcus. </w:t>
      </w:r>
      <w:r w:rsidRPr="00CD27B9">
        <w:rPr>
          <w:rFonts w:ascii="Times New Roman" w:hAnsi="Times New Roman" w:cs="Times New Roman"/>
          <w:b/>
          <w:bCs/>
        </w:rPr>
        <w:t>Curso de direito financeiro brasileiro</w:t>
      </w:r>
      <w:r w:rsidRPr="00CD27B9">
        <w:rPr>
          <w:rFonts w:ascii="Times New Roman" w:hAnsi="Times New Roman" w:cs="Times New Roman"/>
        </w:rPr>
        <w:t>. Elsevier Brasil, 2013.</w:t>
      </w:r>
    </w:p>
    <w:p w14:paraId="1A7274D1" w14:textId="77777777" w:rsidR="00140F1E" w:rsidRDefault="00140F1E" w:rsidP="00140F1E">
      <w:pPr>
        <w:spacing w:after="120" w:line="360" w:lineRule="auto"/>
        <w:jc w:val="both"/>
        <w:rPr>
          <w:rFonts w:ascii="Times New Roman" w:hAnsi="Times New Roman" w:cs="Times New Roman"/>
          <w:lang w:val="en-US"/>
        </w:rPr>
      </w:pPr>
      <w:r w:rsidRPr="00D91C7C">
        <w:rPr>
          <w:rFonts w:ascii="Times New Roman" w:hAnsi="Times New Roman" w:cs="Times New Roman"/>
        </w:rPr>
        <w:t xml:space="preserve">AL-REFAIE, Abbas et al. </w:t>
      </w:r>
      <w:r w:rsidRPr="00DF738C">
        <w:rPr>
          <w:rFonts w:ascii="Times New Roman" w:hAnsi="Times New Roman" w:cs="Times New Roman"/>
          <w:lang w:val="en-US"/>
        </w:rPr>
        <w:t xml:space="preserve">Applying simulation and DEA to improve performance of emergency department in a Jordanian hospital. </w:t>
      </w:r>
      <w:r w:rsidRPr="00DF738C">
        <w:rPr>
          <w:rFonts w:ascii="Times New Roman" w:hAnsi="Times New Roman" w:cs="Times New Roman"/>
          <w:b/>
          <w:lang w:val="en-US"/>
        </w:rPr>
        <w:t>Simulation Modelling Practice and Theory</w:t>
      </w:r>
      <w:r w:rsidRPr="00DF738C">
        <w:rPr>
          <w:rFonts w:ascii="Times New Roman" w:hAnsi="Times New Roman" w:cs="Times New Roman"/>
          <w:lang w:val="en-US"/>
        </w:rPr>
        <w:t>, v. 41, p. 59-72, 2014.</w:t>
      </w:r>
    </w:p>
    <w:p w14:paraId="33F84906" w14:textId="77777777" w:rsidR="00140F1E" w:rsidRDefault="00140F1E" w:rsidP="00140F1E">
      <w:pPr>
        <w:spacing w:after="120" w:line="360" w:lineRule="auto"/>
        <w:jc w:val="both"/>
        <w:rPr>
          <w:rFonts w:ascii="Times New Roman" w:hAnsi="Times New Roman" w:cs="Times New Roman"/>
          <w:lang w:val="en-US"/>
        </w:rPr>
      </w:pPr>
      <w:r w:rsidRPr="00CB6C3D">
        <w:rPr>
          <w:rFonts w:ascii="Times New Roman" w:hAnsi="Times New Roman" w:cs="Times New Roman"/>
          <w:lang w:val="en-US"/>
        </w:rPr>
        <w:t>BANKER, Rajiv D.; CHARNES, Abraham; COOPER, William Wager. Some models for estimating technical and scale inefficiencies in data envelopment analysis. </w:t>
      </w:r>
      <w:r w:rsidRPr="0045053E">
        <w:rPr>
          <w:rFonts w:ascii="Times New Roman" w:hAnsi="Times New Roman" w:cs="Times New Roman"/>
          <w:b/>
          <w:bCs/>
          <w:lang w:val="en-US"/>
        </w:rPr>
        <w:t>Management science</w:t>
      </w:r>
      <w:r w:rsidRPr="0045053E">
        <w:rPr>
          <w:rFonts w:ascii="Times New Roman" w:hAnsi="Times New Roman" w:cs="Times New Roman"/>
          <w:lang w:val="en-US"/>
        </w:rPr>
        <w:t>, v. 30, n. 9, p. 1078-1092, 1984.</w:t>
      </w:r>
    </w:p>
    <w:p w14:paraId="57164684" w14:textId="77777777" w:rsidR="00140F1E" w:rsidRPr="0045053E" w:rsidRDefault="00140F1E" w:rsidP="00140F1E">
      <w:pPr>
        <w:spacing w:after="120" w:line="360" w:lineRule="auto"/>
        <w:jc w:val="both"/>
        <w:rPr>
          <w:rFonts w:ascii="Times New Roman" w:hAnsi="Times New Roman" w:cs="Times New Roman"/>
          <w:lang w:val="en-US"/>
        </w:rPr>
      </w:pPr>
      <w:r w:rsidRPr="00C64D4C">
        <w:rPr>
          <w:rFonts w:ascii="Times New Roman" w:hAnsi="Times New Roman" w:cs="Times New Roman"/>
          <w:lang w:val="en-US"/>
        </w:rPr>
        <w:t>BENITO, Bernardino et al. The efficiency of public services in small municipalities: The case of drinking water supply. </w:t>
      </w:r>
      <w:r w:rsidRPr="0045053E">
        <w:rPr>
          <w:rFonts w:ascii="Times New Roman" w:hAnsi="Times New Roman" w:cs="Times New Roman"/>
          <w:b/>
          <w:bCs/>
          <w:lang w:val="en-US"/>
        </w:rPr>
        <w:t>Cities</w:t>
      </w:r>
      <w:r w:rsidRPr="0045053E">
        <w:rPr>
          <w:rFonts w:ascii="Times New Roman" w:hAnsi="Times New Roman" w:cs="Times New Roman"/>
          <w:lang w:val="en-US"/>
        </w:rPr>
        <w:t>, v. 93, p. 95-103, 2019.</w:t>
      </w:r>
    </w:p>
    <w:p w14:paraId="0C9C1FE8" w14:textId="77777777" w:rsidR="00140F1E" w:rsidRPr="00D91C7C" w:rsidRDefault="00140F1E" w:rsidP="00140F1E">
      <w:pPr>
        <w:spacing w:after="120" w:line="360" w:lineRule="auto"/>
        <w:jc w:val="both"/>
        <w:rPr>
          <w:rFonts w:ascii="Times New Roman" w:hAnsi="Times New Roman" w:cs="Times New Roman"/>
        </w:rPr>
      </w:pPr>
      <w:r w:rsidRPr="00E35799">
        <w:rPr>
          <w:rFonts w:ascii="Times New Roman" w:hAnsi="Times New Roman" w:cs="Times New Roman"/>
          <w:lang w:val="en-US"/>
        </w:rPr>
        <w:t>BERNARDO, Marcella et al. University library performance management: Applying zero-sum gains DEA models to resource allocation. </w:t>
      </w:r>
      <w:r w:rsidRPr="00D91C7C">
        <w:rPr>
          <w:rFonts w:ascii="Times New Roman" w:hAnsi="Times New Roman" w:cs="Times New Roman"/>
          <w:b/>
          <w:bCs/>
        </w:rPr>
        <w:t>Socio-Economic Planning Sciences</w:t>
      </w:r>
      <w:r w:rsidRPr="00D91C7C">
        <w:rPr>
          <w:rFonts w:ascii="Times New Roman" w:hAnsi="Times New Roman" w:cs="Times New Roman"/>
        </w:rPr>
        <w:t>, p. 100808, 2020.</w:t>
      </w:r>
    </w:p>
    <w:p w14:paraId="5C80B49D" w14:textId="77777777" w:rsidR="00140F1E" w:rsidRPr="00005AAB" w:rsidRDefault="00140F1E" w:rsidP="00C04D45">
      <w:pPr>
        <w:rPr>
          <w:rFonts w:ascii="Times New Roman" w:hAnsi="Times New Roman" w:cs="Times New Roman"/>
        </w:rPr>
      </w:pPr>
      <w:r>
        <w:rPr>
          <w:rFonts w:ascii="Times New Roman" w:hAnsi="Times New Roman" w:cs="Times New Roman"/>
        </w:rPr>
        <w:t>BRASIL (2024),</w:t>
      </w:r>
      <w:r w:rsidRPr="00005AAB">
        <w:rPr>
          <w:rFonts w:ascii="Times New Roman" w:hAnsi="Times New Roman" w:cs="Times New Roman"/>
        </w:rPr>
        <w:t xml:space="preserve"> Ministério do Planejamento e Orçamento. https://www.gov.br/planejamento/pt-br/assuntos/orcamento</w:t>
      </w:r>
      <w:r>
        <w:rPr>
          <w:rFonts w:ascii="Times New Roman" w:hAnsi="Times New Roman" w:cs="Times New Roman"/>
        </w:rPr>
        <w:t>.</w:t>
      </w:r>
    </w:p>
    <w:p w14:paraId="509DC0C1" w14:textId="77777777" w:rsidR="00140F1E" w:rsidRPr="00BE2E8B" w:rsidRDefault="00140F1E" w:rsidP="00140F1E">
      <w:pPr>
        <w:spacing w:after="120" w:line="360" w:lineRule="auto"/>
        <w:jc w:val="both"/>
        <w:rPr>
          <w:rFonts w:ascii="Times New Roman" w:hAnsi="Times New Roman" w:cs="Times New Roman"/>
          <w:lang w:val="en-US"/>
        </w:rPr>
      </w:pPr>
      <w:r w:rsidRPr="00BE2E8B">
        <w:rPr>
          <w:rFonts w:ascii="Times New Roman" w:hAnsi="Times New Roman" w:cs="Times New Roman"/>
          <w:lang w:val="en-US"/>
        </w:rPr>
        <w:t xml:space="preserve">CHARNES, Abraham; COOPER, William W.; RHODES, Edwardo. Measuring the efficiency of </w:t>
      </w:r>
      <w:proofErr w:type="gramStart"/>
      <w:r w:rsidRPr="00BE2E8B">
        <w:rPr>
          <w:rFonts w:ascii="Times New Roman" w:hAnsi="Times New Roman" w:cs="Times New Roman"/>
          <w:lang w:val="en-US"/>
        </w:rPr>
        <w:t>decision making</w:t>
      </w:r>
      <w:proofErr w:type="gramEnd"/>
      <w:r w:rsidRPr="00BE2E8B">
        <w:rPr>
          <w:rFonts w:ascii="Times New Roman" w:hAnsi="Times New Roman" w:cs="Times New Roman"/>
          <w:lang w:val="en-US"/>
        </w:rPr>
        <w:t xml:space="preserve"> units. </w:t>
      </w:r>
      <w:r w:rsidRPr="00BE2E8B">
        <w:rPr>
          <w:rFonts w:ascii="Times New Roman" w:hAnsi="Times New Roman" w:cs="Times New Roman"/>
          <w:b/>
          <w:bCs/>
          <w:lang w:val="en-US"/>
        </w:rPr>
        <w:t xml:space="preserve">European Journal </w:t>
      </w:r>
      <w:r>
        <w:rPr>
          <w:rFonts w:ascii="Times New Roman" w:hAnsi="Times New Roman" w:cs="Times New Roman"/>
          <w:b/>
          <w:bCs/>
          <w:lang w:val="en-US"/>
        </w:rPr>
        <w:t>o</w:t>
      </w:r>
      <w:r w:rsidRPr="00BE2E8B">
        <w:rPr>
          <w:rFonts w:ascii="Times New Roman" w:hAnsi="Times New Roman" w:cs="Times New Roman"/>
          <w:b/>
          <w:bCs/>
          <w:lang w:val="en-US"/>
        </w:rPr>
        <w:t>f Operational Research</w:t>
      </w:r>
      <w:r w:rsidRPr="00BE2E8B">
        <w:rPr>
          <w:rFonts w:ascii="Times New Roman" w:hAnsi="Times New Roman" w:cs="Times New Roman"/>
          <w:lang w:val="en-US"/>
        </w:rPr>
        <w:t>, v. 2, n. 6, p. 429-444, 1978.</w:t>
      </w:r>
    </w:p>
    <w:p w14:paraId="4EF87E29" w14:textId="77777777" w:rsidR="00140F1E" w:rsidRDefault="00140F1E" w:rsidP="00140F1E">
      <w:pPr>
        <w:spacing w:after="120" w:line="360" w:lineRule="auto"/>
        <w:jc w:val="both"/>
        <w:rPr>
          <w:rFonts w:ascii="Times New Roman" w:hAnsi="Times New Roman" w:cs="Times New Roman"/>
        </w:rPr>
      </w:pPr>
      <w:r w:rsidRPr="00BE2E8B">
        <w:rPr>
          <w:rFonts w:ascii="Times New Roman" w:hAnsi="Times New Roman" w:cs="Times New Roman"/>
          <w:lang w:val="en-US"/>
        </w:rPr>
        <w:t xml:space="preserve">CONFRARIA, Hugo; CIARLI, Tommaso; NOYONS, Ed. </w:t>
      </w:r>
      <w:r w:rsidRPr="00E310F6">
        <w:rPr>
          <w:rFonts w:ascii="Times New Roman" w:hAnsi="Times New Roman" w:cs="Times New Roman"/>
          <w:lang w:val="en-US"/>
        </w:rPr>
        <w:t>Countries' research priorities in relation to the Sustainable Development Goals. </w:t>
      </w:r>
      <w:r w:rsidRPr="00E310F6">
        <w:rPr>
          <w:rFonts w:ascii="Times New Roman" w:hAnsi="Times New Roman" w:cs="Times New Roman"/>
          <w:b/>
          <w:bCs/>
        </w:rPr>
        <w:t>Research Policy</w:t>
      </w:r>
      <w:r w:rsidRPr="00E310F6">
        <w:rPr>
          <w:rFonts w:ascii="Times New Roman" w:hAnsi="Times New Roman" w:cs="Times New Roman"/>
        </w:rPr>
        <w:t>, v. 53, n. 3, p. 104950, 2024.</w:t>
      </w:r>
    </w:p>
    <w:p w14:paraId="2E0CC0C4" w14:textId="77777777" w:rsidR="00140F1E" w:rsidRDefault="00140F1E" w:rsidP="00140F1E">
      <w:pPr>
        <w:spacing w:after="120" w:line="360" w:lineRule="auto"/>
        <w:jc w:val="both"/>
        <w:rPr>
          <w:rFonts w:ascii="Times New Roman" w:hAnsi="Times New Roman" w:cs="Times New Roman"/>
          <w:lang w:val="en-US"/>
        </w:rPr>
      </w:pPr>
      <w:r w:rsidRPr="00DF738C">
        <w:rPr>
          <w:rFonts w:ascii="Times New Roman" w:hAnsi="Times New Roman" w:cs="Times New Roman"/>
        </w:rPr>
        <w:t xml:space="preserve">COSTA, Eric; SOARES, António Lucas; DE SOUSA, Jorge Pinho. </w:t>
      </w:r>
      <w:r w:rsidRPr="00DF738C">
        <w:rPr>
          <w:rFonts w:ascii="Times New Roman" w:hAnsi="Times New Roman" w:cs="Times New Roman"/>
          <w:lang w:val="en-US"/>
        </w:rPr>
        <w:t xml:space="preserve">Industrial business associations improving the internationalisation of SMEs with digital platforms: A design science research approach. </w:t>
      </w:r>
      <w:r w:rsidRPr="00DF738C">
        <w:rPr>
          <w:rFonts w:ascii="Times New Roman" w:hAnsi="Times New Roman" w:cs="Times New Roman"/>
          <w:b/>
          <w:lang w:val="en-US"/>
        </w:rPr>
        <w:t>International Journal of Information Management</w:t>
      </w:r>
      <w:r w:rsidRPr="00DF738C">
        <w:rPr>
          <w:rFonts w:ascii="Times New Roman" w:hAnsi="Times New Roman" w:cs="Times New Roman"/>
          <w:lang w:val="en-US"/>
        </w:rPr>
        <w:t>, v. 53, p. 102070, 2020.</w:t>
      </w:r>
    </w:p>
    <w:p w14:paraId="3A4BD8D3" w14:textId="77777777" w:rsidR="00140F1E" w:rsidRDefault="00140F1E" w:rsidP="00140F1E">
      <w:pPr>
        <w:spacing w:after="120" w:line="360" w:lineRule="auto"/>
        <w:jc w:val="both"/>
        <w:rPr>
          <w:rFonts w:ascii="Times New Roman" w:hAnsi="Times New Roman" w:cs="Times New Roman"/>
          <w:lang w:val="en-US"/>
        </w:rPr>
      </w:pPr>
      <w:r w:rsidRPr="00DF738C">
        <w:rPr>
          <w:rFonts w:ascii="Times New Roman" w:hAnsi="Times New Roman" w:cs="Times New Roman"/>
          <w:lang w:val="en-US"/>
        </w:rPr>
        <w:t xml:space="preserve">COOPER, William W.; SEIFORD, Lawrence M.; TONE, Kaoru. </w:t>
      </w:r>
      <w:r w:rsidRPr="00DF738C">
        <w:rPr>
          <w:rFonts w:ascii="Times New Roman" w:hAnsi="Times New Roman" w:cs="Times New Roman"/>
          <w:b/>
          <w:lang w:val="en-US"/>
        </w:rPr>
        <w:t>Data envelopment analysis: a comprehensive text with models, applications, references and DEA-solver software</w:t>
      </w:r>
      <w:r w:rsidRPr="00DF738C">
        <w:rPr>
          <w:rFonts w:ascii="Times New Roman" w:hAnsi="Times New Roman" w:cs="Times New Roman"/>
          <w:lang w:val="en-US"/>
        </w:rPr>
        <w:t>. New York: Springer, 2007.</w:t>
      </w:r>
    </w:p>
    <w:p w14:paraId="0AC9E448" w14:textId="77777777" w:rsidR="00140F1E" w:rsidRPr="000A714A" w:rsidRDefault="00140F1E" w:rsidP="00140F1E">
      <w:pPr>
        <w:spacing w:after="120" w:line="360" w:lineRule="auto"/>
        <w:jc w:val="both"/>
        <w:rPr>
          <w:rFonts w:ascii="Times New Roman" w:hAnsi="Times New Roman" w:cs="Times New Roman"/>
          <w:lang w:val="en-US"/>
        </w:rPr>
      </w:pPr>
      <w:r w:rsidRPr="000A714A">
        <w:rPr>
          <w:rFonts w:ascii="Times New Roman" w:hAnsi="Times New Roman" w:cs="Times New Roman"/>
          <w:lang w:val="en-US"/>
        </w:rPr>
        <w:t>GIUSTI, Fabio et al. Transparency in the planning for the use of mining royalties in Brazilian municipalities. </w:t>
      </w:r>
      <w:proofErr w:type="gramStart"/>
      <w:r w:rsidRPr="000A714A">
        <w:rPr>
          <w:rFonts w:ascii="Times New Roman" w:hAnsi="Times New Roman" w:cs="Times New Roman"/>
          <w:b/>
          <w:bCs/>
          <w:lang w:val="en-US"/>
        </w:rPr>
        <w:t>The Extractive</w:t>
      </w:r>
      <w:proofErr w:type="gramEnd"/>
      <w:r w:rsidRPr="000A714A">
        <w:rPr>
          <w:rFonts w:ascii="Times New Roman" w:hAnsi="Times New Roman" w:cs="Times New Roman"/>
          <w:b/>
          <w:bCs/>
          <w:lang w:val="en-US"/>
        </w:rPr>
        <w:t xml:space="preserve"> Industries and Society</w:t>
      </w:r>
      <w:r w:rsidRPr="000A714A">
        <w:rPr>
          <w:rFonts w:ascii="Times New Roman" w:hAnsi="Times New Roman" w:cs="Times New Roman"/>
          <w:lang w:val="en-US"/>
        </w:rPr>
        <w:t>, v. 16, p. 101352, 2023.</w:t>
      </w:r>
    </w:p>
    <w:p w14:paraId="7E475886" w14:textId="77777777" w:rsidR="00140F1E" w:rsidRPr="00DF738C" w:rsidRDefault="00140F1E" w:rsidP="00140F1E">
      <w:pPr>
        <w:spacing w:after="120" w:line="360" w:lineRule="auto"/>
        <w:jc w:val="both"/>
        <w:rPr>
          <w:rFonts w:ascii="Times New Roman" w:hAnsi="Times New Roman" w:cs="Times New Roman"/>
          <w:lang w:val="en-US"/>
        </w:rPr>
      </w:pPr>
      <w:r w:rsidRPr="00DF738C">
        <w:rPr>
          <w:rFonts w:ascii="Times New Roman" w:hAnsi="Times New Roman" w:cs="Times New Roman"/>
          <w:lang w:val="en-US"/>
        </w:rPr>
        <w:lastRenderedPageBreak/>
        <w:t xml:space="preserve">HATAMI-MARBINI, Adel; TOLOO, Mehdi. An extended multiple criteria data envelopment analysis model. </w:t>
      </w:r>
      <w:r w:rsidRPr="00DF738C">
        <w:rPr>
          <w:rFonts w:ascii="Times New Roman" w:hAnsi="Times New Roman" w:cs="Times New Roman"/>
          <w:b/>
          <w:lang w:val="en-US"/>
        </w:rPr>
        <w:t>Expert Systems with Applications</w:t>
      </w:r>
      <w:r w:rsidRPr="00DF738C">
        <w:rPr>
          <w:rFonts w:ascii="Times New Roman" w:hAnsi="Times New Roman" w:cs="Times New Roman"/>
          <w:lang w:val="en-US"/>
        </w:rPr>
        <w:t>, v. 73, p. 201-219, 2017.</w:t>
      </w:r>
    </w:p>
    <w:p w14:paraId="121BF9A1" w14:textId="77777777" w:rsidR="00140F1E" w:rsidRPr="00D91C7C" w:rsidRDefault="00140F1E" w:rsidP="00140F1E">
      <w:pPr>
        <w:spacing w:after="120" w:line="360" w:lineRule="auto"/>
        <w:jc w:val="both"/>
        <w:rPr>
          <w:rFonts w:ascii="Times New Roman" w:hAnsi="Times New Roman" w:cs="Times New Roman"/>
        </w:rPr>
      </w:pPr>
      <w:r w:rsidRPr="00AB3FD5">
        <w:rPr>
          <w:rFonts w:ascii="Times New Roman" w:hAnsi="Times New Roman" w:cs="Times New Roman"/>
          <w:lang w:val="en-US"/>
        </w:rPr>
        <w:t xml:space="preserve">HERRERA-RESTREPO, Oscar; TRIANTIS, Konstantinos. </w:t>
      </w:r>
      <w:r w:rsidRPr="00DF738C">
        <w:rPr>
          <w:rFonts w:ascii="Times New Roman" w:hAnsi="Times New Roman" w:cs="Times New Roman"/>
          <w:lang w:val="en-US"/>
        </w:rPr>
        <w:t xml:space="preserve">Enterprise design through complex adaptive systems and efficiency measurement. </w:t>
      </w:r>
      <w:r w:rsidRPr="00D91C7C">
        <w:rPr>
          <w:rFonts w:ascii="Times New Roman" w:hAnsi="Times New Roman" w:cs="Times New Roman"/>
          <w:b/>
        </w:rPr>
        <w:t>European Journal of Operational Research</w:t>
      </w:r>
      <w:r w:rsidRPr="00D91C7C">
        <w:rPr>
          <w:rFonts w:ascii="Times New Roman" w:hAnsi="Times New Roman" w:cs="Times New Roman"/>
        </w:rPr>
        <w:t>, v. 278, n. 2, p. 481-497, 2019.</w:t>
      </w:r>
    </w:p>
    <w:p w14:paraId="56444D29" w14:textId="77777777" w:rsidR="00140F1E" w:rsidRPr="00005AAB" w:rsidRDefault="00140F1E" w:rsidP="00140F1E">
      <w:pPr>
        <w:spacing w:after="120" w:line="360" w:lineRule="auto"/>
        <w:jc w:val="both"/>
        <w:rPr>
          <w:rFonts w:ascii="Times New Roman" w:hAnsi="Times New Roman" w:cs="Times New Roman"/>
        </w:rPr>
      </w:pPr>
      <w:r w:rsidRPr="00005AAB">
        <w:rPr>
          <w:rFonts w:ascii="Times New Roman" w:hAnsi="Times New Roman" w:cs="Times New Roman"/>
        </w:rPr>
        <w:t>Instituto Brasileiro de Geografia e Estatística – IBGE (2019). https://www.ibge.gov.br/estatisticas/economicas/financas-publicas/</w:t>
      </w:r>
    </w:p>
    <w:p w14:paraId="1550F62A" w14:textId="77777777" w:rsidR="00140F1E" w:rsidRDefault="00140F1E" w:rsidP="00140F1E">
      <w:pPr>
        <w:spacing w:after="120" w:line="360" w:lineRule="auto"/>
        <w:jc w:val="both"/>
        <w:rPr>
          <w:rFonts w:ascii="Times New Roman" w:hAnsi="Times New Roman" w:cs="Times New Roman"/>
        </w:rPr>
      </w:pPr>
      <w:r w:rsidRPr="00122B05">
        <w:rPr>
          <w:rFonts w:ascii="Times New Roman" w:hAnsi="Times New Roman" w:cs="Times New Roman"/>
          <w:lang w:val="en-US"/>
        </w:rPr>
        <w:t xml:space="preserve">LEAL FILHO, Walter </w:t>
      </w:r>
      <w:r w:rsidRPr="00B3557E">
        <w:rPr>
          <w:rFonts w:ascii="Times New Roman" w:hAnsi="Times New Roman" w:cs="Times New Roman"/>
          <w:i/>
          <w:lang w:val="en-US"/>
        </w:rPr>
        <w:t>et al.</w:t>
      </w:r>
      <w:r w:rsidRPr="00122B05">
        <w:rPr>
          <w:rFonts w:ascii="Times New Roman" w:hAnsi="Times New Roman" w:cs="Times New Roman"/>
          <w:lang w:val="en-US"/>
        </w:rPr>
        <w:t xml:space="preserve"> When the alarm bells ring: Why </w:t>
      </w:r>
      <w:proofErr w:type="gramStart"/>
      <w:r w:rsidRPr="00122B05">
        <w:rPr>
          <w:rFonts w:ascii="Times New Roman" w:hAnsi="Times New Roman" w:cs="Times New Roman"/>
          <w:lang w:val="en-US"/>
        </w:rPr>
        <w:t>the</w:t>
      </w:r>
      <w:proofErr w:type="gramEnd"/>
      <w:r w:rsidRPr="00122B05">
        <w:rPr>
          <w:rFonts w:ascii="Times New Roman" w:hAnsi="Times New Roman" w:cs="Times New Roman"/>
          <w:lang w:val="en-US"/>
        </w:rPr>
        <w:t xml:space="preserve"> UN sustainable development goals may not be achieved by 2030. </w:t>
      </w:r>
      <w:r w:rsidRPr="00122B05">
        <w:rPr>
          <w:rFonts w:ascii="Times New Roman" w:hAnsi="Times New Roman" w:cs="Times New Roman"/>
          <w:b/>
        </w:rPr>
        <w:t>Journal of Cleaner Production</w:t>
      </w:r>
      <w:r w:rsidRPr="00122B05">
        <w:rPr>
          <w:rFonts w:ascii="Times New Roman" w:hAnsi="Times New Roman" w:cs="Times New Roman"/>
        </w:rPr>
        <w:t>, v. 407, p. 137108, 2023.</w:t>
      </w:r>
    </w:p>
    <w:p w14:paraId="5E005BAF" w14:textId="77777777" w:rsidR="00140F1E" w:rsidRDefault="00140F1E" w:rsidP="00140F1E">
      <w:pPr>
        <w:spacing w:after="120" w:line="360" w:lineRule="auto"/>
        <w:jc w:val="both"/>
        <w:rPr>
          <w:rFonts w:ascii="Times New Roman" w:hAnsi="Times New Roman" w:cs="Times New Roman"/>
          <w:lang w:val="en-US"/>
        </w:rPr>
      </w:pPr>
      <w:r w:rsidRPr="00DF738C">
        <w:rPr>
          <w:rFonts w:ascii="Times New Roman" w:hAnsi="Times New Roman" w:cs="Times New Roman"/>
        </w:rPr>
        <w:t xml:space="preserve">MIRANDA, Rafael; MONTEVECHI, José Arnaldo Barra; SILVA, Aneirson Francisco; MARINS, Fernando Augusto Silva. </w:t>
      </w:r>
      <w:r w:rsidRPr="00DF738C">
        <w:rPr>
          <w:rFonts w:ascii="Times New Roman" w:hAnsi="Times New Roman" w:cs="Times New Roman"/>
          <w:lang w:val="en-US"/>
        </w:rPr>
        <w:t xml:space="preserve">Increasing </w:t>
      </w:r>
      <w:proofErr w:type="gramStart"/>
      <w:r w:rsidRPr="00DF738C">
        <w:rPr>
          <w:rFonts w:ascii="Times New Roman" w:hAnsi="Times New Roman" w:cs="Times New Roman"/>
          <w:lang w:val="en-US"/>
        </w:rPr>
        <w:t>the efficiency</w:t>
      </w:r>
      <w:proofErr w:type="gramEnd"/>
      <w:r w:rsidRPr="00DF738C">
        <w:rPr>
          <w:rFonts w:ascii="Times New Roman" w:hAnsi="Times New Roman" w:cs="Times New Roman"/>
          <w:lang w:val="en-US"/>
        </w:rPr>
        <w:t xml:space="preserve"> in integer simulation optimization: Reducing the search space through data envelopment analysis and orthogonal arrays. </w:t>
      </w:r>
      <w:r w:rsidRPr="00DF738C">
        <w:rPr>
          <w:rFonts w:ascii="Times New Roman" w:hAnsi="Times New Roman" w:cs="Times New Roman"/>
          <w:b/>
          <w:lang w:val="en-US"/>
        </w:rPr>
        <w:t>European Journal of Operational Research</w:t>
      </w:r>
      <w:r w:rsidRPr="00DF738C">
        <w:rPr>
          <w:rFonts w:ascii="Times New Roman" w:hAnsi="Times New Roman" w:cs="Times New Roman"/>
          <w:lang w:val="en-US"/>
        </w:rPr>
        <w:t>, v. 262, n. 2, p. 673-681, 2017.</w:t>
      </w:r>
    </w:p>
    <w:p w14:paraId="4ECA2BC7" w14:textId="77777777" w:rsidR="00140F1E" w:rsidRPr="004462EF" w:rsidRDefault="00140F1E" w:rsidP="00140F1E">
      <w:pPr>
        <w:spacing w:after="120" w:line="360" w:lineRule="auto"/>
        <w:jc w:val="both"/>
        <w:rPr>
          <w:rFonts w:ascii="Times New Roman" w:hAnsi="Times New Roman" w:cs="Times New Roman"/>
        </w:rPr>
      </w:pPr>
      <w:r w:rsidRPr="004462EF">
        <w:rPr>
          <w:rFonts w:ascii="Times New Roman" w:hAnsi="Times New Roman" w:cs="Times New Roman"/>
          <w:lang w:val="en-US"/>
        </w:rPr>
        <w:t>PAULA, Helton C. de; PINHO, Maria M. The efficiency of public policies and the autonomy cost in Brazilian municipalities. </w:t>
      </w:r>
      <w:r w:rsidRPr="004462EF">
        <w:rPr>
          <w:rFonts w:ascii="Times New Roman" w:hAnsi="Times New Roman" w:cs="Times New Roman"/>
          <w:b/>
          <w:bCs/>
        </w:rPr>
        <w:t>RAM. Revista de Administração Mackenzie</w:t>
      </w:r>
      <w:r w:rsidRPr="004462EF">
        <w:rPr>
          <w:rFonts w:ascii="Times New Roman" w:hAnsi="Times New Roman" w:cs="Times New Roman"/>
        </w:rPr>
        <w:t>, v. 24, p. eRAMF230196, 2023.</w:t>
      </w:r>
    </w:p>
    <w:p w14:paraId="3CFE5E04" w14:textId="77777777" w:rsidR="00140F1E" w:rsidRPr="00E35799" w:rsidRDefault="00140F1E" w:rsidP="00140F1E">
      <w:pPr>
        <w:spacing w:after="120" w:line="360" w:lineRule="auto"/>
        <w:jc w:val="both"/>
        <w:rPr>
          <w:rFonts w:ascii="Times New Roman" w:hAnsi="Times New Roman" w:cs="Times New Roman"/>
          <w:lang w:val="en-US"/>
        </w:rPr>
      </w:pPr>
      <w:r w:rsidRPr="004462EF">
        <w:rPr>
          <w:rFonts w:ascii="Times New Roman" w:hAnsi="Times New Roman" w:cs="Times New Roman"/>
        </w:rPr>
        <w:t xml:space="preserve">SOROOSHIAN, Shahryar. </w:t>
      </w:r>
      <w:r w:rsidRPr="00BB6724">
        <w:rPr>
          <w:rFonts w:ascii="Times New Roman" w:hAnsi="Times New Roman" w:cs="Times New Roman"/>
          <w:lang w:val="en-US"/>
        </w:rPr>
        <w:t>The Sustainable Development Goals of the United Nations: A Comparative Midterm Research Review. </w:t>
      </w:r>
      <w:r w:rsidRPr="00E35799">
        <w:rPr>
          <w:rFonts w:ascii="Times New Roman" w:hAnsi="Times New Roman" w:cs="Times New Roman"/>
          <w:b/>
          <w:bCs/>
          <w:lang w:val="en-US"/>
        </w:rPr>
        <w:t>Journal of Cleaner Production</w:t>
      </w:r>
      <w:r w:rsidRPr="00E35799">
        <w:rPr>
          <w:rFonts w:ascii="Times New Roman" w:hAnsi="Times New Roman" w:cs="Times New Roman"/>
          <w:lang w:val="en-US"/>
        </w:rPr>
        <w:t>, p. 142272, 2024.</w:t>
      </w:r>
    </w:p>
    <w:p w14:paraId="05698870" w14:textId="77777777" w:rsidR="00140F1E" w:rsidRDefault="00140F1E" w:rsidP="00140F1E">
      <w:pPr>
        <w:spacing w:after="120" w:line="360" w:lineRule="auto"/>
        <w:jc w:val="both"/>
        <w:rPr>
          <w:rFonts w:ascii="Times New Roman" w:hAnsi="Times New Roman" w:cs="Times New Roman"/>
          <w:lang w:val="en-US"/>
        </w:rPr>
      </w:pPr>
      <w:r w:rsidRPr="00DF738C">
        <w:rPr>
          <w:rFonts w:ascii="Times New Roman" w:hAnsi="Times New Roman" w:cs="Times New Roman"/>
          <w:lang w:val="en-US"/>
        </w:rPr>
        <w:t xml:space="preserve">SINUANY-STERN, Zilla. Foundations of operations research: From linear programming to data envelopment analysis. </w:t>
      </w:r>
      <w:r w:rsidRPr="00DF738C">
        <w:rPr>
          <w:rFonts w:ascii="Times New Roman" w:hAnsi="Times New Roman" w:cs="Times New Roman"/>
          <w:b/>
          <w:lang w:val="en-US"/>
        </w:rPr>
        <w:t>European Journal of Operational Research</w:t>
      </w:r>
      <w:r w:rsidRPr="00DF738C">
        <w:rPr>
          <w:rFonts w:ascii="Times New Roman" w:hAnsi="Times New Roman" w:cs="Times New Roman"/>
          <w:lang w:val="en-US"/>
        </w:rPr>
        <w:t>, 2022.</w:t>
      </w:r>
    </w:p>
    <w:p w14:paraId="3CA3E104" w14:textId="77777777" w:rsidR="00140F1E" w:rsidRPr="0002029A" w:rsidRDefault="00140F1E" w:rsidP="00140F1E">
      <w:pPr>
        <w:spacing w:after="120" w:line="360" w:lineRule="auto"/>
        <w:jc w:val="both"/>
        <w:rPr>
          <w:rFonts w:ascii="Times New Roman" w:hAnsi="Times New Roman" w:cs="Times New Roman"/>
          <w:lang w:val="en-US"/>
        </w:rPr>
      </w:pPr>
      <w:r w:rsidRPr="0002029A">
        <w:rPr>
          <w:rFonts w:ascii="Times New Roman" w:hAnsi="Times New Roman" w:cs="Times New Roman"/>
          <w:lang w:val="en-US"/>
        </w:rPr>
        <w:t>TAVANA, Madjid et al. Analytic hierarchy process and data envelopment analysis: A match made in heaven. </w:t>
      </w:r>
      <w:r w:rsidRPr="0002029A">
        <w:rPr>
          <w:rFonts w:ascii="Times New Roman" w:hAnsi="Times New Roman" w:cs="Times New Roman"/>
          <w:b/>
          <w:bCs/>
          <w:lang w:val="en-US"/>
        </w:rPr>
        <w:t>Expert Systems with Applications</w:t>
      </w:r>
      <w:r w:rsidRPr="0002029A">
        <w:rPr>
          <w:rFonts w:ascii="Times New Roman" w:hAnsi="Times New Roman" w:cs="Times New Roman"/>
          <w:lang w:val="en-US"/>
        </w:rPr>
        <w:t>, v. 223, p. 119902, 2023.</w:t>
      </w:r>
    </w:p>
    <w:p w14:paraId="75FC365C" w14:textId="77777777" w:rsidR="00140F1E" w:rsidRPr="00DF738C" w:rsidRDefault="00140F1E" w:rsidP="00140F1E">
      <w:pPr>
        <w:spacing w:after="120" w:line="360" w:lineRule="auto"/>
        <w:jc w:val="both"/>
        <w:rPr>
          <w:rFonts w:ascii="Times New Roman" w:hAnsi="Times New Roman" w:cs="Times New Roman"/>
          <w:lang w:val="en-US"/>
        </w:rPr>
      </w:pPr>
      <w:r w:rsidRPr="009F2E2C">
        <w:rPr>
          <w:rFonts w:ascii="Times New Roman" w:hAnsi="Times New Roman" w:cs="Times New Roman"/>
          <w:lang w:val="en-US"/>
        </w:rPr>
        <w:t xml:space="preserve">TRANE, M. et al. Progress by research to achieve the sustainable development goals in the EU: a systematic literature review. </w:t>
      </w:r>
      <w:r w:rsidRPr="00E35799">
        <w:rPr>
          <w:rFonts w:ascii="Times New Roman" w:hAnsi="Times New Roman" w:cs="Times New Roman"/>
          <w:b/>
          <w:lang w:val="en-US"/>
        </w:rPr>
        <w:t>Sustainability</w:t>
      </w:r>
      <w:r w:rsidRPr="00E35799">
        <w:rPr>
          <w:rFonts w:ascii="Times New Roman" w:hAnsi="Times New Roman" w:cs="Times New Roman"/>
          <w:lang w:val="en-US"/>
        </w:rPr>
        <w:t xml:space="preserve"> 15 (9): 7055. 2023.</w:t>
      </w:r>
    </w:p>
    <w:p w14:paraId="67BE5471" w14:textId="77777777" w:rsidR="00140F1E" w:rsidRPr="00E35799" w:rsidRDefault="00140F1E" w:rsidP="00140F1E">
      <w:pPr>
        <w:spacing w:after="120" w:line="360" w:lineRule="auto"/>
        <w:rPr>
          <w:rFonts w:ascii="Times New Roman" w:hAnsi="Times New Roman" w:cs="Times New Roman"/>
          <w:lang w:val="en-US"/>
        </w:rPr>
      </w:pPr>
      <w:r w:rsidRPr="00356CBD">
        <w:rPr>
          <w:rFonts w:ascii="Times New Roman" w:hAnsi="Times New Roman" w:cs="Times New Roman"/>
          <w:lang w:val="en-US"/>
        </w:rPr>
        <w:t xml:space="preserve">VOOLA, Ranjit </w:t>
      </w:r>
      <w:r w:rsidRPr="00B3557E">
        <w:rPr>
          <w:rFonts w:ascii="Times New Roman" w:hAnsi="Times New Roman" w:cs="Times New Roman"/>
          <w:i/>
          <w:lang w:val="en-US"/>
        </w:rPr>
        <w:t>et al.</w:t>
      </w:r>
      <w:r w:rsidRPr="00356CBD">
        <w:rPr>
          <w:rFonts w:ascii="Times New Roman" w:hAnsi="Times New Roman" w:cs="Times New Roman"/>
          <w:lang w:val="en-US"/>
        </w:rPr>
        <w:t xml:space="preserve"> Re-imagining marketing scholarship in the era of the UN sustainable development goals. </w:t>
      </w:r>
      <w:r w:rsidRPr="00E35799">
        <w:rPr>
          <w:rFonts w:ascii="Times New Roman" w:hAnsi="Times New Roman" w:cs="Times New Roman"/>
          <w:b/>
          <w:bCs/>
          <w:lang w:val="en-US"/>
        </w:rPr>
        <w:t>Australasian Marketing Journal</w:t>
      </w:r>
      <w:r w:rsidRPr="00E35799">
        <w:rPr>
          <w:rFonts w:ascii="Times New Roman" w:hAnsi="Times New Roman" w:cs="Times New Roman"/>
          <w:lang w:val="en-US"/>
        </w:rPr>
        <w:t>, v. 30, n. 2, p. 97-106, 2022.</w:t>
      </w:r>
    </w:p>
    <w:p w14:paraId="0BBA57FC" w14:textId="77777777" w:rsidR="00140F1E" w:rsidRDefault="00140F1E" w:rsidP="00140F1E">
      <w:pPr>
        <w:spacing w:after="120" w:line="360" w:lineRule="auto"/>
        <w:rPr>
          <w:rFonts w:ascii="Times New Roman" w:hAnsi="Times New Roman" w:cs="Times New Roman"/>
          <w:lang w:val="en-US"/>
        </w:rPr>
      </w:pPr>
      <w:r w:rsidRPr="002202AB">
        <w:rPr>
          <w:rFonts w:ascii="Times New Roman" w:hAnsi="Times New Roman" w:cs="Times New Roman"/>
          <w:lang w:val="en-US"/>
        </w:rPr>
        <w:t xml:space="preserve">United Nations, 2015. Sustainable Development Goals (SDGs). </w:t>
      </w:r>
      <w:r w:rsidRPr="0002029A">
        <w:rPr>
          <w:rFonts w:ascii="Times New Roman" w:hAnsi="Times New Roman" w:cs="Times New Roman"/>
          <w:lang w:val="en-US"/>
        </w:rPr>
        <w:t>https://sdgs.un.org/</w:t>
      </w:r>
      <w:r w:rsidRPr="002202AB">
        <w:rPr>
          <w:rFonts w:ascii="Times New Roman" w:hAnsi="Times New Roman" w:cs="Times New Roman"/>
          <w:lang w:val="en-US"/>
        </w:rPr>
        <w:t>.</w:t>
      </w:r>
    </w:p>
    <w:p w14:paraId="06CE055D" w14:textId="77777777" w:rsidR="00140F1E" w:rsidRPr="002202AB" w:rsidRDefault="00140F1E" w:rsidP="00140F1E">
      <w:pPr>
        <w:spacing w:after="120" w:line="360" w:lineRule="auto"/>
        <w:rPr>
          <w:rFonts w:ascii="Times New Roman" w:hAnsi="Times New Roman" w:cs="Times New Roman"/>
          <w:lang w:val="en-US"/>
        </w:rPr>
      </w:pPr>
      <w:r w:rsidRPr="0002029A">
        <w:rPr>
          <w:rFonts w:ascii="Times New Roman" w:hAnsi="Times New Roman" w:cs="Times New Roman"/>
          <w:lang w:val="en-US"/>
        </w:rPr>
        <w:t>ZHU, Joe. </w:t>
      </w:r>
      <w:r w:rsidRPr="0002029A">
        <w:rPr>
          <w:rFonts w:ascii="Times New Roman" w:hAnsi="Times New Roman" w:cs="Times New Roman"/>
          <w:b/>
          <w:bCs/>
          <w:lang w:val="en-US"/>
        </w:rPr>
        <w:t>Quantitative models for performance evaluation and benchmarking: data envelopment analysis with spreadsheets</w:t>
      </w:r>
      <w:r w:rsidRPr="0002029A">
        <w:rPr>
          <w:rFonts w:ascii="Times New Roman" w:hAnsi="Times New Roman" w:cs="Times New Roman"/>
          <w:lang w:val="en-US"/>
        </w:rPr>
        <w:t xml:space="preserve">. </w:t>
      </w:r>
      <w:r w:rsidRPr="0002029A">
        <w:rPr>
          <w:rFonts w:ascii="Times New Roman" w:hAnsi="Times New Roman" w:cs="Times New Roman"/>
        </w:rPr>
        <w:t>New York: Springer, 2009.</w:t>
      </w:r>
    </w:p>
    <w:p w14:paraId="3838FCEE" w14:textId="77777777" w:rsidR="008577EA" w:rsidRPr="002C6DEE" w:rsidRDefault="008577EA">
      <w:pPr>
        <w:rPr>
          <w:rFonts w:ascii="Times New Roman" w:hAnsi="Times New Roman" w:cs="Times New Roman"/>
          <w:sz w:val="24"/>
          <w:szCs w:val="24"/>
        </w:rPr>
      </w:pPr>
    </w:p>
    <w:p w14:paraId="1337E314" w14:textId="77777777" w:rsidR="002C6DEE" w:rsidRPr="002C6DEE" w:rsidRDefault="002C6DEE">
      <w:pPr>
        <w:rPr>
          <w:rFonts w:ascii="Times New Roman" w:hAnsi="Times New Roman" w:cs="Times New Roman"/>
          <w:sz w:val="24"/>
          <w:szCs w:val="24"/>
        </w:rPr>
      </w:pPr>
    </w:p>
    <w:sectPr w:rsidR="002C6DEE" w:rsidRPr="002C6D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601FB"/>
    <w:multiLevelType w:val="hybridMultilevel"/>
    <w:tmpl w:val="67988D8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1AE0479"/>
    <w:multiLevelType w:val="multilevel"/>
    <w:tmpl w:val="675A6F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C87FE0"/>
    <w:multiLevelType w:val="multilevel"/>
    <w:tmpl w:val="B9C8A58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2F05B5"/>
    <w:multiLevelType w:val="multilevel"/>
    <w:tmpl w:val="4168A5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0F5CE3"/>
    <w:multiLevelType w:val="hybridMultilevel"/>
    <w:tmpl w:val="927AC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0B07E30"/>
    <w:multiLevelType w:val="multilevel"/>
    <w:tmpl w:val="8E5C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48698">
    <w:abstractNumId w:val="4"/>
  </w:num>
  <w:num w:numId="2" w16cid:durableId="2134060450">
    <w:abstractNumId w:val="5"/>
  </w:num>
  <w:num w:numId="3" w16cid:durableId="909921699">
    <w:abstractNumId w:val="0"/>
  </w:num>
  <w:num w:numId="4" w16cid:durableId="1675574688">
    <w:abstractNumId w:val="2"/>
  </w:num>
  <w:num w:numId="5" w16cid:durableId="1120301479">
    <w:abstractNumId w:val="3"/>
  </w:num>
  <w:num w:numId="6" w16cid:durableId="1995718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EE"/>
    <w:rsid w:val="00002117"/>
    <w:rsid w:val="00011C50"/>
    <w:rsid w:val="00013BE7"/>
    <w:rsid w:val="00015876"/>
    <w:rsid w:val="00015D66"/>
    <w:rsid w:val="0001636B"/>
    <w:rsid w:val="000215AF"/>
    <w:rsid w:val="00022C63"/>
    <w:rsid w:val="000329FF"/>
    <w:rsid w:val="0003529B"/>
    <w:rsid w:val="00051AD7"/>
    <w:rsid w:val="00064C07"/>
    <w:rsid w:val="00065427"/>
    <w:rsid w:val="00073088"/>
    <w:rsid w:val="000747AA"/>
    <w:rsid w:val="00074BD4"/>
    <w:rsid w:val="00080F68"/>
    <w:rsid w:val="00086741"/>
    <w:rsid w:val="000B353E"/>
    <w:rsid w:val="000B4B03"/>
    <w:rsid w:val="000B6466"/>
    <w:rsid w:val="000C10DD"/>
    <w:rsid w:val="000D04B0"/>
    <w:rsid w:val="000D1CE6"/>
    <w:rsid w:val="000D3C5C"/>
    <w:rsid w:val="000D77BF"/>
    <w:rsid w:val="000E6DAD"/>
    <w:rsid w:val="00112CAC"/>
    <w:rsid w:val="00117FB2"/>
    <w:rsid w:val="00140F1E"/>
    <w:rsid w:val="001436E5"/>
    <w:rsid w:val="001463F4"/>
    <w:rsid w:val="001530B1"/>
    <w:rsid w:val="0016390E"/>
    <w:rsid w:val="0017215A"/>
    <w:rsid w:val="00175D1B"/>
    <w:rsid w:val="00183542"/>
    <w:rsid w:val="00190938"/>
    <w:rsid w:val="00190DE0"/>
    <w:rsid w:val="00197475"/>
    <w:rsid w:val="001A5221"/>
    <w:rsid w:val="001C1D40"/>
    <w:rsid w:val="001C5CF8"/>
    <w:rsid w:val="001C67B0"/>
    <w:rsid w:val="001E1373"/>
    <w:rsid w:val="001F1A9E"/>
    <w:rsid w:val="001F68C3"/>
    <w:rsid w:val="00200E00"/>
    <w:rsid w:val="00203140"/>
    <w:rsid w:val="00204D6B"/>
    <w:rsid w:val="002142F1"/>
    <w:rsid w:val="0022314F"/>
    <w:rsid w:val="00227253"/>
    <w:rsid w:val="002326AD"/>
    <w:rsid w:val="00241F13"/>
    <w:rsid w:val="002477C3"/>
    <w:rsid w:val="00261740"/>
    <w:rsid w:val="00274D4A"/>
    <w:rsid w:val="0029067D"/>
    <w:rsid w:val="0029096F"/>
    <w:rsid w:val="00294DE1"/>
    <w:rsid w:val="00297A57"/>
    <w:rsid w:val="002A493D"/>
    <w:rsid w:val="002B6507"/>
    <w:rsid w:val="002C6DEE"/>
    <w:rsid w:val="002D792F"/>
    <w:rsid w:val="002E719F"/>
    <w:rsid w:val="002F0A6F"/>
    <w:rsid w:val="002F213F"/>
    <w:rsid w:val="003144A6"/>
    <w:rsid w:val="00321CAE"/>
    <w:rsid w:val="00330A8A"/>
    <w:rsid w:val="00337C07"/>
    <w:rsid w:val="0034607A"/>
    <w:rsid w:val="003500F5"/>
    <w:rsid w:val="0035436A"/>
    <w:rsid w:val="00356813"/>
    <w:rsid w:val="0036473A"/>
    <w:rsid w:val="0036740B"/>
    <w:rsid w:val="00373578"/>
    <w:rsid w:val="003930C2"/>
    <w:rsid w:val="003A6711"/>
    <w:rsid w:val="003A7BF3"/>
    <w:rsid w:val="003C2CBD"/>
    <w:rsid w:val="003C529C"/>
    <w:rsid w:val="003D5E10"/>
    <w:rsid w:val="003F5DBE"/>
    <w:rsid w:val="00412BF7"/>
    <w:rsid w:val="00423557"/>
    <w:rsid w:val="00433DF7"/>
    <w:rsid w:val="0044312B"/>
    <w:rsid w:val="00445788"/>
    <w:rsid w:val="004565A9"/>
    <w:rsid w:val="00465B1F"/>
    <w:rsid w:val="00472B24"/>
    <w:rsid w:val="00472E4D"/>
    <w:rsid w:val="00487783"/>
    <w:rsid w:val="00491FA6"/>
    <w:rsid w:val="0049446A"/>
    <w:rsid w:val="004956C8"/>
    <w:rsid w:val="00495AA2"/>
    <w:rsid w:val="00497652"/>
    <w:rsid w:val="004A228D"/>
    <w:rsid w:val="004A2818"/>
    <w:rsid w:val="004A2B56"/>
    <w:rsid w:val="004B5734"/>
    <w:rsid w:val="004C4F8D"/>
    <w:rsid w:val="004C5ED8"/>
    <w:rsid w:val="004C7F1D"/>
    <w:rsid w:val="004D747B"/>
    <w:rsid w:val="004E7915"/>
    <w:rsid w:val="004F668C"/>
    <w:rsid w:val="00504FAC"/>
    <w:rsid w:val="005169D7"/>
    <w:rsid w:val="00520923"/>
    <w:rsid w:val="00523CBF"/>
    <w:rsid w:val="00526701"/>
    <w:rsid w:val="00531CA4"/>
    <w:rsid w:val="00535F08"/>
    <w:rsid w:val="00540003"/>
    <w:rsid w:val="00541EA1"/>
    <w:rsid w:val="0054383F"/>
    <w:rsid w:val="0055487C"/>
    <w:rsid w:val="00555790"/>
    <w:rsid w:val="0056051D"/>
    <w:rsid w:val="005613FB"/>
    <w:rsid w:val="00564A7F"/>
    <w:rsid w:val="00565A16"/>
    <w:rsid w:val="005723F2"/>
    <w:rsid w:val="00574EC2"/>
    <w:rsid w:val="005777F5"/>
    <w:rsid w:val="00580BFF"/>
    <w:rsid w:val="00580DEF"/>
    <w:rsid w:val="00585BDC"/>
    <w:rsid w:val="00586F01"/>
    <w:rsid w:val="005A3D59"/>
    <w:rsid w:val="005B0A9F"/>
    <w:rsid w:val="005B7318"/>
    <w:rsid w:val="005C06DD"/>
    <w:rsid w:val="005C0D2A"/>
    <w:rsid w:val="005C2E85"/>
    <w:rsid w:val="005C5E08"/>
    <w:rsid w:val="005E5166"/>
    <w:rsid w:val="005F18C3"/>
    <w:rsid w:val="005F26C1"/>
    <w:rsid w:val="005F465B"/>
    <w:rsid w:val="005F649B"/>
    <w:rsid w:val="006039F7"/>
    <w:rsid w:val="0060734A"/>
    <w:rsid w:val="00612CA4"/>
    <w:rsid w:val="006134F7"/>
    <w:rsid w:val="00627E40"/>
    <w:rsid w:val="00630630"/>
    <w:rsid w:val="00643591"/>
    <w:rsid w:val="006437E3"/>
    <w:rsid w:val="00647344"/>
    <w:rsid w:val="006526D8"/>
    <w:rsid w:val="0065366C"/>
    <w:rsid w:val="00655E23"/>
    <w:rsid w:val="00656936"/>
    <w:rsid w:val="00661C5E"/>
    <w:rsid w:val="00663605"/>
    <w:rsid w:val="006711EE"/>
    <w:rsid w:val="00672867"/>
    <w:rsid w:val="006758C6"/>
    <w:rsid w:val="006774BB"/>
    <w:rsid w:val="0068374F"/>
    <w:rsid w:val="0068524C"/>
    <w:rsid w:val="006940A8"/>
    <w:rsid w:val="006A0D2E"/>
    <w:rsid w:val="006D77CC"/>
    <w:rsid w:val="006D7B29"/>
    <w:rsid w:val="006E0573"/>
    <w:rsid w:val="006E151F"/>
    <w:rsid w:val="006F2CE9"/>
    <w:rsid w:val="006F63F6"/>
    <w:rsid w:val="00700F33"/>
    <w:rsid w:val="00707F92"/>
    <w:rsid w:val="0071165A"/>
    <w:rsid w:val="00711CB5"/>
    <w:rsid w:val="007310F0"/>
    <w:rsid w:val="00740195"/>
    <w:rsid w:val="007470DB"/>
    <w:rsid w:val="00751B7C"/>
    <w:rsid w:val="007674EE"/>
    <w:rsid w:val="0077677F"/>
    <w:rsid w:val="00782662"/>
    <w:rsid w:val="0078288C"/>
    <w:rsid w:val="0078481C"/>
    <w:rsid w:val="0079133A"/>
    <w:rsid w:val="007942BE"/>
    <w:rsid w:val="007A77A3"/>
    <w:rsid w:val="007B3049"/>
    <w:rsid w:val="007C5D29"/>
    <w:rsid w:val="007D1E12"/>
    <w:rsid w:val="007D1FE5"/>
    <w:rsid w:val="007D2C11"/>
    <w:rsid w:val="007F1021"/>
    <w:rsid w:val="007F55E5"/>
    <w:rsid w:val="008029DA"/>
    <w:rsid w:val="00805BF7"/>
    <w:rsid w:val="0082024D"/>
    <w:rsid w:val="00820A7D"/>
    <w:rsid w:val="0082112B"/>
    <w:rsid w:val="00825CE0"/>
    <w:rsid w:val="00827C60"/>
    <w:rsid w:val="008322D4"/>
    <w:rsid w:val="00836A24"/>
    <w:rsid w:val="008466AE"/>
    <w:rsid w:val="00847ECE"/>
    <w:rsid w:val="008510A1"/>
    <w:rsid w:val="008577EA"/>
    <w:rsid w:val="00892B46"/>
    <w:rsid w:val="00894151"/>
    <w:rsid w:val="008A30B7"/>
    <w:rsid w:val="008A30FB"/>
    <w:rsid w:val="008B3C96"/>
    <w:rsid w:val="008B5B8A"/>
    <w:rsid w:val="008B5CC7"/>
    <w:rsid w:val="008C0CAF"/>
    <w:rsid w:val="008C350F"/>
    <w:rsid w:val="008C55AD"/>
    <w:rsid w:val="008C601D"/>
    <w:rsid w:val="008D08A1"/>
    <w:rsid w:val="008D1305"/>
    <w:rsid w:val="008E2ADB"/>
    <w:rsid w:val="008E37F4"/>
    <w:rsid w:val="008F018C"/>
    <w:rsid w:val="008F0D3A"/>
    <w:rsid w:val="0090484D"/>
    <w:rsid w:val="00905627"/>
    <w:rsid w:val="00906B88"/>
    <w:rsid w:val="00912B23"/>
    <w:rsid w:val="009134FD"/>
    <w:rsid w:val="0091543D"/>
    <w:rsid w:val="00925B3E"/>
    <w:rsid w:val="0093246A"/>
    <w:rsid w:val="0093576E"/>
    <w:rsid w:val="00941A5A"/>
    <w:rsid w:val="00942EE7"/>
    <w:rsid w:val="009467B1"/>
    <w:rsid w:val="00946894"/>
    <w:rsid w:val="009506EC"/>
    <w:rsid w:val="009533F5"/>
    <w:rsid w:val="00967509"/>
    <w:rsid w:val="00994C4E"/>
    <w:rsid w:val="00997E15"/>
    <w:rsid w:val="009A4FFD"/>
    <w:rsid w:val="009B7131"/>
    <w:rsid w:val="009C15AF"/>
    <w:rsid w:val="009C34F7"/>
    <w:rsid w:val="009E4D0B"/>
    <w:rsid w:val="009E5B52"/>
    <w:rsid w:val="009F4CE3"/>
    <w:rsid w:val="009F6D99"/>
    <w:rsid w:val="00A015AB"/>
    <w:rsid w:val="00A03729"/>
    <w:rsid w:val="00A17414"/>
    <w:rsid w:val="00A17CB2"/>
    <w:rsid w:val="00A220AC"/>
    <w:rsid w:val="00A2340C"/>
    <w:rsid w:val="00A30FA7"/>
    <w:rsid w:val="00A35CF4"/>
    <w:rsid w:val="00A35E08"/>
    <w:rsid w:val="00A5137D"/>
    <w:rsid w:val="00A546EE"/>
    <w:rsid w:val="00A564B4"/>
    <w:rsid w:val="00A56E44"/>
    <w:rsid w:val="00A570B5"/>
    <w:rsid w:val="00A6287C"/>
    <w:rsid w:val="00A70874"/>
    <w:rsid w:val="00A822E9"/>
    <w:rsid w:val="00A86621"/>
    <w:rsid w:val="00A86DBF"/>
    <w:rsid w:val="00A921A3"/>
    <w:rsid w:val="00A92259"/>
    <w:rsid w:val="00A97926"/>
    <w:rsid w:val="00AA3C0E"/>
    <w:rsid w:val="00AC1134"/>
    <w:rsid w:val="00AC6BD7"/>
    <w:rsid w:val="00AE0AC3"/>
    <w:rsid w:val="00AE0FE8"/>
    <w:rsid w:val="00AE7399"/>
    <w:rsid w:val="00AF21E0"/>
    <w:rsid w:val="00AF55A0"/>
    <w:rsid w:val="00B14C6D"/>
    <w:rsid w:val="00B150EC"/>
    <w:rsid w:val="00B1608A"/>
    <w:rsid w:val="00B37393"/>
    <w:rsid w:val="00B374C2"/>
    <w:rsid w:val="00B41F2B"/>
    <w:rsid w:val="00B421B0"/>
    <w:rsid w:val="00B448E3"/>
    <w:rsid w:val="00B609B4"/>
    <w:rsid w:val="00B677CE"/>
    <w:rsid w:val="00B72B4F"/>
    <w:rsid w:val="00B77B8F"/>
    <w:rsid w:val="00B835BA"/>
    <w:rsid w:val="00B918A9"/>
    <w:rsid w:val="00B93757"/>
    <w:rsid w:val="00B95144"/>
    <w:rsid w:val="00B972D6"/>
    <w:rsid w:val="00BA279B"/>
    <w:rsid w:val="00BA63FE"/>
    <w:rsid w:val="00BB55E0"/>
    <w:rsid w:val="00BC1526"/>
    <w:rsid w:val="00BC370D"/>
    <w:rsid w:val="00BD2202"/>
    <w:rsid w:val="00BD2DF4"/>
    <w:rsid w:val="00BE1034"/>
    <w:rsid w:val="00C03317"/>
    <w:rsid w:val="00C0429D"/>
    <w:rsid w:val="00C04D45"/>
    <w:rsid w:val="00C120CA"/>
    <w:rsid w:val="00C40098"/>
    <w:rsid w:val="00C4081F"/>
    <w:rsid w:val="00C445F2"/>
    <w:rsid w:val="00C46456"/>
    <w:rsid w:val="00C46B89"/>
    <w:rsid w:val="00C50092"/>
    <w:rsid w:val="00C52F12"/>
    <w:rsid w:val="00C5408E"/>
    <w:rsid w:val="00C7620D"/>
    <w:rsid w:val="00C767F9"/>
    <w:rsid w:val="00C81D93"/>
    <w:rsid w:val="00C9607D"/>
    <w:rsid w:val="00CA2613"/>
    <w:rsid w:val="00CA72F3"/>
    <w:rsid w:val="00CB3A65"/>
    <w:rsid w:val="00CB72EA"/>
    <w:rsid w:val="00CB7FD0"/>
    <w:rsid w:val="00CC2DBA"/>
    <w:rsid w:val="00CC4B95"/>
    <w:rsid w:val="00CD3CB2"/>
    <w:rsid w:val="00CD4024"/>
    <w:rsid w:val="00CD4B2C"/>
    <w:rsid w:val="00CD71CD"/>
    <w:rsid w:val="00CE15A2"/>
    <w:rsid w:val="00CE23FF"/>
    <w:rsid w:val="00CE4174"/>
    <w:rsid w:val="00CE4965"/>
    <w:rsid w:val="00CF003B"/>
    <w:rsid w:val="00CF3534"/>
    <w:rsid w:val="00CF5935"/>
    <w:rsid w:val="00D07313"/>
    <w:rsid w:val="00D10219"/>
    <w:rsid w:val="00D12EC0"/>
    <w:rsid w:val="00D1484A"/>
    <w:rsid w:val="00D15E08"/>
    <w:rsid w:val="00D20BE7"/>
    <w:rsid w:val="00D32C16"/>
    <w:rsid w:val="00D41A34"/>
    <w:rsid w:val="00D6026A"/>
    <w:rsid w:val="00D62918"/>
    <w:rsid w:val="00D72833"/>
    <w:rsid w:val="00D738D5"/>
    <w:rsid w:val="00D9219F"/>
    <w:rsid w:val="00D9263A"/>
    <w:rsid w:val="00D96CE3"/>
    <w:rsid w:val="00DA54DF"/>
    <w:rsid w:val="00DA7A5D"/>
    <w:rsid w:val="00DB473E"/>
    <w:rsid w:val="00DB6E3A"/>
    <w:rsid w:val="00DC27B7"/>
    <w:rsid w:val="00DD44D5"/>
    <w:rsid w:val="00DD46B7"/>
    <w:rsid w:val="00DE28A4"/>
    <w:rsid w:val="00DE4D8C"/>
    <w:rsid w:val="00E0008E"/>
    <w:rsid w:val="00E04FED"/>
    <w:rsid w:val="00E063CB"/>
    <w:rsid w:val="00E10153"/>
    <w:rsid w:val="00E201A4"/>
    <w:rsid w:val="00E27B3E"/>
    <w:rsid w:val="00E31C01"/>
    <w:rsid w:val="00E37ECE"/>
    <w:rsid w:val="00E407B2"/>
    <w:rsid w:val="00E43763"/>
    <w:rsid w:val="00E47AFE"/>
    <w:rsid w:val="00E51505"/>
    <w:rsid w:val="00E5251D"/>
    <w:rsid w:val="00E5775F"/>
    <w:rsid w:val="00E7316A"/>
    <w:rsid w:val="00E82E6F"/>
    <w:rsid w:val="00E8780D"/>
    <w:rsid w:val="00E94E18"/>
    <w:rsid w:val="00E960E5"/>
    <w:rsid w:val="00EA146B"/>
    <w:rsid w:val="00EA45A9"/>
    <w:rsid w:val="00EA6E29"/>
    <w:rsid w:val="00EB4315"/>
    <w:rsid w:val="00EB67AF"/>
    <w:rsid w:val="00EC129B"/>
    <w:rsid w:val="00EC1D09"/>
    <w:rsid w:val="00EC7090"/>
    <w:rsid w:val="00EC70CB"/>
    <w:rsid w:val="00ED374E"/>
    <w:rsid w:val="00ED5EBD"/>
    <w:rsid w:val="00EE16E5"/>
    <w:rsid w:val="00EF134B"/>
    <w:rsid w:val="00EF72EF"/>
    <w:rsid w:val="00F01650"/>
    <w:rsid w:val="00F1059A"/>
    <w:rsid w:val="00F16C36"/>
    <w:rsid w:val="00F52EAD"/>
    <w:rsid w:val="00F54F2C"/>
    <w:rsid w:val="00F65739"/>
    <w:rsid w:val="00F6642B"/>
    <w:rsid w:val="00F743A8"/>
    <w:rsid w:val="00F82185"/>
    <w:rsid w:val="00F868ED"/>
    <w:rsid w:val="00FA511C"/>
    <w:rsid w:val="00FA567A"/>
    <w:rsid w:val="00FA6D63"/>
    <w:rsid w:val="00FB07C1"/>
    <w:rsid w:val="00FC1C88"/>
    <w:rsid w:val="00FC32A3"/>
    <w:rsid w:val="00FE3CF1"/>
    <w:rsid w:val="00FF0B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01FEE"/>
  <w15:docId w15:val="{7D88D750-CA7F-4A86-AA64-DFCD4F5F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C6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C6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C6D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C6D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C6D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C6D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C6D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C6D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C6D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6D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C6D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C6D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C6D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C6D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C6D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C6D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C6D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C6DEE"/>
    <w:rPr>
      <w:rFonts w:eastAsiaTheme="majorEastAsia" w:cstheme="majorBidi"/>
      <w:color w:val="272727" w:themeColor="text1" w:themeTint="D8"/>
    </w:rPr>
  </w:style>
  <w:style w:type="paragraph" w:styleId="Ttulo">
    <w:name w:val="Title"/>
    <w:basedOn w:val="Normal"/>
    <w:next w:val="Normal"/>
    <w:link w:val="TtuloChar"/>
    <w:uiPriority w:val="10"/>
    <w:qFormat/>
    <w:rsid w:val="002C6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C6D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C6D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C6D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C6DEE"/>
    <w:pPr>
      <w:spacing w:before="160"/>
      <w:jc w:val="center"/>
    </w:pPr>
    <w:rPr>
      <w:i/>
      <w:iCs/>
      <w:color w:val="404040" w:themeColor="text1" w:themeTint="BF"/>
    </w:rPr>
  </w:style>
  <w:style w:type="character" w:customStyle="1" w:styleId="CitaoChar">
    <w:name w:val="Citação Char"/>
    <w:basedOn w:val="Fontepargpadro"/>
    <w:link w:val="Citao"/>
    <w:uiPriority w:val="29"/>
    <w:rsid w:val="002C6DEE"/>
    <w:rPr>
      <w:i/>
      <w:iCs/>
      <w:color w:val="404040" w:themeColor="text1" w:themeTint="BF"/>
    </w:rPr>
  </w:style>
  <w:style w:type="paragraph" w:styleId="PargrafodaLista">
    <w:name w:val="List Paragraph"/>
    <w:basedOn w:val="Normal"/>
    <w:uiPriority w:val="34"/>
    <w:qFormat/>
    <w:rsid w:val="002C6DEE"/>
    <w:pPr>
      <w:ind w:left="720"/>
      <w:contextualSpacing/>
    </w:pPr>
  </w:style>
  <w:style w:type="character" w:styleId="nfaseIntensa">
    <w:name w:val="Intense Emphasis"/>
    <w:basedOn w:val="Fontepargpadro"/>
    <w:uiPriority w:val="21"/>
    <w:qFormat/>
    <w:rsid w:val="002C6DEE"/>
    <w:rPr>
      <w:i/>
      <w:iCs/>
      <w:color w:val="0F4761" w:themeColor="accent1" w:themeShade="BF"/>
    </w:rPr>
  </w:style>
  <w:style w:type="paragraph" w:styleId="CitaoIntensa">
    <w:name w:val="Intense Quote"/>
    <w:basedOn w:val="Normal"/>
    <w:next w:val="Normal"/>
    <w:link w:val="CitaoIntensaChar"/>
    <w:uiPriority w:val="30"/>
    <w:qFormat/>
    <w:rsid w:val="002C6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C6DEE"/>
    <w:rPr>
      <w:i/>
      <w:iCs/>
      <w:color w:val="0F4761" w:themeColor="accent1" w:themeShade="BF"/>
    </w:rPr>
  </w:style>
  <w:style w:type="character" w:styleId="RefernciaIntensa">
    <w:name w:val="Intense Reference"/>
    <w:basedOn w:val="Fontepargpadro"/>
    <w:uiPriority w:val="32"/>
    <w:qFormat/>
    <w:rsid w:val="002C6DEE"/>
    <w:rPr>
      <w:b/>
      <w:bCs/>
      <w:smallCaps/>
      <w:color w:val="0F4761" w:themeColor="accent1" w:themeShade="BF"/>
      <w:spacing w:val="5"/>
    </w:rPr>
  </w:style>
  <w:style w:type="paragraph" w:customStyle="1" w:styleId="standard">
    <w:name w:val="standard"/>
    <w:basedOn w:val="Normal"/>
    <w:rsid w:val="007A77A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8577EA"/>
    <w:rPr>
      <w:color w:val="467886" w:themeColor="hyperlink"/>
      <w:u w:val="single"/>
    </w:rPr>
  </w:style>
  <w:style w:type="character" w:customStyle="1" w:styleId="MenoPendente1">
    <w:name w:val="Menção Pendente1"/>
    <w:basedOn w:val="Fontepargpadro"/>
    <w:uiPriority w:val="99"/>
    <w:semiHidden/>
    <w:unhideWhenUsed/>
    <w:rsid w:val="008577EA"/>
    <w:rPr>
      <w:color w:val="605E5C"/>
      <w:shd w:val="clear" w:color="auto" w:fill="E1DFDD"/>
    </w:rPr>
  </w:style>
  <w:style w:type="character" w:styleId="HiperlinkVisitado">
    <w:name w:val="FollowedHyperlink"/>
    <w:basedOn w:val="Fontepargpadro"/>
    <w:uiPriority w:val="99"/>
    <w:semiHidden/>
    <w:unhideWhenUsed/>
    <w:rsid w:val="008577EA"/>
    <w:rPr>
      <w:color w:val="96607D" w:themeColor="followedHyperlink"/>
      <w:u w:val="single"/>
    </w:rPr>
  </w:style>
  <w:style w:type="table" w:styleId="Tabelacomgrade">
    <w:name w:val="Table Grid"/>
    <w:basedOn w:val="Tabelanormal"/>
    <w:uiPriority w:val="39"/>
    <w:rsid w:val="00E31C0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77CC"/>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6D77CC"/>
    <w:rPr>
      <w:b/>
      <w:bCs/>
    </w:rPr>
  </w:style>
  <w:style w:type="paragraph" w:styleId="Pr-formataoHTML">
    <w:name w:val="HTML Preformatted"/>
    <w:basedOn w:val="Normal"/>
    <w:link w:val="Pr-formataoHTMLChar"/>
    <w:uiPriority w:val="99"/>
    <w:semiHidden/>
    <w:unhideWhenUsed/>
    <w:rsid w:val="009A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9A4FFD"/>
    <w:rPr>
      <w:rFonts w:ascii="Courier New" w:eastAsia="Times New Roman" w:hAnsi="Courier New" w:cs="Courier New"/>
      <w:kern w:val="0"/>
      <w:sz w:val="20"/>
      <w:szCs w:val="20"/>
      <w:lang w:eastAsia="pt-BR"/>
      <w14:ligatures w14:val="none"/>
    </w:rPr>
  </w:style>
  <w:style w:type="character" w:customStyle="1" w:styleId="y2iqfc">
    <w:name w:val="y2iqfc"/>
    <w:basedOn w:val="Fontepargpadro"/>
    <w:rsid w:val="009A4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3603">
      <w:bodyDiv w:val="1"/>
      <w:marLeft w:val="0"/>
      <w:marRight w:val="0"/>
      <w:marTop w:val="0"/>
      <w:marBottom w:val="0"/>
      <w:divBdr>
        <w:top w:val="none" w:sz="0" w:space="0" w:color="auto"/>
        <w:left w:val="none" w:sz="0" w:space="0" w:color="auto"/>
        <w:bottom w:val="none" w:sz="0" w:space="0" w:color="auto"/>
        <w:right w:val="none" w:sz="0" w:space="0" w:color="auto"/>
      </w:divBdr>
    </w:div>
    <w:div w:id="115872760">
      <w:bodyDiv w:val="1"/>
      <w:marLeft w:val="0"/>
      <w:marRight w:val="0"/>
      <w:marTop w:val="0"/>
      <w:marBottom w:val="0"/>
      <w:divBdr>
        <w:top w:val="none" w:sz="0" w:space="0" w:color="auto"/>
        <w:left w:val="none" w:sz="0" w:space="0" w:color="auto"/>
        <w:bottom w:val="none" w:sz="0" w:space="0" w:color="auto"/>
        <w:right w:val="none" w:sz="0" w:space="0" w:color="auto"/>
      </w:divBdr>
    </w:div>
    <w:div w:id="130095215">
      <w:bodyDiv w:val="1"/>
      <w:marLeft w:val="0"/>
      <w:marRight w:val="0"/>
      <w:marTop w:val="0"/>
      <w:marBottom w:val="0"/>
      <w:divBdr>
        <w:top w:val="none" w:sz="0" w:space="0" w:color="auto"/>
        <w:left w:val="none" w:sz="0" w:space="0" w:color="auto"/>
        <w:bottom w:val="none" w:sz="0" w:space="0" w:color="auto"/>
        <w:right w:val="none" w:sz="0" w:space="0" w:color="auto"/>
      </w:divBdr>
    </w:div>
    <w:div w:id="240337735">
      <w:bodyDiv w:val="1"/>
      <w:marLeft w:val="0"/>
      <w:marRight w:val="0"/>
      <w:marTop w:val="0"/>
      <w:marBottom w:val="0"/>
      <w:divBdr>
        <w:top w:val="none" w:sz="0" w:space="0" w:color="auto"/>
        <w:left w:val="none" w:sz="0" w:space="0" w:color="auto"/>
        <w:bottom w:val="none" w:sz="0" w:space="0" w:color="auto"/>
        <w:right w:val="none" w:sz="0" w:space="0" w:color="auto"/>
      </w:divBdr>
    </w:div>
    <w:div w:id="295913305">
      <w:bodyDiv w:val="1"/>
      <w:marLeft w:val="0"/>
      <w:marRight w:val="0"/>
      <w:marTop w:val="0"/>
      <w:marBottom w:val="0"/>
      <w:divBdr>
        <w:top w:val="none" w:sz="0" w:space="0" w:color="auto"/>
        <w:left w:val="none" w:sz="0" w:space="0" w:color="auto"/>
        <w:bottom w:val="none" w:sz="0" w:space="0" w:color="auto"/>
        <w:right w:val="none" w:sz="0" w:space="0" w:color="auto"/>
      </w:divBdr>
      <w:divsChild>
        <w:div w:id="1720085445">
          <w:marLeft w:val="0"/>
          <w:marRight w:val="0"/>
          <w:marTop w:val="0"/>
          <w:marBottom w:val="0"/>
          <w:divBdr>
            <w:top w:val="none" w:sz="0" w:space="0" w:color="auto"/>
            <w:left w:val="none" w:sz="0" w:space="0" w:color="auto"/>
            <w:bottom w:val="none" w:sz="0" w:space="0" w:color="auto"/>
            <w:right w:val="none" w:sz="0" w:space="0" w:color="auto"/>
          </w:divBdr>
          <w:divsChild>
            <w:div w:id="1620212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1825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002419">
          <w:marLeft w:val="0"/>
          <w:marRight w:val="0"/>
          <w:marTop w:val="0"/>
          <w:marBottom w:val="0"/>
          <w:divBdr>
            <w:top w:val="single" w:sz="2" w:space="0" w:color="E3E3E3"/>
            <w:left w:val="single" w:sz="2" w:space="0" w:color="E3E3E3"/>
            <w:bottom w:val="single" w:sz="2" w:space="0" w:color="E3E3E3"/>
            <w:right w:val="single" w:sz="2" w:space="0" w:color="E3E3E3"/>
          </w:divBdr>
          <w:divsChild>
            <w:div w:id="544566553">
              <w:marLeft w:val="0"/>
              <w:marRight w:val="0"/>
              <w:marTop w:val="0"/>
              <w:marBottom w:val="0"/>
              <w:divBdr>
                <w:top w:val="single" w:sz="2" w:space="0" w:color="E3E3E3"/>
                <w:left w:val="single" w:sz="2" w:space="0" w:color="E3E3E3"/>
                <w:bottom w:val="single" w:sz="2" w:space="0" w:color="E3E3E3"/>
                <w:right w:val="single" w:sz="2" w:space="0" w:color="E3E3E3"/>
              </w:divBdr>
              <w:divsChild>
                <w:div w:id="1230649238">
                  <w:marLeft w:val="0"/>
                  <w:marRight w:val="0"/>
                  <w:marTop w:val="0"/>
                  <w:marBottom w:val="0"/>
                  <w:divBdr>
                    <w:top w:val="single" w:sz="2" w:space="0" w:color="E3E3E3"/>
                    <w:left w:val="single" w:sz="2" w:space="0" w:color="E3E3E3"/>
                    <w:bottom w:val="single" w:sz="2" w:space="0" w:color="E3E3E3"/>
                    <w:right w:val="single" w:sz="2" w:space="0" w:color="E3E3E3"/>
                  </w:divBdr>
                  <w:divsChild>
                    <w:div w:id="1139109617">
                      <w:marLeft w:val="0"/>
                      <w:marRight w:val="0"/>
                      <w:marTop w:val="0"/>
                      <w:marBottom w:val="0"/>
                      <w:divBdr>
                        <w:top w:val="single" w:sz="2" w:space="0" w:color="E3E3E3"/>
                        <w:left w:val="single" w:sz="2" w:space="0" w:color="E3E3E3"/>
                        <w:bottom w:val="single" w:sz="2" w:space="0" w:color="E3E3E3"/>
                        <w:right w:val="single" w:sz="2" w:space="0" w:color="E3E3E3"/>
                      </w:divBdr>
                      <w:divsChild>
                        <w:div w:id="1583493292">
                          <w:marLeft w:val="0"/>
                          <w:marRight w:val="0"/>
                          <w:marTop w:val="0"/>
                          <w:marBottom w:val="0"/>
                          <w:divBdr>
                            <w:top w:val="single" w:sz="2" w:space="0" w:color="E3E3E3"/>
                            <w:left w:val="single" w:sz="2" w:space="0" w:color="E3E3E3"/>
                            <w:bottom w:val="single" w:sz="2" w:space="0" w:color="E3E3E3"/>
                            <w:right w:val="single" w:sz="2" w:space="0" w:color="E3E3E3"/>
                          </w:divBdr>
                          <w:divsChild>
                            <w:div w:id="284702272">
                              <w:marLeft w:val="0"/>
                              <w:marRight w:val="0"/>
                              <w:marTop w:val="0"/>
                              <w:marBottom w:val="0"/>
                              <w:divBdr>
                                <w:top w:val="single" w:sz="2" w:space="0" w:color="E3E3E3"/>
                                <w:left w:val="single" w:sz="2" w:space="0" w:color="E3E3E3"/>
                                <w:bottom w:val="single" w:sz="2" w:space="0" w:color="E3E3E3"/>
                                <w:right w:val="single" w:sz="2" w:space="0" w:color="E3E3E3"/>
                              </w:divBdr>
                              <w:divsChild>
                                <w:div w:id="1174303822">
                                  <w:marLeft w:val="0"/>
                                  <w:marRight w:val="0"/>
                                  <w:marTop w:val="100"/>
                                  <w:marBottom w:val="100"/>
                                  <w:divBdr>
                                    <w:top w:val="single" w:sz="2" w:space="0" w:color="E3E3E3"/>
                                    <w:left w:val="single" w:sz="2" w:space="0" w:color="E3E3E3"/>
                                    <w:bottom w:val="single" w:sz="2" w:space="0" w:color="E3E3E3"/>
                                    <w:right w:val="single" w:sz="2" w:space="0" w:color="E3E3E3"/>
                                  </w:divBdr>
                                  <w:divsChild>
                                    <w:div w:id="730929909">
                                      <w:marLeft w:val="0"/>
                                      <w:marRight w:val="0"/>
                                      <w:marTop w:val="0"/>
                                      <w:marBottom w:val="0"/>
                                      <w:divBdr>
                                        <w:top w:val="single" w:sz="2" w:space="0" w:color="E3E3E3"/>
                                        <w:left w:val="single" w:sz="2" w:space="0" w:color="E3E3E3"/>
                                        <w:bottom w:val="single" w:sz="2" w:space="0" w:color="E3E3E3"/>
                                        <w:right w:val="single" w:sz="2" w:space="0" w:color="E3E3E3"/>
                                      </w:divBdr>
                                      <w:divsChild>
                                        <w:div w:id="635378060">
                                          <w:marLeft w:val="0"/>
                                          <w:marRight w:val="0"/>
                                          <w:marTop w:val="0"/>
                                          <w:marBottom w:val="0"/>
                                          <w:divBdr>
                                            <w:top w:val="single" w:sz="2" w:space="0" w:color="E3E3E3"/>
                                            <w:left w:val="single" w:sz="2" w:space="0" w:color="E3E3E3"/>
                                            <w:bottom w:val="single" w:sz="2" w:space="0" w:color="E3E3E3"/>
                                            <w:right w:val="single" w:sz="2" w:space="0" w:color="E3E3E3"/>
                                          </w:divBdr>
                                          <w:divsChild>
                                            <w:div w:id="204683959">
                                              <w:marLeft w:val="0"/>
                                              <w:marRight w:val="0"/>
                                              <w:marTop w:val="0"/>
                                              <w:marBottom w:val="0"/>
                                              <w:divBdr>
                                                <w:top w:val="single" w:sz="2" w:space="0" w:color="E3E3E3"/>
                                                <w:left w:val="single" w:sz="2" w:space="0" w:color="E3E3E3"/>
                                                <w:bottom w:val="single" w:sz="2" w:space="0" w:color="E3E3E3"/>
                                                <w:right w:val="single" w:sz="2" w:space="0" w:color="E3E3E3"/>
                                              </w:divBdr>
                                              <w:divsChild>
                                                <w:div w:id="1878621236">
                                                  <w:marLeft w:val="0"/>
                                                  <w:marRight w:val="0"/>
                                                  <w:marTop w:val="0"/>
                                                  <w:marBottom w:val="0"/>
                                                  <w:divBdr>
                                                    <w:top w:val="single" w:sz="2" w:space="0" w:color="E3E3E3"/>
                                                    <w:left w:val="single" w:sz="2" w:space="0" w:color="E3E3E3"/>
                                                    <w:bottom w:val="single" w:sz="2" w:space="0" w:color="E3E3E3"/>
                                                    <w:right w:val="single" w:sz="2" w:space="0" w:color="E3E3E3"/>
                                                  </w:divBdr>
                                                  <w:divsChild>
                                                    <w:div w:id="1330908501">
                                                      <w:marLeft w:val="0"/>
                                                      <w:marRight w:val="0"/>
                                                      <w:marTop w:val="0"/>
                                                      <w:marBottom w:val="0"/>
                                                      <w:divBdr>
                                                        <w:top w:val="single" w:sz="2" w:space="0" w:color="E3E3E3"/>
                                                        <w:left w:val="single" w:sz="2" w:space="0" w:color="E3E3E3"/>
                                                        <w:bottom w:val="single" w:sz="2" w:space="0" w:color="E3E3E3"/>
                                                        <w:right w:val="single" w:sz="2" w:space="0" w:color="E3E3E3"/>
                                                      </w:divBdr>
                                                      <w:divsChild>
                                                        <w:div w:id="1456171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56928244">
      <w:bodyDiv w:val="1"/>
      <w:marLeft w:val="0"/>
      <w:marRight w:val="0"/>
      <w:marTop w:val="0"/>
      <w:marBottom w:val="0"/>
      <w:divBdr>
        <w:top w:val="none" w:sz="0" w:space="0" w:color="auto"/>
        <w:left w:val="none" w:sz="0" w:space="0" w:color="auto"/>
        <w:bottom w:val="none" w:sz="0" w:space="0" w:color="auto"/>
        <w:right w:val="none" w:sz="0" w:space="0" w:color="auto"/>
      </w:divBdr>
    </w:div>
    <w:div w:id="478114031">
      <w:bodyDiv w:val="1"/>
      <w:marLeft w:val="0"/>
      <w:marRight w:val="0"/>
      <w:marTop w:val="0"/>
      <w:marBottom w:val="0"/>
      <w:divBdr>
        <w:top w:val="none" w:sz="0" w:space="0" w:color="auto"/>
        <w:left w:val="none" w:sz="0" w:space="0" w:color="auto"/>
        <w:bottom w:val="none" w:sz="0" w:space="0" w:color="auto"/>
        <w:right w:val="none" w:sz="0" w:space="0" w:color="auto"/>
      </w:divBdr>
    </w:div>
    <w:div w:id="526332384">
      <w:bodyDiv w:val="1"/>
      <w:marLeft w:val="0"/>
      <w:marRight w:val="0"/>
      <w:marTop w:val="0"/>
      <w:marBottom w:val="0"/>
      <w:divBdr>
        <w:top w:val="none" w:sz="0" w:space="0" w:color="auto"/>
        <w:left w:val="none" w:sz="0" w:space="0" w:color="auto"/>
        <w:bottom w:val="none" w:sz="0" w:space="0" w:color="auto"/>
        <w:right w:val="none" w:sz="0" w:space="0" w:color="auto"/>
      </w:divBdr>
    </w:div>
    <w:div w:id="578909161">
      <w:bodyDiv w:val="1"/>
      <w:marLeft w:val="0"/>
      <w:marRight w:val="0"/>
      <w:marTop w:val="0"/>
      <w:marBottom w:val="0"/>
      <w:divBdr>
        <w:top w:val="none" w:sz="0" w:space="0" w:color="auto"/>
        <w:left w:val="none" w:sz="0" w:space="0" w:color="auto"/>
        <w:bottom w:val="none" w:sz="0" w:space="0" w:color="auto"/>
        <w:right w:val="none" w:sz="0" w:space="0" w:color="auto"/>
      </w:divBdr>
    </w:div>
    <w:div w:id="602763890">
      <w:bodyDiv w:val="1"/>
      <w:marLeft w:val="0"/>
      <w:marRight w:val="0"/>
      <w:marTop w:val="0"/>
      <w:marBottom w:val="0"/>
      <w:divBdr>
        <w:top w:val="none" w:sz="0" w:space="0" w:color="auto"/>
        <w:left w:val="none" w:sz="0" w:space="0" w:color="auto"/>
        <w:bottom w:val="none" w:sz="0" w:space="0" w:color="auto"/>
        <w:right w:val="none" w:sz="0" w:space="0" w:color="auto"/>
      </w:divBdr>
    </w:div>
    <w:div w:id="626665137">
      <w:bodyDiv w:val="1"/>
      <w:marLeft w:val="0"/>
      <w:marRight w:val="0"/>
      <w:marTop w:val="0"/>
      <w:marBottom w:val="0"/>
      <w:divBdr>
        <w:top w:val="none" w:sz="0" w:space="0" w:color="auto"/>
        <w:left w:val="none" w:sz="0" w:space="0" w:color="auto"/>
        <w:bottom w:val="none" w:sz="0" w:space="0" w:color="auto"/>
        <w:right w:val="none" w:sz="0" w:space="0" w:color="auto"/>
      </w:divBdr>
    </w:div>
    <w:div w:id="726493360">
      <w:bodyDiv w:val="1"/>
      <w:marLeft w:val="0"/>
      <w:marRight w:val="0"/>
      <w:marTop w:val="0"/>
      <w:marBottom w:val="0"/>
      <w:divBdr>
        <w:top w:val="none" w:sz="0" w:space="0" w:color="auto"/>
        <w:left w:val="none" w:sz="0" w:space="0" w:color="auto"/>
        <w:bottom w:val="none" w:sz="0" w:space="0" w:color="auto"/>
        <w:right w:val="none" w:sz="0" w:space="0" w:color="auto"/>
      </w:divBdr>
    </w:div>
    <w:div w:id="733968004">
      <w:bodyDiv w:val="1"/>
      <w:marLeft w:val="0"/>
      <w:marRight w:val="0"/>
      <w:marTop w:val="0"/>
      <w:marBottom w:val="0"/>
      <w:divBdr>
        <w:top w:val="none" w:sz="0" w:space="0" w:color="auto"/>
        <w:left w:val="none" w:sz="0" w:space="0" w:color="auto"/>
        <w:bottom w:val="none" w:sz="0" w:space="0" w:color="auto"/>
        <w:right w:val="none" w:sz="0" w:space="0" w:color="auto"/>
      </w:divBdr>
    </w:div>
    <w:div w:id="750547408">
      <w:bodyDiv w:val="1"/>
      <w:marLeft w:val="0"/>
      <w:marRight w:val="0"/>
      <w:marTop w:val="0"/>
      <w:marBottom w:val="0"/>
      <w:divBdr>
        <w:top w:val="none" w:sz="0" w:space="0" w:color="auto"/>
        <w:left w:val="none" w:sz="0" w:space="0" w:color="auto"/>
        <w:bottom w:val="none" w:sz="0" w:space="0" w:color="auto"/>
        <w:right w:val="none" w:sz="0" w:space="0" w:color="auto"/>
      </w:divBdr>
    </w:div>
    <w:div w:id="766073259">
      <w:bodyDiv w:val="1"/>
      <w:marLeft w:val="0"/>
      <w:marRight w:val="0"/>
      <w:marTop w:val="0"/>
      <w:marBottom w:val="0"/>
      <w:divBdr>
        <w:top w:val="none" w:sz="0" w:space="0" w:color="auto"/>
        <w:left w:val="none" w:sz="0" w:space="0" w:color="auto"/>
        <w:bottom w:val="none" w:sz="0" w:space="0" w:color="auto"/>
        <w:right w:val="none" w:sz="0" w:space="0" w:color="auto"/>
      </w:divBdr>
    </w:div>
    <w:div w:id="865411254">
      <w:bodyDiv w:val="1"/>
      <w:marLeft w:val="0"/>
      <w:marRight w:val="0"/>
      <w:marTop w:val="0"/>
      <w:marBottom w:val="0"/>
      <w:divBdr>
        <w:top w:val="none" w:sz="0" w:space="0" w:color="auto"/>
        <w:left w:val="none" w:sz="0" w:space="0" w:color="auto"/>
        <w:bottom w:val="none" w:sz="0" w:space="0" w:color="auto"/>
        <w:right w:val="none" w:sz="0" w:space="0" w:color="auto"/>
      </w:divBdr>
    </w:div>
    <w:div w:id="883521123">
      <w:bodyDiv w:val="1"/>
      <w:marLeft w:val="0"/>
      <w:marRight w:val="0"/>
      <w:marTop w:val="0"/>
      <w:marBottom w:val="0"/>
      <w:divBdr>
        <w:top w:val="none" w:sz="0" w:space="0" w:color="auto"/>
        <w:left w:val="none" w:sz="0" w:space="0" w:color="auto"/>
        <w:bottom w:val="none" w:sz="0" w:space="0" w:color="auto"/>
        <w:right w:val="none" w:sz="0" w:space="0" w:color="auto"/>
      </w:divBdr>
    </w:div>
    <w:div w:id="896863013">
      <w:bodyDiv w:val="1"/>
      <w:marLeft w:val="0"/>
      <w:marRight w:val="0"/>
      <w:marTop w:val="0"/>
      <w:marBottom w:val="0"/>
      <w:divBdr>
        <w:top w:val="none" w:sz="0" w:space="0" w:color="auto"/>
        <w:left w:val="none" w:sz="0" w:space="0" w:color="auto"/>
        <w:bottom w:val="none" w:sz="0" w:space="0" w:color="auto"/>
        <w:right w:val="none" w:sz="0" w:space="0" w:color="auto"/>
      </w:divBdr>
    </w:div>
    <w:div w:id="924995977">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74219893">
      <w:bodyDiv w:val="1"/>
      <w:marLeft w:val="0"/>
      <w:marRight w:val="0"/>
      <w:marTop w:val="0"/>
      <w:marBottom w:val="0"/>
      <w:divBdr>
        <w:top w:val="none" w:sz="0" w:space="0" w:color="auto"/>
        <w:left w:val="none" w:sz="0" w:space="0" w:color="auto"/>
        <w:bottom w:val="none" w:sz="0" w:space="0" w:color="auto"/>
        <w:right w:val="none" w:sz="0" w:space="0" w:color="auto"/>
      </w:divBdr>
    </w:div>
    <w:div w:id="1130392540">
      <w:bodyDiv w:val="1"/>
      <w:marLeft w:val="0"/>
      <w:marRight w:val="0"/>
      <w:marTop w:val="0"/>
      <w:marBottom w:val="0"/>
      <w:divBdr>
        <w:top w:val="none" w:sz="0" w:space="0" w:color="auto"/>
        <w:left w:val="none" w:sz="0" w:space="0" w:color="auto"/>
        <w:bottom w:val="none" w:sz="0" w:space="0" w:color="auto"/>
        <w:right w:val="none" w:sz="0" w:space="0" w:color="auto"/>
      </w:divBdr>
    </w:div>
    <w:div w:id="1161657323">
      <w:bodyDiv w:val="1"/>
      <w:marLeft w:val="0"/>
      <w:marRight w:val="0"/>
      <w:marTop w:val="0"/>
      <w:marBottom w:val="0"/>
      <w:divBdr>
        <w:top w:val="none" w:sz="0" w:space="0" w:color="auto"/>
        <w:left w:val="none" w:sz="0" w:space="0" w:color="auto"/>
        <w:bottom w:val="none" w:sz="0" w:space="0" w:color="auto"/>
        <w:right w:val="none" w:sz="0" w:space="0" w:color="auto"/>
      </w:divBdr>
    </w:div>
    <w:div w:id="1172185366">
      <w:bodyDiv w:val="1"/>
      <w:marLeft w:val="0"/>
      <w:marRight w:val="0"/>
      <w:marTop w:val="0"/>
      <w:marBottom w:val="0"/>
      <w:divBdr>
        <w:top w:val="none" w:sz="0" w:space="0" w:color="auto"/>
        <w:left w:val="none" w:sz="0" w:space="0" w:color="auto"/>
        <w:bottom w:val="none" w:sz="0" w:space="0" w:color="auto"/>
        <w:right w:val="none" w:sz="0" w:space="0" w:color="auto"/>
      </w:divBdr>
      <w:divsChild>
        <w:div w:id="558130935">
          <w:marLeft w:val="0"/>
          <w:marRight w:val="0"/>
          <w:marTop w:val="0"/>
          <w:marBottom w:val="0"/>
          <w:divBdr>
            <w:top w:val="none" w:sz="0" w:space="0" w:color="auto"/>
            <w:left w:val="none" w:sz="0" w:space="0" w:color="auto"/>
            <w:bottom w:val="none" w:sz="0" w:space="0" w:color="auto"/>
            <w:right w:val="none" w:sz="0" w:space="0" w:color="auto"/>
          </w:divBdr>
        </w:div>
        <w:div w:id="1200316639">
          <w:marLeft w:val="0"/>
          <w:marRight w:val="0"/>
          <w:marTop w:val="0"/>
          <w:marBottom w:val="0"/>
          <w:divBdr>
            <w:top w:val="single" w:sz="2" w:space="0" w:color="E3E3E3"/>
            <w:left w:val="single" w:sz="2" w:space="0" w:color="E3E3E3"/>
            <w:bottom w:val="single" w:sz="2" w:space="0" w:color="E3E3E3"/>
            <w:right w:val="single" w:sz="2" w:space="0" w:color="E3E3E3"/>
          </w:divBdr>
          <w:divsChild>
            <w:div w:id="602766103">
              <w:marLeft w:val="0"/>
              <w:marRight w:val="0"/>
              <w:marTop w:val="0"/>
              <w:marBottom w:val="0"/>
              <w:divBdr>
                <w:top w:val="single" w:sz="2" w:space="0" w:color="E3E3E3"/>
                <w:left w:val="single" w:sz="2" w:space="0" w:color="E3E3E3"/>
                <w:bottom w:val="single" w:sz="2" w:space="0" w:color="E3E3E3"/>
                <w:right w:val="single" w:sz="2" w:space="0" w:color="E3E3E3"/>
              </w:divBdr>
              <w:divsChild>
                <w:div w:id="490947870">
                  <w:marLeft w:val="0"/>
                  <w:marRight w:val="0"/>
                  <w:marTop w:val="0"/>
                  <w:marBottom w:val="0"/>
                  <w:divBdr>
                    <w:top w:val="single" w:sz="2" w:space="0" w:color="E3E3E3"/>
                    <w:left w:val="single" w:sz="2" w:space="0" w:color="E3E3E3"/>
                    <w:bottom w:val="single" w:sz="2" w:space="0" w:color="E3E3E3"/>
                    <w:right w:val="single" w:sz="2" w:space="0" w:color="E3E3E3"/>
                  </w:divBdr>
                  <w:divsChild>
                    <w:div w:id="927616837">
                      <w:marLeft w:val="0"/>
                      <w:marRight w:val="0"/>
                      <w:marTop w:val="0"/>
                      <w:marBottom w:val="0"/>
                      <w:divBdr>
                        <w:top w:val="single" w:sz="2" w:space="0" w:color="E3E3E3"/>
                        <w:left w:val="single" w:sz="2" w:space="0" w:color="E3E3E3"/>
                        <w:bottom w:val="single" w:sz="2" w:space="0" w:color="E3E3E3"/>
                        <w:right w:val="single" w:sz="2" w:space="0" w:color="E3E3E3"/>
                      </w:divBdr>
                      <w:divsChild>
                        <w:div w:id="1420639074">
                          <w:marLeft w:val="0"/>
                          <w:marRight w:val="0"/>
                          <w:marTop w:val="0"/>
                          <w:marBottom w:val="0"/>
                          <w:divBdr>
                            <w:top w:val="single" w:sz="2" w:space="0" w:color="E3E3E3"/>
                            <w:left w:val="single" w:sz="2" w:space="0" w:color="E3E3E3"/>
                            <w:bottom w:val="single" w:sz="2" w:space="0" w:color="E3E3E3"/>
                            <w:right w:val="single" w:sz="2" w:space="0" w:color="E3E3E3"/>
                          </w:divBdr>
                          <w:divsChild>
                            <w:div w:id="1811633297">
                              <w:marLeft w:val="0"/>
                              <w:marRight w:val="0"/>
                              <w:marTop w:val="0"/>
                              <w:marBottom w:val="0"/>
                              <w:divBdr>
                                <w:top w:val="single" w:sz="2" w:space="0" w:color="E3E3E3"/>
                                <w:left w:val="single" w:sz="2" w:space="0" w:color="E3E3E3"/>
                                <w:bottom w:val="single" w:sz="2" w:space="0" w:color="E3E3E3"/>
                                <w:right w:val="single" w:sz="2" w:space="0" w:color="E3E3E3"/>
                              </w:divBdr>
                              <w:divsChild>
                                <w:div w:id="1682273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8088800">
                                      <w:marLeft w:val="0"/>
                                      <w:marRight w:val="0"/>
                                      <w:marTop w:val="0"/>
                                      <w:marBottom w:val="0"/>
                                      <w:divBdr>
                                        <w:top w:val="single" w:sz="2" w:space="0" w:color="E3E3E3"/>
                                        <w:left w:val="single" w:sz="2" w:space="0" w:color="E3E3E3"/>
                                        <w:bottom w:val="single" w:sz="2" w:space="0" w:color="E3E3E3"/>
                                        <w:right w:val="single" w:sz="2" w:space="0" w:color="E3E3E3"/>
                                      </w:divBdr>
                                      <w:divsChild>
                                        <w:div w:id="555160820">
                                          <w:marLeft w:val="0"/>
                                          <w:marRight w:val="0"/>
                                          <w:marTop w:val="0"/>
                                          <w:marBottom w:val="0"/>
                                          <w:divBdr>
                                            <w:top w:val="single" w:sz="2" w:space="0" w:color="E3E3E3"/>
                                            <w:left w:val="single" w:sz="2" w:space="0" w:color="E3E3E3"/>
                                            <w:bottom w:val="single" w:sz="2" w:space="0" w:color="E3E3E3"/>
                                            <w:right w:val="single" w:sz="2" w:space="0" w:color="E3E3E3"/>
                                          </w:divBdr>
                                          <w:divsChild>
                                            <w:div w:id="648747794">
                                              <w:marLeft w:val="0"/>
                                              <w:marRight w:val="0"/>
                                              <w:marTop w:val="0"/>
                                              <w:marBottom w:val="0"/>
                                              <w:divBdr>
                                                <w:top w:val="single" w:sz="2" w:space="0" w:color="E3E3E3"/>
                                                <w:left w:val="single" w:sz="2" w:space="0" w:color="E3E3E3"/>
                                                <w:bottom w:val="single" w:sz="2" w:space="0" w:color="E3E3E3"/>
                                                <w:right w:val="single" w:sz="2" w:space="0" w:color="E3E3E3"/>
                                              </w:divBdr>
                                              <w:divsChild>
                                                <w:div w:id="1670015038">
                                                  <w:marLeft w:val="0"/>
                                                  <w:marRight w:val="0"/>
                                                  <w:marTop w:val="0"/>
                                                  <w:marBottom w:val="0"/>
                                                  <w:divBdr>
                                                    <w:top w:val="single" w:sz="2" w:space="0" w:color="E3E3E3"/>
                                                    <w:left w:val="single" w:sz="2" w:space="0" w:color="E3E3E3"/>
                                                    <w:bottom w:val="single" w:sz="2" w:space="0" w:color="E3E3E3"/>
                                                    <w:right w:val="single" w:sz="2" w:space="0" w:color="E3E3E3"/>
                                                  </w:divBdr>
                                                  <w:divsChild>
                                                    <w:div w:id="1388919041">
                                                      <w:marLeft w:val="0"/>
                                                      <w:marRight w:val="0"/>
                                                      <w:marTop w:val="0"/>
                                                      <w:marBottom w:val="0"/>
                                                      <w:divBdr>
                                                        <w:top w:val="single" w:sz="2" w:space="0" w:color="E3E3E3"/>
                                                        <w:left w:val="single" w:sz="2" w:space="0" w:color="E3E3E3"/>
                                                        <w:bottom w:val="single" w:sz="2" w:space="0" w:color="E3E3E3"/>
                                                        <w:right w:val="single" w:sz="2" w:space="0" w:color="E3E3E3"/>
                                                      </w:divBdr>
                                                      <w:divsChild>
                                                        <w:div w:id="820969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04715424">
      <w:bodyDiv w:val="1"/>
      <w:marLeft w:val="0"/>
      <w:marRight w:val="0"/>
      <w:marTop w:val="0"/>
      <w:marBottom w:val="0"/>
      <w:divBdr>
        <w:top w:val="none" w:sz="0" w:space="0" w:color="auto"/>
        <w:left w:val="none" w:sz="0" w:space="0" w:color="auto"/>
        <w:bottom w:val="none" w:sz="0" w:space="0" w:color="auto"/>
        <w:right w:val="none" w:sz="0" w:space="0" w:color="auto"/>
      </w:divBdr>
    </w:div>
    <w:div w:id="1342733006">
      <w:bodyDiv w:val="1"/>
      <w:marLeft w:val="0"/>
      <w:marRight w:val="0"/>
      <w:marTop w:val="0"/>
      <w:marBottom w:val="0"/>
      <w:divBdr>
        <w:top w:val="none" w:sz="0" w:space="0" w:color="auto"/>
        <w:left w:val="none" w:sz="0" w:space="0" w:color="auto"/>
        <w:bottom w:val="none" w:sz="0" w:space="0" w:color="auto"/>
        <w:right w:val="none" w:sz="0" w:space="0" w:color="auto"/>
      </w:divBdr>
    </w:div>
    <w:div w:id="1553804634">
      <w:bodyDiv w:val="1"/>
      <w:marLeft w:val="0"/>
      <w:marRight w:val="0"/>
      <w:marTop w:val="0"/>
      <w:marBottom w:val="0"/>
      <w:divBdr>
        <w:top w:val="none" w:sz="0" w:space="0" w:color="auto"/>
        <w:left w:val="none" w:sz="0" w:space="0" w:color="auto"/>
        <w:bottom w:val="none" w:sz="0" w:space="0" w:color="auto"/>
        <w:right w:val="none" w:sz="0" w:space="0" w:color="auto"/>
      </w:divBdr>
    </w:div>
    <w:div w:id="1573929422">
      <w:bodyDiv w:val="1"/>
      <w:marLeft w:val="0"/>
      <w:marRight w:val="0"/>
      <w:marTop w:val="0"/>
      <w:marBottom w:val="0"/>
      <w:divBdr>
        <w:top w:val="none" w:sz="0" w:space="0" w:color="auto"/>
        <w:left w:val="none" w:sz="0" w:space="0" w:color="auto"/>
        <w:bottom w:val="none" w:sz="0" w:space="0" w:color="auto"/>
        <w:right w:val="none" w:sz="0" w:space="0" w:color="auto"/>
      </w:divBdr>
    </w:div>
    <w:div w:id="1582720612">
      <w:bodyDiv w:val="1"/>
      <w:marLeft w:val="0"/>
      <w:marRight w:val="0"/>
      <w:marTop w:val="0"/>
      <w:marBottom w:val="0"/>
      <w:divBdr>
        <w:top w:val="none" w:sz="0" w:space="0" w:color="auto"/>
        <w:left w:val="none" w:sz="0" w:space="0" w:color="auto"/>
        <w:bottom w:val="none" w:sz="0" w:space="0" w:color="auto"/>
        <w:right w:val="none" w:sz="0" w:space="0" w:color="auto"/>
      </w:divBdr>
    </w:div>
    <w:div w:id="1629506581">
      <w:bodyDiv w:val="1"/>
      <w:marLeft w:val="0"/>
      <w:marRight w:val="0"/>
      <w:marTop w:val="0"/>
      <w:marBottom w:val="0"/>
      <w:divBdr>
        <w:top w:val="none" w:sz="0" w:space="0" w:color="auto"/>
        <w:left w:val="none" w:sz="0" w:space="0" w:color="auto"/>
        <w:bottom w:val="none" w:sz="0" w:space="0" w:color="auto"/>
        <w:right w:val="none" w:sz="0" w:space="0" w:color="auto"/>
      </w:divBdr>
    </w:div>
    <w:div w:id="1845122857">
      <w:bodyDiv w:val="1"/>
      <w:marLeft w:val="0"/>
      <w:marRight w:val="0"/>
      <w:marTop w:val="0"/>
      <w:marBottom w:val="0"/>
      <w:divBdr>
        <w:top w:val="none" w:sz="0" w:space="0" w:color="auto"/>
        <w:left w:val="none" w:sz="0" w:space="0" w:color="auto"/>
        <w:bottom w:val="none" w:sz="0" w:space="0" w:color="auto"/>
        <w:right w:val="none" w:sz="0" w:space="0" w:color="auto"/>
      </w:divBdr>
    </w:div>
    <w:div w:id="1900243197">
      <w:bodyDiv w:val="1"/>
      <w:marLeft w:val="0"/>
      <w:marRight w:val="0"/>
      <w:marTop w:val="0"/>
      <w:marBottom w:val="0"/>
      <w:divBdr>
        <w:top w:val="none" w:sz="0" w:space="0" w:color="auto"/>
        <w:left w:val="none" w:sz="0" w:space="0" w:color="auto"/>
        <w:bottom w:val="none" w:sz="0" w:space="0" w:color="auto"/>
        <w:right w:val="none" w:sz="0" w:space="0" w:color="auto"/>
      </w:divBdr>
    </w:div>
    <w:div w:id="1930695390">
      <w:bodyDiv w:val="1"/>
      <w:marLeft w:val="0"/>
      <w:marRight w:val="0"/>
      <w:marTop w:val="0"/>
      <w:marBottom w:val="0"/>
      <w:divBdr>
        <w:top w:val="none" w:sz="0" w:space="0" w:color="auto"/>
        <w:left w:val="none" w:sz="0" w:space="0" w:color="auto"/>
        <w:bottom w:val="none" w:sz="0" w:space="0" w:color="auto"/>
        <w:right w:val="none" w:sz="0" w:space="0" w:color="auto"/>
      </w:divBdr>
    </w:div>
    <w:div w:id="1978488257">
      <w:bodyDiv w:val="1"/>
      <w:marLeft w:val="0"/>
      <w:marRight w:val="0"/>
      <w:marTop w:val="0"/>
      <w:marBottom w:val="0"/>
      <w:divBdr>
        <w:top w:val="none" w:sz="0" w:space="0" w:color="auto"/>
        <w:left w:val="none" w:sz="0" w:space="0" w:color="auto"/>
        <w:bottom w:val="none" w:sz="0" w:space="0" w:color="auto"/>
        <w:right w:val="none" w:sz="0" w:space="0" w:color="auto"/>
      </w:divBdr>
    </w:div>
    <w:div w:id="2050916087">
      <w:bodyDiv w:val="1"/>
      <w:marLeft w:val="0"/>
      <w:marRight w:val="0"/>
      <w:marTop w:val="0"/>
      <w:marBottom w:val="0"/>
      <w:divBdr>
        <w:top w:val="none" w:sz="0" w:space="0" w:color="auto"/>
        <w:left w:val="none" w:sz="0" w:space="0" w:color="auto"/>
        <w:bottom w:val="none" w:sz="0" w:space="0" w:color="auto"/>
        <w:right w:val="none" w:sz="0" w:space="0" w:color="auto"/>
      </w:divBdr>
    </w:div>
    <w:div w:id="2064596256">
      <w:bodyDiv w:val="1"/>
      <w:marLeft w:val="0"/>
      <w:marRight w:val="0"/>
      <w:marTop w:val="0"/>
      <w:marBottom w:val="0"/>
      <w:divBdr>
        <w:top w:val="none" w:sz="0" w:space="0" w:color="auto"/>
        <w:left w:val="none" w:sz="0" w:space="0" w:color="auto"/>
        <w:bottom w:val="none" w:sz="0" w:space="0" w:color="auto"/>
        <w:right w:val="none" w:sz="0" w:space="0" w:color="auto"/>
      </w:divBdr>
    </w:div>
    <w:div w:id="2092044613">
      <w:bodyDiv w:val="1"/>
      <w:marLeft w:val="0"/>
      <w:marRight w:val="0"/>
      <w:marTop w:val="0"/>
      <w:marBottom w:val="0"/>
      <w:divBdr>
        <w:top w:val="none" w:sz="0" w:space="0" w:color="auto"/>
        <w:left w:val="none" w:sz="0" w:space="0" w:color="auto"/>
        <w:bottom w:val="none" w:sz="0" w:space="0" w:color="auto"/>
        <w:right w:val="none" w:sz="0" w:space="0" w:color="auto"/>
      </w:divBdr>
    </w:div>
    <w:div w:id="2107921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0F2B0572AA3C54AAD2376A1853244C1" ma:contentTypeVersion="5" ma:contentTypeDescription="Crie um novo documento." ma:contentTypeScope="" ma:versionID="084284a7d65c88726ee0482f3df05a81">
  <xsd:schema xmlns:xsd="http://www.w3.org/2001/XMLSchema" xmlns:xs="http://www.w3.org/2001/XMLSchema" xmlns:p="http://schemas.microsoft.com/office/2006/metadata/properties" xmlns:ns3="fbc6b005-b9c2-4949-8ac5-c6a1f8e10288" targetNamespace="http://schemas.microsoft.com/office/2006/metadata/properties" ma:root="true" ma:fieldsID="d8c7ab837475ec5ef00ab7783eaf184d" ns3:_="">
    <xsd:import namespace="fbc6b005-b9c2-4949-8ac5-c6a1f8e1028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6b005-b9c2-4949-8ac5-c6a1f8e102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c6b005-b9c2-4949-8ac5-c6a1f8e1028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533A-9FD6-4A61-8D8A-02E80158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6b005-b9c2-4949-8ac5-c6a1f8e10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C7F13B-5165-4C02-B1FA-9F8530868DC3}">
  <ds:schemaRefs>
    <ds:schemaRef ds:uri="http://schemas.microsoft.com/sharepoint/v3/contenttype/forms"/>
  </ds:schemaRefs>
</ds:datastoreItem>
</file>

<file path=customXml/itemProps3.xml><?xml version="1.0" encoding="utf-8"?>
<ds:datastoreItem xmlns:ds="http://schemas.openxmlformats.org/officeDocument/2006/customXml" ds:itemID="{1803BDD4-F3D4-4077-AD20-C71F6DD60413}">
  <ds:schemaRefs>
    <ds:schemaRef ds:uri="http://schemas.microsoft.com/office/2006/metadata/properties"/>
    <ds:schemaRef ds:uri="http://schemas.microsoft.com/office/infopath/2007/PartnerControls"/>
    <ds:schemaRef ds:uri="fbc6b005-b9c2-4949-8ac5-c6a1f8e10288"/>
  </ds:schemaRefs>
</ds:datastoreItem>
</file>

<file path=customXml/itemProps4.xml><?xml version="1.0" encoding="utf-8"?>
<ds:datastoreItem xmlns:ds="http://schemas.openxmlformats.org/officeDocument/2006/customXml" ds:itemID="{2A33CF2A-71B4-4AFB-A5AA-ED693D4F1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13953</Words>
  <Characters>75348</Characters>
  <Application>Microsoft Office Word</Application>
  <DocSecurity>0</DocSecurity>
  <Lines>627</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Carvalho Miranda</dc:creator>
  <cp:keywords/>
  <dc:description/>
  <cp:lastModifiedBy>Victor Valerio</cp:lastModifiedBy>
  <cp:revision>66</cp:revision>
  <dcterms:created xsi:type="dcterms:W3CDTF">2024-05-27T04:02:00Z</dcterms:created>
  <dcterms:modified xsi:type="dcterms:W3CDTF">2024-11-18T15:34:00Z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75747d77-ba7f-4ced-bcdf-d7f373d9bd04</vt:lpwstr>
  </property>
  <property fmtid="{D5CDD505-2E9C-101B-9397-08002B2CF9AE}" pid="3" name="ContentTypeId">
    <vt:lpwstr>0x01010000F2B0572AA3C54AAD2376A1853244C1</vt:lpwstr>
  </property>
</Properties>
</file>