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B376E" w14:textId="641926EB" w:rsidR="00C56EC9" w:rsidRDefault="006E1735" w:rsidP="001E5598">
      <w:pPr>
        <w:jc w:val="both"/>
        <w:rPr>
          <w:b/>
          <w:bCs/>
        </w:rPr>
      </w:pPr>
      <w:r>
        <w:rPr>
          <w:b/>
          <w:bCs/>
        </w:rPr>
        <w:t>Contexto:</w:t>
      </w:r>
    </w:p>
    <w:p w14:paraId="114BC9A0" w14:textId="77777777" w:rsidR="006E1735" w:rsidRPr="006E1735" w:rsidRDefault="006E1735" w:rsidP="006E1735">
      <w:pPr>
        <w:jc w:val="both"/>
      </w:pPr>
      <w:r w:rsidRPr="006E1735">
        <w:t>O desenvolvimento sustentável é uma meta global cada vez mais urgente, especialmente em países como o Brasil, marcado por uma grande diversidade socioeconômica e ambiental, mas também por desafios persistentes de desigualdade, pobreza e degradação ambiental. Dentro desse contexto, a compreensão do progresso em direção aos Objetivos de Desenvolvimento Sustentável (ODS) em nível local torna-se crucial para informar políticas públicas e estratégias de desenvolvimento que promovam um futuro equilibrado e próspero para todas as comunidades.</w:t>
      </w:r>
    </w:p>
    <w:p w14:paraId="2382B8E6" w14:textId="77777777" w:rsidR="006E1735" w:rsidRPr="006E1735" w:rsidRDefault="006E1735" w:rsidP="006E1735">
      <w:pPr>
        <w:jc w:val="both"/>
      </w:pPr>
      <w:r w:rsidRPr="006E1735">
        <w:t>Na última década, os ODS têm se consolidado como um marco importante para orientar as políticas de desenvolvimento em todo o mundo. Os ODS foram estabelecidos pela Organização das Nações Unidas (ONU), que de acordo com Leal Filho et al. (2023), tem desempenhado um papel fundamental nos debates e nas ações para o desenvolvimento sustentável.</w:t>
      </w:r>
    </w:p>
    <w:p w14:paraId="68FC04C0" w14:textId="77777777" w:rsidR="006E1735" w:rsidRPr="006E1735" w:rsidRDefault="006E1735" w:rsidP="006E1735">
      <w:pPr>
        <w:jc w:val="both"/>
      </w:pPr>
      <w:r w:rsidRPr="006E1735">
        <w:t xml:space="preserve">A proposta da ONU é de 17 </w:t>
      </w:r>
      <w:proofErr w:type="spellStart"/>
      <w:r w:rsidRPr="006E1735">
        <w:t>ODSs</w:t>
      </w:r>
      <w:proofErr w:type="spellEnd"/>
      <w:r w:rsidRPr="006E1735">
        <w:t xml:space="preserve"> os quais são desdobrados em 169 metas que incluem uma ampla gama de questões relacionadas ao desenvolvimento sustentável (Leal Filho et al., 2023), incluindo erradicação da pobreza, saúde, educação, igualdade de gênero, energia limpa, crescimento econômico e proteção ambiental. No entanto, para que esses objetivos sejam alcançados de forma eficaz, é essencial compreender como eles se manifestam em nível local e como os recursos disponíveis são alocados para sua consecução. </w:t>
      </w:r>
    </w:p>
    <w:p w14:paraId="274F389B" w14:textId="77777777" w:rsidR="006E1735" w:rsidRPr="006E1735" w:rsidRDefault="006E1735" w:rsidP="006E1735">
      <w:pPr>
        <w:jc w:val="both"/>
      </w:pPr>
      <w:r w:rsidRPr="006E1735">
        <w:t>Desde sua criação em 2015, os 17 ODS foram reconhecidos mutuamente por todos os estados-membros da ONU como a representação do desenvolvimento sustentável. Assim, devem ser incorporados como a definição básica de desenvolvimento sustentável em metodologias de avaliação de sustentabilidade (</w:t>
      </w:r>
      <w:proofErr w:type="spellStart"/>
      <w:r w:rsidRPr="006E1735">
        <w:t>Eberling</w:t>
      </w:r>
      <w:proofErr w:type="spellEnd"/>
      <w:r w:rsidRPr="006E1735">
        <w:t xml:space="preserve">; </w:t>
      </w:r>
      <w:proofErr w:type="spellStart"/>
      <w:r w:rsidRPr="006E1735">
        <w:t>Langkau</w:t>
      </w:r>
      <w:proofErr w:type="spellEnd"/>
      <w:r w:rsidRPr="006E1735">
        <w:t>, 2023).</w:t>
      </w:r>
    </w:p>
    <w:p w14:paraId="253B59A4" w14:textId="77777777" w:rsidR="006E1735" w:rsidRDefault="006E1735" w:rsidP="006E1735">
      <w:pPr>
        <w:jc w:val="both"/>
      </w:pPr>
      <w:r w:rsidRPr="006E1735">
        <w:t xml:space="preserve">Os esforços nacionais para a atingir os </w:t>
      </w:r>
      <w:proofErr w:type="spellStart"/>
      <w:r w:rsidRPr="006E1735">
        <w:t>ODSs</w:t>
      </w:r>
      <w:proofErr w:type="spellEnd"/>
      <w:r w:rsidRPr="006E1735">
        <w:t xml:space="preserve"> resultam a superação de vários obstáculos, como a priorização de objetivos e metas, a adaptação de estratégias e políticas do país para que estejam em conformidade com os </w:t>
      </w:r>
      <w:proofErr w:type="spellStart"/>
      <w:r w:rsidRPr="006E1735">
        <w:t>ODSs</w:t>
      </w:r>
      <w:proofErr w:type="spellEnd"/>
      <w:r w:rsidRPr="006E1735">
        <w:t>, o gerenciamento de compensações e a capitalização das sinergias entre os objetivos (</w:t>
      </w:r>
      <w:proofErr w:type="spellStart"/>
      <w:r w:rsidRPr="006E1735">
        <w:t>Aly</w:t>
      </w:r>
      <w:proofErr w:type="spellEnd"/>
      <w:r w:rsidRPr="006E1735">
        <w:t xml:space="preserve"> et al., 2022).</w:t>
      </w:r>
    </w:p>
    <w:p w14:paraId="2FA3D19C" w14:textId="77777777" w:rsidR="008D11E4" w:rsidRDefault="008D11E4" w:rsidP="006E1735">
      <w:pPr>
        <w:jc w:val="both"/>
      </w:pPr>
    </w:p>
    <w:p w14:paraId="1D47FB7E" w14:textId="4793226D" w:rsidR="008D11E4" w:rsidRDefault="008D11E4" w:rsidP="006E1735">
      <w:pPr>
        <w:jc w:val="both"/>
      </w:pPr>
      <w:proofErr w:type="spellStart"/>
      <w:r>
        <w:t>Chagpt</w:t>
      </w:r>
      <w:proofErr w:type="spellEnd"/>
    </w:p>
    <w:p w14:paraId="3151F705" w14:textId="77777777" w:rsidR="008D11E4" w:rsidRPr="008D11E4" w:rsidRDefault="008D11E4" w:rsidP="008D11E4">
      <w:pPr>
        <w:jc w:val="both"/>
      </w:pPr>
      <w:r w:rsidRPr="008D11E4">
        <w:t>A promoção dos Objetivos de Desenvolvimento Sustentável (ODS) em nível municipal apresenta desafios significativos, especialmente em um país como o Brasil, caracterizado por grandes disparidades regionais e socioeconômicas. Os gestores municipais frequentemente enfrentam a difícil tarefa de priorizar políticas públicas em um cenário de recursos limitados, ao mesmo tempo que lidam com a complexidade e a interdependência das metas estabelecidas pelos ODS.</w:t>
      </w:r>
    </w:p>
    <w:p w14:paraId="307E4020" w14:textId="77777777" w:rsidR="008D11E4" w:rsidRPr="008D11E4" w:rsidRDefault="008D11E4" w:rsidP="008D11E4">
      <w:pPr>
        <w:jc w:val="both"/>
      </w:pPr>
      <w:r w:rsidRPr="008D11E4">
        <w:t>Cada município possui características únicas, que influenciam diretamente a capacidade de planejar e implementar ações eficazes para alcançar os ODS. Diferenças na disponibilidade de recursos financeiros, capacidade técnica e administrativa, bem como contextos locais variados, como densidade populacional, infraestrutura e características ambientais, tornam a gestão ainda mais desafiadora. Essas disparidades dificultam a adaptação de estratégias nacionais ou estaduais às realidades locais, muitas vezes resultando em alocação ineficiente de recursos ou em ações descoordenadas.</w:t>
      </w:r>
    </w:p>
    <w:p w14:paraId="766EE623" w14:textId="77777777" w:rsidR="008D11E4" w:rsidRPr="008D11E4" w:rsidRDefault="008D11E4" w:rsidP="008D11E4">
      <w:pPr>
        <w:jc w:val="both"/>
      </w:pPr>
      <w:r w:rsidRPr="008D11E4">
        <w:lastRenderedPageBreak/>
        <w:t>Além disso, as metas abrangentes dos ODS exigem abordagens integradas, capazes de abordar múltiplas dimensões do desenvolvimento sustentável simultaneamente. Contudo, essa integração muitas vezes esbarra na fragmentação das políticas públicas e na dificuldade de coordenação entre diferentes setores e níveis de governo. A ausência de dados locais consistentes e atualizados também compromete a capacidade dos municípios de monitorar seu progresso em direção às metas, dificultando a formulação de estratégias baseadas em evidências.</w:t>
      </w:r>
    </w:p>
    <w:p w14:paraId="177FB6BE" w14:textId="77777777" w:rsidR="008D11E4" w:rsidRPr="008D11E4" w:rsidRDefault="008D11E4" w:rsidP="008D11E4">
      <w:pPr>
        <w:jc w:val="both"/>
      </w:pPr>
      <w:r w:rsidRPr="008D11E4">
        <w:t>Por fim, a necessidade de alinhar investimentos públicos com as prioridades dos ODS agrava o desafio da gestão municipal. Os gestores precisam equilibrar demandas imediatas da população, como saúde e educação, com objetivos de longo prazo, como mudanças climáticas e preservação ambiental, muitas vezes sem acesso a financiamento adequado ou mecanismos de suporte técnico.</w:t>
      </w:r>
    </w:p>
    <w:p w14:paraId="19924B67" w14:textId="77777777" w:rsidR="008D11E4" w:rsidRPr="008D11E4" w:rsidRDefault="008D11E4" w:rsidP="008D11E4">
      <w:pPr>
        <w:jc w:val="both"/>
      </w:pPr>
      <w:r w:rsidRPr="008D11E4">
        <w:t>Nesse contexto, a análise sistemática da eficiência do gasto público municipal, como a realizada neste relatório, assume um papel crucial. Ela fornece subsídios para que gestores possam identificar melhores práticas, otimizar recursos e alinhar suas políticas às metas dos ODS, promovendo um desenvolvimento sustentável que seja tanto efetivo quanto equitativo.</w:t>
      </w:r>
    </w:p>
    <w:p w14:paraId="0CC36A04" w14:textId="77777777" w:rsidR="008D11E4" w:rsidRDefault="008D11E4" w:rsidP="006E1735">
      <w:pPr>
        <w:jc w:val="both"/>
      </w:pPr>
    </w:p>
    <w:p w14:paraId="307B77AC" w14:textId="77777777" w:rsidR="006D3EDB" w:rsidRDefault="006D3EDB" w:rsidP="006E1735">
      <w:pPr>
        <w:jc w:val="both"/>
      </w:pPr>
    </w:p>
    <w:p w14:paraId="30FDFB3F" w14:textId="5C6F4EE7" w:rsidR="006D3EDB" w:rsidRDefault="006D3EDB" w:rsidP="006E1735">
      <w:pPr>
        <w:jc w:val="both"/>
      </w:pPr>
      <w:r>
        <w:t>Modelo DEA Proposto</w:t>
      </w:r>
    </w:p>
    <w:p w14:paraId="7DD7C5EC" w14:textId="77777777" w:rsidR="006D3EDB" w:rsidRPr="006E1735" w:rsidRDefault="006D3EDB" w:rsidP="006E1735">
      <w:pPr>
        <w:jc w:val="both"/>
      </w:pPr>
    </w:p>
    <w:p w14:paraId="191C6C74" w14:textId="3F226A24" w:rsidR="00C56EC9" w:rsidRDefault="00C56EC9" w:rsidP="001A7E06">
      <w:pPr>
        <w:jc w:val="center"/>
        <w:rPr>
          <w:b/>
          <w:bCs/>
        </w:rPr>
      </w:pPr>
      <w:r w:rsidRPr="00C56EC9">
        <w:rPr>
          <w:b/>
          <w:bCs/>
          <w:noProof/>
        </w:rPr>
        <w:drawing>
          <wp:inline distT="0" distB="0" distL="0" distR="0" wp14:anchorId="264EC4AA" wp14:editId="6E6756EA">
            <wp:extent cx="5400040" cy="2133600"/>
            <wp:effectExtent l="0" t="0" r="0" b="0"/>
            <wp:docPr id="1332504471"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504471" name="Imagem 1" descr="Uma imagem contendo Gráfico&#10;&#10;Descrição gerada automaticamente"/>
                    <pic:cNvPicPr/>
                  </pic:nvPicPr>
                  <pic:blipFill>
                    <a:blip r:embed="rId5"/>
                    <a:stretch>
                      <a:fillRect/>
                    </a:stretch>
                  </pic:blipFill>
                  <pic:spPr>
                    <a:xfrm>
                      <a:off x="0" y="0"/>
                      <a:ext cx="5400040" cy="2133600"/>
                    </a:xfrm>
                    <a:prstGeom prst="rect">
                      <a:avLst/>
                    </a:prstGeom>
                  </pic:spPr>
                </pic:pic>
              </a:graphicData>
            </a:graphic>
          </wp:inline>
        </w:drawing>
      </w:r>
    </w:p>
    <w:p w14:paraId="37B218BB" w14:textId="1E6FF6D4" w:rsidR="00C56EC9" w:rsidRDefault="006C6116" w:rsidP="001E5598">
      <w:pPr>
        <w:jc w:val="both"/>
        <w:rPr>
          <w:b/>
          <w:bCs/>
        </w:rPr>
      </w:pPr>
      <w:hyperlink r:id="rId6" w:history="1">
        <w:r w:rsidRPr="002207DF">
          <w:rPr>
            <w:rStyle w:val="Hyperlink"/>
            <w:b/>
            <w:bCs/>
          </w:rPr>
          <w:t>https://brasil.un.org/pt-br/sdgs/3</w:t>
        </w:r>
      </w:hyperlink>
    </w:p>
    <w:p w14:paraId="0C836074" w14:textId="6467FFA0" w:rsidR="006C6116" w:rsidRDefault="006C6116" w:rsidP="001E5598">
      <w:pPr>
        <w:jc w:val="both"/>
        <w:rPr>
          <w:b/>
          <w:bCs/>
        </w:rPr>
      </w:pPr>
      <w:hyperlink r:id="rId7" w:history="1">
        <w:r w:rsidRPr="002207DF">
          <w:rPr>
            <w:rStyle w:val="Hyperlink"/>
            <w:b/>
            <w:bCs/>
          </w:rPr>
          <w:t>https://www.cidadessustentaveis.org.br/inicial/home</w:t>
        </w:r>
      </w:hyperlink>
    </w:p>
    <w:p w14:paraId="50E29E56" w14:textId="3FC78C7E" w:rsidR="00C56EC9" w:rsidRPr="00C56EC9" w:rsidRDefault="00C56EC9" w:rsidP="00C56EC9">
      <w:pPr>
        <w:pStyle w:val="PargrafodaLista"/>
        <w:numPr>
          <w:ilvl w:val="0"/>
          <w:numId w:val="2"/>
        </w:numPr>
        <w:jc w:val="both"/>
        <w:rPr>
          <w:b/>
          <w:bCs/>
        </w:rPr>
      </w:pPr>
      <w:r w:rsidRPr="00C56EC9">
        <w:rPr>
          <w:b/>
          <w:bCs/>
        </w:rPr>
        <w:t xml:space="preserve">ODS 03 (Saúde e </w:t>
      </w:r>
      <w:proofErr w:type="gramStart"/>
      <w:r w:rsidRPr="00C56EC9">
        <w:rPr>
          <w:b/>
          <w:bCs/>
        </w:rPr>
        <w:t>Bem Estar</w:t>
      </w:r>
      <w:proofErr w:type="gramEnd"/>
      <w:r w:rsidRPr="00C56EC9">
        <w:rPr>
          <w:b/>
          <w:bCs/>
        </w:rPr>
        <w:t>) - Assegurar uma vida saudável e promover o bem-estar para todas e todos, em todas as idades</w:t>
      </w:r>
    </w:p>
    <w:p w14:paraId="3B074C05" w14:textId="77777777" w:rsidR="00C56EC9" w:rsidRDefault="00C56EC9" w:rsidP="00C56EC9">
      <w:pPr>
        <w:pStyle w:val="PargrafodaLista"/>
        <w:jc w:val="both"/>
      </w:pPr>
      <w:r>
        <w:t>Acidentes de trânsito</w:t>
      </w:r>
    </w:p>
    <w:p w14:paraId="21FC2EC4" w14:textId="77777777" w:rsidR="00C56EC9" w:rsidRDefault="00C56EC9" w:rsidP="00C56EC9">
      <w:pPr>
        <w:pStyle w:val="PargrafodaLista"/>
        <w:jc w:val="both"/>
      </w:pPr>
      <w:r>
        <w:t>Atropelamentos</w:t>
      </w:r>
    </w:p>
    <w:p w14:paraId="629ACB99" w14:textId="77777777" w:rsidR="00C56EC9" w:rsidRDefault="00C56EC9" w:rsidP="00C56EC9">
      <w:pPr>
        <w:pStyle w:val="PargrafodaLista"/>
        <w:jc w:val="both"/>
      </w:pPr>
      <w:r>
        <w:t>Cobertura de vacinas</w:t>
      </w:r>
    </w:p>
    <w:p w14:paraId="6781A7D6" w14:textId="77777777" w:rsidR="00C56EC9" w:rsidRDefault="00C56EC9" w:rsidP="00C56EC9">
      <w:pPr>
        <w:pStyle w:val="PargrafodaLista"/>
        <w:jc w:val="both"/>
      </w:pPr>
      <w:r>
        <w:t>Detecção de hepatite A, B, C e D</w:t>
      </w:r>
    </w:p>
    <w:p w14:paraId="7410B539" w14:textId="77777777" w:rsidR="00C56EC9" w:rsidRDefault="00C56EC9" w:rsidP="00C56EC9">
      <w:pPr>
        <w:pStyle w:val="PargrafodaLista"/>
        <w:jc w:val="both"/>
      </w:pPr>
      <w:r>
        <w:t>Gasto municipal em saúde em proporção ao gasto total em saúde</w:t>
      </w:r>
    </w:p>
    <w:p w14:paraId="40054EE8" w14:textId="77777777" w:rsidR="00C56EC9" w:rsidRDefault="00C56EC9" w:rsidP="00C56EC9">
      <w:pPr>
        <w:pStyle w:val="PargrafodaLista"/>
        <w:jc w:val="both"/>
      </w:pPr>
      <w:r>
        <w:t>Gravidez na adolescência</w:t>
      </w:r>
    </w:p>
    <w:p w14:paraId="26B0F638" w14:textId="77777777" w:rsidR="00C56EC9" w:rsidRDefault="00C56EC9" w:rsidP="00C56EC9">
      <w:pPr>
        <w:pStyle w:val="PargrafodaLista"/>
        <w:jc w:val="both"/>
      </w:pPr>
      <w:r>
        <w:lastRenderedPageBreak/>
        <w:t>Internação hospitalar por doenças crônicas</w:t>
      </w:r>
    </w:p>
    <w:p w14:paraId="6DE2974F" w14:textId="77777777" w:rsidR="00C56EC9" w:rsidRDefault="00C56EC9" w:rsidP="00C56EC9">
      <w:pPr>
        <w:pStyle w:val="PargrafodaLista"/>
        <w:jc w:val="both"/>
      </w:pPr>
      <w:r>
        <w:t>Investimento em saúde preventiva</w:t>
      </w:r>
    </w:p>
    <w:p w14:paraId="28D3B127" w14:textId="77777777" w:rsidR="00C56EC9" w:rsidRDefault="00C56EC9" w:rsidP="00C56EC9">
      <w:pPr>
        <w:pStyle w:val="PargrafodaLista"/>
        <w:jc w:val="both"/>
      </w:pPr>
      <w:r>
        <w:t>Leitos hospitalares</w:t>
      </w:r>
    </w:p>
    <w:p w14:paraId="5C3FFDF5" w14:textId="77777777" w:rsidR="00C56EC9" w:rsidRDefault="00C56EC9" w:rsidP="00C56EC9">
      <w:pPr>
        <w:pStyle w:val="PargrafodaLista"/>
        <w:jc w:val="both"/>
      </w:pPr>
      <w:r>
        <w:t>Mortalidade infantil (crianças menores de um ano)</w:t>
      </w:r>
    </w:p>
    <w:p w14:paraId="1DFE8336" w14:textId="77777777" w:rsidR="00C56EC9" w:rsidRDefault="00C56EC9" w:rsidP="00C56EC9">
      <w:pPr>
        <w:pStyle w:val="PargrafodaLista"/>
        <w:jc w:val="both"/>
      </w:pPr>
      <w:r>
        <w:t>Mortalidade materna</w:t>
      </w:r>
    </w:p>
    <w:p w14:paraId="47FC74FA" w14:textId="77777777" w:rsidR="00C56EC9" w:rsidRDefault="00C56EC9" w:rsidP="00C56EC9">
      <w:pPr>
        <w:pStyle w:val="PargrafodaLista"/>
        <w:jc w:val="both"/>
      </w:pPr>
      <w:r>
        <w:t>Mortalidade na infância (crianças menores de 5 anos de idade)</w:t>
      </w:r>
    </w:p>
    <w:p w14:paraId="3B2063CD" w14:textId="77777777" w:rsidR="00C56EC9" w:rsidRDefault="00C56EC9" w:rsidP="00C56EC9">
      <w:pPr>
        <w:pStyle w:val="PargrafodaLista"/>
        <w:jc w:val="both"/>
      </w:pPr>
      <w:r>
        <w:t>Mortalidade neonatal (crianças de 0 a 27 dias)</w:t>
      </w:r>
    </w:p>
    <w:p w14:paraId="64A1862A" w14:textId="77777777" w:rsidR="00C56EC9" w:rsidRDefault="00C56EC9" w:rsidP="00C56EC9">
      <w:pPr>
        <w:pStyle w:val="PargrafodaLista"/>
        <w:jc w:val="both"/>
      </w:pPr>
      <w:r>
        <w:t>Mortalidade por Aids</w:t>
      </w:r>
    </w:p>
    <w:p w14:paraId="23A4D92B" w14:textId="77777777" w:rsidR="00C56EC9" w:rsidRDefault="00C56EC9" w:rsidP="00C56EC9">
      <w:pPr>
        <w:pStyle w:val="PargrafodaLista"/>
        <w:jc w:val="both"/>
      </w:pPr>
      <w:r>
        <w:t>Mortalidade por dengue</w:t>
      </w:r>
    </w:p>
    <w:p w14:paraId="062C0D48" w14:textId="77777777" w:rsidR="00C56EC9" w:rsidRDefault="00C56EC9" w:rsidP="00C56EC9">
      <w:pPr>
        <w:pStyle w:val="PargrafodaLista"/>
        <w:jc w:val="both"/>
      </w:pPr>
      <w:r>
        <w:t>Mortalidade por doenças crônicas não transmissíveis</w:t>
      </w:r>
    </w:p>
    <w:p w14:paraId="630641A5" w14:textId="77777777" w:rsidR="00C56EC9" w:rsidRDefault="00C56EC9" w:rsidP="00C56EC9">
      <w:pPr>
        <w:pStyle w:val="PargrafodaLista"/>
        <w:jc w:val="both"/>
      </w:pPr>
      <w:r>
        <w:t>Mortes no trânsito</w:t>
      </w:r>
    </w:p>
    <w:p w14:paraId="02114384" w14:textId="77777777" w:rsidR="00C56EC9" w:rsidRDefault="00C56EC9" w:rsidP="00C56EC9">
      <w:pPr>
        <w:pStyle w:val="PargrafodaLista"/>
        <w:jc w:val="both"/>
      </w:pPr>
      <w:r>
        <w:t>Orçamento municipal para a saúde, per capita</w:t>
      </w:r>
    </w:p>
    <w:p w14:paraId="6B57D9FF" w14:textId="77777777" w:rsidR="00C56EC9" w:rsidRDefault="00C56EC9" w:rsidP="00C56EC9">
      <w:pPr>
        <w:pStyle w:val="PargrafodaLista"/>
        <w:jc w:val="both"/>
      </w:pPr>
      <w:r>
        <w:t>Orçamento municipal para a saúde sexual e reprodutiva</w:t>
      </w:r>
    </w:p>
    <w:p w14:paraId="2452EA93" w14:textId="77777777" w:rsidR="00C56EC9" w:rsidRDefault="00C56EC9" w:rsidP="00C56EC9">
      <w:pPr>
        <w:pStyle w:val="PargrafodaLista"/>
        <w:jc w:val="both"/>
      </w:pPr>
      <w:r>
        <w:t>Pessoas infectadas com dengue</w:t>
      </w:r>
    </w:p>
    <w:p w14:paraId="1BFDD934" w14:textId="77777777" w:rsidR="00C56EC9" w:rsidRDefault="00C56EC9" w:rsidP="00C56EC9">
      <w:pPr>
        <w:pStyle w:val="PargrafodaLista"/>
        <w:jc w:val="both"/>
      </w:pPr>
      <w:r>
        <w:t>Política municipal de assistência aos usuários de drogas e dependentes de álcool</w:t>
      </w:r>
    </w:p>
    <w:p w14:paraId="74826486" w14:textId="77777777" w:rsidR="00C56EC9" w:rsidRDefault="00C56EC9" w:rsidP="00C56EC9">
      <w:pPr>
        <w:pStyle w:val="PargrafodaLista"/>
        <w:jc w:val="both"/>
      </w:pPr>
      <w:r>
        <w:t>População atendida por equipes de saúde da família</w:t>
      </w:r>
    </w:p>
    <w:p w14:paraId="49575134" w14:textId="77777777" w:rsidR="00C56EC9" w:rsidRDefault="00C56EC9" w:rsidP="00C56EC9">
      <w:pPr>
        <w:pStyle w:val="PargrafodaLista"/>
        <w:jc w:val="both"/>
      </w:pPr>
      <w:r>
        <w:t>Pré-natal insuficiente</w:t>
      </w:r>
    </w:p>
    <w:p w14:paraId="35D320B7" w14:textId="77777777" w:rsidR="00C56EC9" w:rsidRDefault="00C56EC9" w:rsidP="00C56EC9">
      <w:pPr>
        <w:pStyle w:val="PargrafodaLista"/>
        <w:jc w:val="both"/>
      </w:pPr>
      <w:r>
        <w:t>Prevalência de diabetes melito</w:t>
      </w:r>
    </w:p>
    <w:p w14:paraId="7F9AEABD" w14:textId="77777777" w:rsidR="00C56EC9" w:rsidRDefault="00C56EC9" w:rsidP="00C56EC9">
      <w:pPr>
        <w:pStyle w:val="PargrafodaLista"/>
        <w:jc w:val="both"/>
      </w:pPr>
      <w:r>
        <w:t>Unidades Básicas de Saúde</w:t>
      </w:r>
    </w:p>
    <w:p w14:paraId="6AE4BAF7" w14:textId="752C41D4" w:rsidR="00C56EC9" w:rsidRDefault="00C56EC9" w:rsidP="00C56EC9">
      <w:pPr>
        <w:pStyle w:val="PargrafodaLista"/>
        <w:jc w:val="both"/>
      </w:pPr>
      <w:r>
        <w:t>Unidades de saúde básica que oferecem serviços de planejamento familiar</w:t>
      </w:r>
    </w:p>
    <w:p w14:paraId="4853271C" w14:textId="77777777" w:rsidR="00C56EC9" w:rsidRDefault="00C56EC9" w:rsidP="00C56EC9">
      <w:pPr>
        <w:pStyle w:val="PargrafodaLista"/>
        <w:jc w:val="both"/>
      </w:pPr>
    </w:p>
    <w:p w14:paraId="6286EDE6" w14:textId="77777777" w:rsidR="00C56EC9" w:rsidRDefault="00C56EC9" w:rsidP="00C56EC9">
      <w:pPr>
        <w:pStyle w:val="PargrafodaLista"/>
        <w:jc w:val="both"/>
      </w:pPr>
    </w:p>
    <w:p w14:paraId="1FB1482E" w14:textId="771A41F5" w:rsidR="00C56EC9" w:rsidRPr="00C56EC9" w:rsidRDefault="00C56EC9" w:rsidP="00C56EC9">
      <w:pPr>
        <w:pStyle w:val="PargrafodaLista"/>
        <w:numPr>
          <w:ilvl w:val="0"/>
          <w:numId w:val="2"/>
        </w:numPr>
        <w:jc w:val="both"/>
        <w:rPr>
          <w:b/>
          <w:bCs/>
        </w:rPr>
      </w:pPr>
      <w:r w:rsidRPr="00C56EC9">
        <w:rPr>
          <w:b/>
          <w:bCs/>
        </w:rPr>
        <w:t>ODS 04 (Educação de Qualidade) - Garantir o acesso à educação inclusiva, de qualidade e equitativa, e promover oportunidades de aprendizagem ao longo da vida para todos</w:t>
      </w:r>
    </w:p>
    <w:p w14:paraId="1351FD84" w14:textId="77777777" w:rsidR="00C56EC9" w:rsidRDefault="00C56EC9" w:rsidP="00C56EC9">
      <w:pPr>
        <w:pStyle w:val="PargrafodaLista"/>
        <w:jc w:val="both"/>
      </w:pPr>
      <w:r>
        <w:t>Acervo de livros infanto-juvenis</w:t>
      </w:r>
    </w:p>
    <w:p w14:paraId="4B7772F7" w14:textId="77777777" w:rsidR="00C56EC9" w:rsidRDefault="00C56EC9" w:rsidP="00C56EC9">
      <w:pPr>
        <w:pStyle w:val="PargrafodaLista"/>
        <w:jc w:val="both"/>
      </w:pPr>
      <w:r>
        <w:t>Acervo de livros para adultos</w:t>
      </w:r>
    </w:p>
    <w:p w14:paraId="4082488B" w14:textId="77777777" w:rsidR="00C56EC9" w:rsidRDefault="00C56EC9" w:rsidP="00C56EC9">
      <w:pPr>
        <w:pStyle w:val="PargrafodaLista"/>
        <w:jc w:val="both"/>
      </w:pPr>
      <w:r>
        <w:t>Acesso à internet nas escolas dos ensinos fundamental e médio</w:t>
      </w:r>
    </w:p>
    <w:p w14:paraId="6125DC07" w14:textId="77777777" w:rsidR="00C56EC9" w:rsidRDefault="00C56EC9" w:rsidP="00C56EC9">
      <w:pPr>
        <w:pStyle w:val="PargrafodaLista"/>
        <w:jc w:val="both"/>
      </w:pPr>
      <w:r>
        <w:t>Adequação idade/ano no Ensino Fundamental</w:t>
      </w:r>
    </w:p>
    <w:p w14:paraId="0476E917" w14:textId="77777777" w:rsidR="00C56EC9" w:rsidRDefault="00C56EC9" w:rsidP="00C56EC9">
      <w:pPr>
        <w:pStyle w:val="PargrafodaLista"/>
        <w:jc w:val="both"/>
      </w:pPr>
      <w:r>
        <w:t>Alunos com acesso à quadra esportiva (coberta e descoberta)</w:t>
      </w:r>
    </w:p>
    <w:p w14:paraId="60D8C416" w14:textId="77777777" w:rsidR="00C56EC9" w:rsidRDefault="00C56EC9" w:rsidP="00C56EC9">
      <w:pPr>
        <w:pStyle w:val="PargrafodaLista"/>
        <w:jc w:val="both"/>
      </w:pPr>
      <w:r>
        <w:t>Alunos com deficiência na rede regular de ensino</w:t>
      </w:r>
    </w:p>
    <w:p w14:paraId="76E76AB0" w14:textId="77777777" w:rsidR="00C56EC9" w:rsidRDefault="00C56EC9" w:rsidP="00C56EC9">
      <w:pPr>
        <w:pStyle w:val="PargrafodaLista"/>
        <w:jc w:val="both"/>
      </w:pPr>
      <w:r>
        <w:t>Alunos, professores e funcionários vítimas de violência no ambiente escolar</w:t>
      </w:r>
    </w:p>
    <w:p w14:paraId="26F4D4F4" w14:textId="77777777" w:rsidR="00C56EC9" w:rsidRDefault="00C56EC9" w:rsidP="00C56EC9">
      <w:pPr>
        <w:pStyle w:val="PargrafodaLista"/>
        <w:jc w:val="both"/>
      </w:pPr>
      <w:r>
        <w:t>Analfabetismo funcional da população</w:t>
      </w:r>
    </w:p>
    <w:p w14:paraId="199A6797" w14:textId="77777777" w:rsidR="00C56EC9" w:rsidRDefault="00C56EC9" w:rsidP="00C56EC9">
      <w:pPr>
        <w:pStyle w:val="PargrafodaLista"/>
        <w:jc w:val="both"/>
      </w:pPr>
      <w:r>
        <w:t>Analfabetismo na população com 15 anos ou mais</w:t>
      </w:r>
    </w:p>
    <w:p w14:paraId="5384C241" w14:textId="77777777" w:rsidR="00C56EC9" w:rsidRDefault="00C56EC9" w:rsidP="00C56EC9">
      <w:pPr>
        <w:pStyle w:val="PargrafodaLista"/>
        <w:jc w:val="both"/>
      </w:pPr>
      <w:r>
        <w:t>Campanhas de educação cidadã</w:t>
      </w:r>
    </w:p>
    <w:p w14:paraId="271D0C82" w14:textId="77777777" w:rsidR="00C56EC9" w:rsidRDefault="00C56EC9" w:rsidP="00C56EC9">
      <w:pPr>
        <w:pStyle w:val="PargrafodaLista"/>
        <w:jc w:val="both"/>
      </w:pPr>
      <w:r>
        <w:t>Centros culturais, casas e espaços de cultura</w:t>
      </w:r>
    </w:p>
    <w:p w14:paraId="2075A95A" w14:textId="77777777" w:rsidR="00C56EC9" w:rsidRDefault="00C56EC9" w:rsidP="00C56EC9">
      <w:pPr>
        <w:pStyle w:val="PargrafodaLista"/>
        <w:jc w:val="both"/>
      </w:pPr>
      <w:r>
        <w:t>Crianças e jovens de 4 a 17 anos na escola</w:t>
      </w:r>
    </w:p>
    <w:p w14:paraId="5CEE982B" w14:textId="77777777" w:rsidR="00C56EC9" w:rsidRDefault="00C56EC9" w:rsidP="00C56EC9">
      <w:pPr>
        <w:pStyle w:val="PargrafodaLista"/>
        <w:jc w:val="both"/>
      </w:pPr>
      <w:r>
        <w:t>Crianças plenamente alfabetizadas até os 8 anos de idade</w:t>
      </w:r>
    </w:p>
    <w:p w14:paraId="4850857C" w14:textId="77777777" w:rsidR="00C56EC9" w:rsidRDefault="00C56EC9" w:rsidP="00C56EC9">
      <w:pPr>
        <w:pStyle w:val="PargrafodaLista"/>
        <w:jc w:val="both"/>
      </w:pPr>
      <w:r>
        <w:t>Demanda atendida de vagas na pré-escola</w:t>
      </w:r>
    </w:p>
    <w:p w14:paraId="541DB40C" w14:textId="77777777" w:rsidR="00C56EC9" w:rsidRDefault="00C56EC9" w:rsidP="00C56EC9">
      <w:pPr>
        <w:pStyle w:val="PargrafodaLista"/>
        <w:jc w:val="both"/>
      </w:pPr>
      <w:r>
        <w:t>Demanda atendida de vagas no ensino fundamental</w:t>
      </w:r>
    </w:p>
    <w:p w14:paraId="12910D93" w14:textId="77777777" w:rsidR="00C56EC9" w:rsidRDefault="00C56EC9" w:rsidP="00C56EC9">
      <w:pPr>
        <w:pStyle w:val="PargrafodaLista"/>
        <w:jc w:val="both"/>
      </w:pPr>
      <w:r>
        <w:t>Demanda atendida de vagas no ensino médio</w:t>
      </w:r>
    </w:p>
    <w:p w14:paraId="61C27261" w14:textId="77777777" w:rsidR="00C56EC9" w:rsidRDefault="00C56EC9" w:rsidP="00C56EC9">
      <w:pPr>
        <w:pStyle w:val="PargrafodaLista"/>
        <w:jc w:val="both"/>
      </w:pPr>
      <w:r>
        <w:t>Demanda atendida em creches</w:t>
      </w:r>
    </w:p>
    <w:p w14:paraId="7BAAD2FE" w14:textId="77777777" w:rsidR="00C56EC9" w:rsidRDefault="00C56EC9" w:rsidP="00C56EC9">
      <w:pPr>
        <w:pStyle w:val="PargrafodaLista"/>
        <w:jc w:val="both"/>
      </w:pPr>
      <w:r>
        <w:t>Diversidade sociocultural no ensino municipal</w:t>
      </w:r>
    </w:p>
    <w:p w14:paraId="636D5FB8" w14:textId="77777777" w:rsidR="00C56EC9" w:rsidRDefault="00C56EC9" w:rsidP="00C56EC9">
      <w:pPr>
        <w:pStyle w:val="PargrafodaLista"/>
        <w:jc w:val="both"/>
      </w:pPr>
      <w:r>
        <w:t>Educação de Jovens e Adultos (EJA) integrada à educação profissional</w:t>
      </w:r>
    </w:p>
    <w:p w14:paraId="75FE0303" w14:textId="77777777" w:rsidR="00C56EC9" w:rsidRDefault="00C56EC9" w:rsidP="00C56EC9">
      <w:pPr>
        <w:pStyle w:val="PargrafodaLista"/>
        <w:jc w:val="both"/>
      </w:pPr>
      <w:r>
        <w:t>Educação em tempo integral na pré-escola</w:t>
      </w:r>
    </w:p>
    <w:p w14:paraId="2CC67CE2" w14:textId="77777777" w:rsidR="00C56EC9" w:rsidRDefault="00C56EC9" w:rsidP="00C56EC9">
      <w:pPr>
        <w:pStyle w:val="PargrafodaLista"/>
        <w:jc w:val="both"/>
      </w:pPr>
      <w:r>
        <w:t>Educação em tempo integral nas creches</w:t>
      </w:r>
    </w:p>
    <w:p w14:paraId="55B1A811" w14:textId="77777777" w:rsidR="00C56EC9" w:rsidRDefault="00C56EC9" w:rsidP="00C56EC9">
      <w:pPr>
        <w:pStyle w:val="PargrafodaLista"/>
        <w:jc w:val="both"/>
      </w:pPr>
      <w:r>
        <w:t>Educação em tempo integral no Ensino Fundamental – anos finais</w:t>
      </w:r>
    </w:p>
    <w:p w14:paraId="1B897656" w14:textId="77777777" w:rsidR="00C56EC9" w:rsidRDefault="00C56EC9" w:rsidP="00C56EC9">
      <w:pPr>
        <w:pStyle w:val="PargrafodaLista"/>
        <w:jc w:val="both"/>
      </w:pPr>
      <w:r>
        <w:t>Educação em tempo integral no Ensino Fundamental – anos iniciais</w:t>
      </w:r>
    </w:p>
    <w:p w14:paraId="038D72C6" w14:textId="77777777" w:rsidR="00C56EC9" w:rsidRDefault="00C56EC9" w:rsidP="00C56EC9">
      <w:pPr>
        <w:pStyle w:val="PargrafodaLista"/>
        <w:jc w:val="both"/>
      </w:pPr>
      <w:r>
        <w:lastRenderedPageBreak/>
        <w:t>Ensino superior concluído</w:t>
      </w:r>
    </w:p>
    <w:p w14:paraId="6478CBE0" w14:textId="77777777" w:rsidR="00C56EC9" w:rsidRDefault="00C56EC9" w:rsidP="00C56EC9">
      <w:pPr>
        <w:pStyle w:val="PargrafodaLista"/>
        <w:jc w:val="both"/>
      </w:pPr>
      <w:r>
        <w:t>Escolas com conselhos ativos</w:t>
      </w:r>
    </w:p>
    <w:p w14:paraId="09324830" w14:textId="77777777" w:rsidR="00C56EC9" w:rsidRDefault="00C56EC9" w:rsidP="00C56EC9">
      <w:pPr>
        <w:pStyle w:val="PargrafodaLista"/>
        <w:jc w:val="both"/>
      </w:pPr>
      <w:r>
        <w:t>Escolas com dependências adequadas a pessoas com deficiência</w:t>
      </w:r>
    </w:p>
    <w:p w14:paraId="69081DEB" w14:textId="77777777" w:rsidR="00C56EC9" w:rsidRDefault="00C56EC9" w:rsidP="00C56EC9">
      <w:pPr>
        <w:pStyle w:val="PargrafodaLista"/>
        <w:jc w:val="both"/>
      </w:pPr>
      <w:r>
        <w:t>Escolas com recursos para Atendimento Educacional Especializado</w:t>
      </w:r>
    </w:p>
    <w:p w14:paraId="7770C152" w14:textId="77777777" w:rsidR="00C56EC9" w:rsidRDefault="00C56EC9" w:rsidP="00C56EC9">
      <w:pPr>
        <w:pStyle w:val="PargrafodaLista"/>
        <w:jc w:val="both"/>
      </w:pPr>
      <w:r>
        <w:t>Escolas com temas transversais nos parâmetros curriculares</w:t>
      </w:r>
    </w:p>
    <w:p w14:paraId="3BB557C8" w14:textId="77777777" w:rsidR="00C56EC9" w:rsidRDefault="00C56EC9" w:rsidP="00C56EC9">
      <w:pPr>
        <w:pStyle w:val="PargrafodaLista"/>
        <w:jc w:val="both"/>
      </w:pPr>
      <w:r>
        <w:t>Escolas da rede municipal que abrem aos finais de semana para a comunidade</w:t>
      </w:r>
    </w:p>
    <w:p w14:paraId="36F56A33" w14:textId="77777777" w:rsidR="00C56EC9" w:rsidRDefault="00C56EC9" w:rsidP="00C56EC9">
      <w:pPr>
        <w:pStyle w:val="PargrafodaLista"/>
        <w:jc w:val="both"/>
      </w:pPr>
      <w:r>
        <w:t>Escolas públicas com esporte educacional no turno obrigatório</w:t>
      </w:r>
    </w:p>
    <w:p w14:paraId="7FF7F87F" w14:textId="77777777" w:rsidR="00C56EC9" w:rsidRDefault="00C56EC9" w:rsidP="00C56EC9">
      <w:pPr>
        <w:pStyle w:val="PargrafodaLista"/>
        <w:jc w:val="both"/>
      </w:pPr>
      <w:r>
        <w:t>Índice de Desenvolvimento da Educação Básica (IDEB) - anos finais</w:t>
      </w:r>
    </w:p>
    <w:p w14:paraId="67051566" w14:textId="77777777" w:rsidR="00C56EC9" w:rsidRDefault="00C56EC9" w:rsidP="00C56EC9">
      <w:pPr>
        <w:pStyle w:val="PargrafodaLista"/>
        <w:jc w:val="both"/>
      </w:pPr>
      <w:r>
        <w:t>Índice de Desenvolvimento da Educação Básica (IDEB) - anos iniciais</w:t>
      </w:r>
    </w:p>
    <w:p w14:paraId="4912CE3C" w14:textId="77777777" w:rsidR="00C56EC9" w:rsidRDefault="00C56EC9" w:rsidP="00C56EC9">
      <w:pPr>
        <w:pStyle w:val="PargrafodaLista"/>
        <w:jc w:val="both"/>
      </w:pPr>
      <w:r>
        <w:t>Jovens com ensino médio concluído até os 19 anos de idade</w:t>
      </w:r>
    </w:p>
    <w:p w14:paraId="717EA803" w14:textId="77777777" w:rsidR="00C56EC9" w:rsidRDefault="00C56EC9" w:rsidP="00C56EC9">
      <w:pPr>
        <w:pStyle w:val="PargrafodaLista"/>
        <w:jc w:val="both"/>
      </w:pPr>
      <w:r>
        <w:t>Professores com formação em nível superior</w:t>
      </w:r>
    </w:p>
    <w:p w14:paraId="23008197" w14:textId="77777777" w:rsidR="00C56EC9" w:rsidRDefault="00C56EC9" w:rsidP="00C56EC9">
      <w:pPr>
        <w:pStyle w:val="PargrafodaLista"/>
        <w:jc w:val="both"/>
      </w:pPr>
      <w:r>
        <w:t>Professores com licenciatura</w:t>
      </w:r>
    </w:p>
    <w:p w14:paraId="65783321" w14:textId="77777777" w:rsidR="00C56EC9" w:rsidRDefault="00C56EC9" w:rsidP="00C56EC9">
      <w:pPr>
        <w:pStyle w:val="PargrafodaLista"/>
        <w:jc w:val="both"/>
      </w:pPr>
      <w:r>
        <w:t>Professores da educação básica com formação em educação especial</w:t>
      </w:r>
    </w:p>
    <w:p w14:paraId="4F4E5872" w14:textId="77777777" w:rsidR="00C56EC9" w:rsidRDefault="00C56EC9" w:rsidP="00C56EC9">
      <w:pPr>
        <w:pStyle w:val="PargrafodaLista"/>
        <w:jc w:val="both"/>
      </w:pPr>
      <w:r>
        <w:t>Prova Brasil - Língua portuguesa</w:t>
      </w:r>
    </w:p>
    <w:p w14:paraId="0BA3F6FE" w14:textId="77777777" w:rsidR="00C56EC9" w:rsidRDefault="00C56EC9" w:rsidP="00C56EC9">
      <w:pPr>
        <w:pStyle w:val="PargrafodaLista"/>
        <w:jc w:val="both"/>
      </w:pPr>
      <w:r>
        <w:t>Prova Brasil - Matemática</w:t>
      </w:r>
    </w:p>
    <w:p w14:paraId="2C471F21" w14:textId="77777777" w:rsidR="00C56EC9" w:rsidRDefault="00C56EC9" w:rsidP="00C56EC9">
      <w:pPr>
        <w:pStyle w:val="PargrafodaLista"/>
        <w:jc w:val="both"/>
      </w:pPr>
      <w:r>
        <w:t>Razão entre as taxas de escolarização por gênero</w:t>
      </w:r>
    </w:p>
    <w:p w14:paraId="3F81F8F3" w14:textId="77777777" w:rsidR="00C56EC9" w:rsidRDefault="00C56EC9" w:rsidP="00C56EC9">
      <w:pPr>
        <w:pStyle w:val="PargrafodaLista"/>
        <w:jc w:val="both"/>
      </w:pPr>
      <w:r>
        <w:t>Razão entre o número de alunos e professores na pré-escola</w:t>
      </w:r>
    </w:p>
    <w:p w14:paraId="78385273" w14:textId="77777777" w:rsidR="00C56EC9" w:rsidRDefault="00C56EC9" w:rsidP="00C56EC9">
      <w:pPr>
        <w:pStyle w:val="PargrafodaLista"/>
        <w:jc w:val="both"/>
      </w:pPr>
      <w:r>
        <w:t>Razão entre o número de alunos e professores no ensino fundamental</w:t>
      </w:r>
    </w:p>
    <w:p w14:paraId="41418E80" w14:textId="23BFED41" w:rsidR="00C56EC9" w:rsidRDefault="00C56EC9" w:rsidP="00C56EC9">
      <w:pPr>
        <w:pStyle w:val="PargrafodaLista"/>
        <w:jc w:val="both"/>
      </w:pPr>
      <w:r>
        <w:t>Razão entre o número de alunos e professores no ensino médio</w:t>
      </w:r>
    </w:p>
    <w:p w14:paraId="4F57DE0D" w14:textId="77777777" w:rsidR="00C56EC9" w:rsidRDefault="00C56EC9" w:rsidP="00C56EC9">
      <w:pPr>
        <w:pStyle w:val="PargrafodaLista"/>
        <w:jc w:val="both"/>
      </w:pPr>
    </w:p>
    <w:p w14:paraId="6D82DD6F" w14:textId="77777777" w:rsidR="00C56EC9" w:rsidRDefault="00C56EC9" w:rsidP="00C56EC9">
      <w:pPr>
        <w:pStyle w:val="PargrafodaLista"/>
        <w:jc w:val="both"/>
      </w:pPr>
    </w:p>
    <w:p w14:paraId="706AEF02" w14:textId="7BCEC994" w:rsidR="00C56EC9" w:rsidRPr="00C56EC9" w:rsidRDefault="00C56EC9" w:rsidP="00C56EC9">
      <w:pPr>
        <w:pStyle w:val="PargrafodaLista"/>
        <w:numPr>
          <w:ilvl w:val="0"/>
          <w:numId w:val="2"/>
        </w:numPr>
        <w:jc w:val="both"/>
        <w:rPr>
          <w:b/>
          <w:bCs/>
        </w:rPr>
      </w:pPr>
      <w:r w:rsidRPr="00C56EC9">
        <w:rPr>
          <w:b/>
          <w:bCs/>
        </w:rPr>
        <w:t>ODS 06 (Água Potável e Saneamento) - Garantir a disponibilidade e a gestão sustentável da água potável e do saneamento para todos</w:t>
      </w:r>
    </w:p>
    <w:p w14:paraId="0B1D0AD4" w14:textId="77777777" w:rsidR="00C56EC9" w:rsidRDefault="00C56EC9" w:rsidP="00C56EC9">
      <w:pPr>
        <w:pStyle w:val="PargrafodaLista"/>
        <w:jc w:val="both"/>
      </w:pPr>
      <w:r>
        <w:t>Acesso permanente e sustentável à água potável</w:t>
      </w:r>
    </w:p>
    <w:p w14:paraId="743519E4" w14:textId="77777777" w:rsidR="00C56EC9" w:rsidRDefault="00C56EC9" w:rsidP="00C56EC9">
      <w:pPr>
        <w:pStyle w:val="PargrafodaLista"/>
        <w:jc w:val="both"/>
      </w:pPr>
      <w:r>
        <w:t>Áreas de mananciais protegidas</w:t>
      </w:r>
    </w:p>
    <w:p w14:paraId="342F267B" w14:textId="77777777" w:rsidR="00C56EC9" w:rsidRDefault="00C56EC9" w:rsidP="00C56EC9">
      <w:pPr>
        <w:pStyle w:val="PargrafodaLista"/>
        <w:jc w:val="both"/>
      </w:pPr>
      <w:r>
        <w:t>Avaliação oferta/demanda do abastecimento urbano de água</w:t>
      </w:r>
    </w:p>
    <w:p w14:paraId="0FE410D5" w14:textId="77777777" w:rsidR="00C56EC9" w:rsidRDefault="00C56EC9" w:rsidP="00C56EC9">
      <w:pPr>
        <w:pStyle w:val="PargrafodaLista"/>
        <w:jc w:val="both"/>
      </w:pPr>
      <w:r>
        <w:t>Consumo de água per capita</w:t>
      </w:r>
    </w:p>
    <w:p w14:paraId="3B666E2E" w14:textId="77777777" w:rsidR="00C56EC9" w:rsidRDefault="00C56EC9" w:rsidP="00C56EC9">
      <w:pPr>
        <w:pStyle w:val="PargrafodaLista"/>
        <w:jc w:val="both"/>
      </w:pPr>
      <w:r>
        <w:t>Doenças relacionadas ao saneamento ambiental inadequado</w:t>
      </w:r>
    </w:p>
    <w:p w14:paraId="639DBA64" w14:textId="77777777" w:rsidR="00C56EC9" w:rsidRDefault="00C56EC9" w:rsidP="00C56EC9">
      <w:pPr>
        <w:pStyle w:val="PargrafodaLista"/>
        <w:jc w:val="both"/>
      </w:pPr>
      <w:r>
        <w:t>Esgoto que não recebe nenhum tipo de tratamento</w:t>
      </w:r>
    </w:p>
    <w:p w14:paraId="35048CCF" w14:textId="77777777" w:rsidR="00C56EC9" w:rsidRDefault="00C56EC9" w:rsidP="00C56EC9">
      <w:pPr>
        <w:pStyle w:val="PargrafodaLista"/>
        <w:jc w:val="both"/>
      </w:pPr>
      <w:r>
        <w:t>Participação do município no Comitê de Bacias</w:t>
      </w:r>
    </w:p>
    <w:p w14:paraId="0A9AAC0E" w14:textId="77777777" w:rsidR="00C56EC9" w:rsidRDefault="00C56EC9" w:rsidP="00C56EC9">
      <w:pPr>
        <w:pStyle w:val="PargrafodaLista"/>
        <w:jc w:val="both"/>
      </w:pPr>
      <w:r>
        <w:t>Perda de água tratada</w:t>
      </w:r>
    </w:p>
    <w:p w14:paraId="6AC75A2B" w14:textId="77777777" w:rsidR="00C56EC9" w:rsidRDefault="00C56EC9" w:rsidP="00C56EC9">
      <w:pPr>
        <w:pStyle w:val="PargrafodaLista"/>
        <w:jc w:val="both"/>
      </w:pPr>
      <w:r>
        <w:t>Planos de médio e longo prazos para recursos hídricos</w:t>
      </w:r>
    </w:p>
    <w:p w14:paraId="7CDB0F97" w14:textId="77777777" w:rsidR="00C56EC9" w:rsidRDefault="00C56EC9" w:rsidP="00C56EC9">
      <w:pPr>
        <w:pStyle w:val="PargrafodaLista"/>
        <w:jc w:val="both"/>
      </w:pPr>
      <w:r>
        <w:t>Rede de esgoto (domicílios sem ligação com a rede de esgoto)</w:t>
      </w:r>
    </w:p>
    <w:p w14:paraId="02BC300F" w14:textId="7AF20A50" w:rsidR="00C56EC9" w:rsidRDefault="00C56EC9" w:rsidP="00C56EC9">
      <w:pPr>
        <w:pStyle w:val="PargrafodaLista"/>
        <w:jc w:val="both"/>
      </w:pPr>
      <w:r>
        <w:t>Rios e córregos classificados com, pelo menos, "bom estado" segundo critérios oficiais</w:t>
      </w:r>
    </w:p>
    <w:p w14:paraId="5B52B880" w14:textId="5A59F83A" w:rsidR="00C56EC9" w:rsidRPr="00C56EC9" w:rsidRDefault="00C56EC9" w:rsidP="00C56EC9">
      <w:pPr>
        <w:pStyle w:val="PargrafodaLista"/>
        <w:numPr>
          <w:ilvl w:val="0"/>
          <w:numId w:val="2"/>
        </w:numPr>
        <w:jc w:val="both"/>
        <w:rPr>
          <w:b/>
          <w:bCs/>
        </w:rPr>
      </w:pPr>
      <w:r w:rsidRPr="00C56EC9">
        <w:rPr>
          <w:b/>
          <w:bCs/>
        </w:rPr>
        <w:t>ODS 11 (</w:t>
      </w:r>
      <w:r w:rsidR="006C6116">
        <w:rPr>
          <w:b/>
          <w:bCs/>
        </w:rPr>
        <w:t>Cidades e Comunidades Sustentáveis</w:t>
      </w:r>
      <w:r w:rsidRPr="00C56EC9">
        <w:rPr>
          <w:b/>
          <w:bCs/>
        </w:rPr>
        <w:t>) - Tornar as cidades e comunidades mais inclusivas, seguras, resilientes e sustentáveis</w:t>
      </w:r>
    </w:p>
    <w:p w14:paraId="3E9E7602" w14:textId="77777777" w:rsidR="00C56EC9" w:rsidRDefault="00C56EC9" w:rsidP="00C56EC9">
      <w:pPr>
        <w:pStyle w:val="PargrafodaLista"/>
        <w:jc w:val="both"/>
      </w:pPr>
      <w:r>
        <w:t>Ações de preservação, valorização e difusão do patrimônio material e imaterial</w:t>
      </w:r>
    </w:p>
    <w:p w14:paraId="6021FF52" w14:textId="77777777" w:rsidR="00C56EC9" w:rsidRDefault="00C56EC9" w:rsidP="00C56EC9">
      <w:pPr>
        <w:pStyle w:val="PargrafodaLista"/>
        <w:jc w:val="both"/>
      </w:pPr>
      <w:r>
        <w:t>Área urbana e rural do município</w:t>
      </w:r>
    </w:p>
    <w:p w14:paraId="134CC967" w14:textId="77777777" w:rsidR="00C56EC9" w:rsidRDefault="00C56EC9" w:rsidP="00C56EC9">
      <w:pPr>
        <w:pStyle w:val="PargrafodaLista"/>
        <w:jc w:val="both"/>
      </w:pPr>
      <w:r>
        <w:t>Área verde na zona urbana</w:t>
      </w:r>
    </w:p>
    <w:p w14:paraId="03D73B61" w14:textId="77777777" w:rsidR="00C56EC9" w:rsidRDefault="00C56EC9" w:rsidP="00C56EC9">
      <w:pPr>
        <w:pStyle w:val="PargrafodaLista"/>
        <w:jc w:val="both"/>
      </w:pPr>
      <w:r>
        <w:t>Calçadas acessíveis</w:t>
      </w:r>
    </w:p>
    <w:p w14:paraId="730DAC3C" w14:textId="77777777" w:rsidR="00C56EC9" w:rsidRDefault="00C56EC9" w:rsidP="00C56EC9">
      <w:pPr>
        <w:pStyle w:val="PargrafodaLista"/>
        <w:jc w:val="both"/>
      </w:pPr>
      <w:r>
        <w:t>Ciclovias e ciclofaixas exclusivas</w:t>
      </w:r>
    </w:p>
    <w:p w14:paraId="6E957C3F" w14:textId="77777777" w:rsidR="00C56EC9" w:rsidRDefault="00C56EC9" w:rsidP="00C56EC9">
      <w:pPr>
        <w:pStyle w:val="PargrafodaLista"/>
        <w:jc w:val="both"/>
      </w:pPr>
      <w:r>
        <w:t>Congestionamentos</w:t>
      </w:r>
    </w:p>
    <w:p w14:paraId="77CC5FDD" w14:textId="77777777" w:rsidR="00C56EC9" w:rsidRDefault="00C56EC9" w:rsidP="00C56EC9">
      <w:pPr>
        <w:pStyle w:val="PargrafodaLista"/>
        <w:jc w:val="both"/>
      </w:pPr>
      <w:r>
        <w:t>Conselho municipal de cultura e patrimônio histórico</w:t>
      </w:r>
    </w:p>
    <w:p w14:paraId="76869F89" w14:textId="77777777" w:rsidR="00C56EC9" w:rsidRDefault="00C56EC9" w:rsidP="00C56EC9">
      <w:pPr>
        <w:pStyle w:val="PargrafodaLista"/>
        <w:jc w:val="both"/>
      </w:pPr>
      <w:r>
        <w:t>Consórcios públicos e Parcerias Público Privadas</w:t>
      </w:r>
    </w:p>
    <w:p w14:paraId="25A34D85" w14:textId="77777777" w:rsidR="00C56EC9" w:rsidRDefault="00C56EC9" w:rsidP="00C56EC9">
      <w:pPr>
        <w:pStyle w:val="PargrafodaLista"/>
        <w:jc w:val="both"/>
      </w:pPr>
      <w:r>
        <w:t>Corredores exclusivos de ônibus</w:t>
      </w:r>
    </w:p>
    <w:p w14:paraId="04E1BFD0" w14:textId="77777777" w:rsidR="00C56EC9" w:rsidRDefault="00C56EC9" w:rsidP="00C56EC9">
      <w:pPr>
        <w:pStyle w:val="PargrafodaLista"/>
        <w:jc w:val="both"/>
      </w:pPr>
      <w:r>
        <w:t>Custo anual dos acidentes de trânsito</w:t>
      </w:r>
    </w:p>
    <w:p w14:paraId="63882F87" w14:textId="77777777" w:rsidR="00C56EC9" w:rsidRDefault="00C56EC9" w:rsidP="00C56EC9">
      <w:pPr>
        <w:pStyle w:val="PargrafodaLista"/>
        <w:jc w:val="both"/>
      </w:pPr>
      <w:r>
        <w:t>Déficit habitacional</w:t>
      </w:r>
    </w:p>
    <w:p w14:paraId="7A944B3F" w14:textId="77777777" w:rsidR="00C56EC9" w:rsidRDefault="00C56EC9" w:rsidP="00C56EC9">
      <w:pPr>
        <w:pStyle w:val="PargrafodaLista"/>
        <w:jc w:val="both"/>
      </w:pPr>
      <w:r>
        <w:lastRenderedPageBreak/>
        <w:t>Domicílios em áreas de risco</w:t>
      </w:r>
    </w:p>
    <w:p w14:paraId="26179DBC" w14:textId="77777777" w:rsidR="00C56EC9" w:rsidRDefault="00C56EC9" w:rsidP="00C56EC9">
      <w:pPr>
        <w:pStyle w:val="PargrafodaLista"/>
        <w:jc w:val="both"/>
      </w:pPr>
      <w:r>
        <w:t>Edifícios novos e reformados com certificação de sustentabilidade ambiental</w:t>
      </w:r>
    </w:p>
    <w:p w14:paraId="730AF3DC" w14:textId="77777777" w:rsidR="00C56EC9" w:rsidRDefault="00C56EC9" w:rsidP="00C56EC9">
      <w:pPr>
        <w:pStyle w:val="PargrafodaLista"/>
        <w:jc w:val="both"/>
      </w:pPr>
      <w:r>
        <w:t>Equipamentos esportivos</w:t>
      </w:r>
    </w:p>
    <w:p w14:paraId="063A3277" w14:textId="77777777" w:rsidR="00C56EC9" w:rsidRDefault="00C56EC9" w:rsidP="00C56EC9">
      <w:pPr>
        <w:pStyle w:val="PargrafodaLista"/>
        <w:jc w:val="both"/>
      </w:pPr>
      <w:r>
        <w:t>Frota de ônibus com acessibilidade para pessoas com deficiência</w:t>
      </w:r>
    </w:p>
    <w:p w14:paraId="01AEB64F" w14:textId="77777777" w:rsidR="00C56EC9" w:rsidRDefault="00C56EC9" w:rsidP="00C56EC9">
      <w:pPr>
        <w:pStyle w:val="PargrafodaLista"/>
        <w:jc w:val="both"/>
      </w:pPr>
      <w:r>
        <w:t>Gerenciamento de riscos</w:t>
      </w:r>
    </w:p>
    <w:p w14:paraId="26949538" w14:textId="77777777" w:rsidR="00C56EC9" w:rsidRDefault="00C56EC9" w:rsidP="00C56EC9">
      <w:pPr>
        <w:pStyle w:val="PargrafodaLista"/>
        <w:jc w:val="both"/>
      </w:pPr>
      <w:r>
        <w:t>Impactos humanos e materiais dos eventos climáticos extremos</w:t>
      </w:r>
    </w:p>
    <w:p w14:paraId="2D2D58BE" w14:textId="77777777" w:rsidR="00C56EC9" w:rsidRDefault="00C56EC9" w:rsidP="00C56EC9">
      <w:pPr>
        <w:pStyle w:val="PargrafodaLista"/>
        <w:jc w:val="both"/>
      </w:pPr>
      <w:r>
        <w:t>Legislação específica para temas ambientais</w:t>
      </w:r>
    </w:p>
    <w:p w14:paraId="3FB241DF" w14:textId="77777777" w:rsidR="00C56EC9" w:rsidRDefault="00C56EC9" w:rsidP="00C56EC9">
      <w:pPr>
        <w:pStyle w:val="PargrafodaLista"/>
        <w:jc w:val="both"/>
      </w:pPr>
      <w:r>
        <w:t>Número de mortes por desastres socioambientais</w:t>
      </w:r>
    </w:p>
    <w:p w14:paraId="3495E17A" w14:textId="77777777" w:rsidR="00C56EC9" w:rsidRDefault="00C56EC9" w:rsidP="00C56EC9">
      <w:pPr>
        <w:pStyle w:val="PargrafodaLista"/>
        <w:jc w:val="both"/>
      </w:pPr>
      <w:r>
        <w:t>Orçamento de transporte destinado a transporte público</w:t>
      </w:r>
    </w:p>
    <w:p w14:paraId="74F7DA83" w14:textId="77777777" w:rsidR="00C56EC9" w:rsidRDefault="00C56EC9" w:rsidP="00C56EC9">
      <w:pPr>
        <w:pStyle w:val="PargrafodaLista"/>
        <w:jc w:val="both"/>
      </w:pPr>
      <w:r>
        <w:t>Peso da tarifa de transporte público no orçamento mensal</w:t>
      </w:r>
    </w:p>
    <w:p w14:paraId="6386C195" w14:textId="77777777" w:rsidR="00C56EC9" w:rsidRDefault="00C56EC9" w:rsidP="00C56EC9">
      <w:pPr>
        <w:pStyle w:val="PargrafodaLista"/>
        <w:jc w:val="both"/>
      </w:pPr>
      <w:r>
        <w:t>Planejamento integrado entre todas as secretarias</w:t>
      </w:r>
    </w:p>
    <w:p w14:paraId="43BD63D8" w14:textId="77777777" w:rsidR="00C56EC9" w:rsidRDefault="00C56EC9" w:rsidP="00C56EC9">
      <w:pPr>
        <w:pStyle w:val="PargrafodaLista"/>
        <w:jc w:val="both"/>
      </w:pPr>
      <w:r>
        <w:t>Plano de gestão integrada de resíduos sólidos</w:t>
      </w:r>
    </w:p>
    <w:p w14:paraId="53AC32D4" w14:textId="77777777" w:rsidR="00C56EC9" w:rsidRDefault="00C56EC9" w:rsidP="00C56EC9">
      <w:pPr>
        <w:pStyle w:val="PargrafodaLista"/>
        <w:jc w:val="both"/>
      </w:pPr>
      <w:r>
        <w:t>Plano Diretor participativo</w:t>
      </w:r>
    </w:p>
    <w:p w14:paraId="1026D54C" w14:textId="77777777" w:rsidR="00C56EC9" w:rsidRDefault="00C56EC9" w:rsidP="00C56EC9">
      <w:pPr>
        <w:pStyle w:val="PargrafodaLista"/>
        <w:jc w:val="both"/>
      </w:pPr>
      <w:r>
        <w:t>População idosa</w:t>
      </w:r>
    </w:p>
    <w:p w14:paraId="3CD175C3" w14:textId="77777777" w:rsidR="00C56EC9" w:rsidRDefault="00C56EC9" w:rsidP="00C56EC9">
      <w:pPr>
        <w:pStyle w:val="PargrafodaLista"/>
        <w:jc w:val="both"/>
      </w:pPr>
      <w:r>
        <w:t>População residente em aglomerados subnormais</w:t>
      </w:r>
    </w:p>
    <w:p w14:paraId="4A9F99AC" w14:textId="77777777" w:rsidR="00C56EC9" w:rsidRDefault="00C56EC9" w:rsidP="00C56EC9">
      <w:pPr>
        <w:pStyle w:val="PargrafodaLista"/>
        <w:jc w:val="both"/>
      </w:pPr>
      <w:r>
        <w:t>Propriedade de imóveis</w:t>
      </w:r>
    </w:p>
    <w:p w14:paraId="67D74189" w14:textId="77777777" w:rsidR="00C56EC9" w:rsidRDefault="00C56EC9" w:rsidP="00C56EC9">
      <w:pPr>
        <w:pStyle w:val="PargrafodaLista"/>
        <w:jc w:val="both"/>
      </w:pPr>
      <w:r>
        <w:t>Proximidade de transporte público</w:t>
      </w:r>
    </w:p>
    <w:p w14:paraId="47FA0DBE" w14:textId="77777777" w:rsidR="00C56EC9" w:rsidRDefault="00C56EC9" w:rsidP="00C56EC9">
      <w:pPr>
        <w:pStyle w:val="PargrafodaLista"/>
        <w:jc w:val="both"/>
      </w:pPr>
      <w:r>
        <w:t>Recursos públicos municipais para cultura</w:t>
      </w:r>
    </w:p>
    <w:p w14:paraId="5EEE1E38" w14:textId="77777777" w:rsidR="00C56EC9" w:rsidRDefault="00C56EC9" w:rsidP="00C56EC9">
      <w:pPr>
        <w:pStyle w:val="PargrafodaLista"/>
        <w:jc w:val="both"/>
      </w:pPr>
      <w:r>
        <w:t>Tempo médio gasto da moradia ao local de trabalho</w:t>
      </w:r>
    </w:p>
    <w:p w14:paraId="592779CF" w14:textId="700A2F45" w:rsidR="00C56EC9" w:rsidRPr="00C56EC9" w:rsidRDefault="00C56EC9" w:rsidP="00C56EC9">
      <w:pPr>
        <w:pStyle w:val="PargrafodaLista"/>
        <w:jc w:val="both"/>
      </w:pPr>
      <w:r>
        <w:t>Transporte público por ônibus com energia sustentável</w:t>
      </w:r>
    </w:p>
    <w:p w14:paraId="1249BDDB" w14:textId="6DAAEA12" w:rsidR="00B95A7C" w:rsidRPr="00CE0F70" w:rsidRDefault="00B95A7C" w:rsidP="001E5598">
      <w:pPr>
        <w:jc w:val="both"/>
        <w:rPr>
          <w:b/>
          <w:bCs/>
        </w:rPr>
      </w:pPr>
      <w:r w:rsidRPr="00CE0F70">
        <w:rPr>
          <w:b/>
          <w:bCs/>
        </w:rPr>
        <w:t>Robustez do método DEA</w:t>
      </w:r>
    </w:p>
    <w:p w14:paraId="4FEAD077" w14:textId="7CFFAA97" w:rsidR="00B95A7C" w:rsidRPr="00B95A7C" w:rsidRDefault="001E5598" w:rsidP="001E5598">
      <w:pPr>
        <w:jc w:val="both"/>
      </w:pPr>
      <w:r>
        <w:t>A partir da revisão de literatura realizadas pode-se observar que a</w:t>
      </w:r>
      <w:r w:rsidR="00B95A7C" w:rsidRPr="00B95A7C">
        <w:t xml:space="preserve"> técnica de Análise Envoltória de Dados (DEA), empregada no presente relatório para avaliar a eficiência do gasto público municipal na promoção dos Objetivos de Desenvolvimento Sustentável (ODS),</w:t>
      </w:r>
      <w:r>
        <w:t xml:space="preserve"> é amplamente aplicada em pesquisas acadêmicas ao redor do mundo. Em números, desde 2004 foram identificados mais de 150 artigos científicos que empregaram modelos DEA para comparar amostras de cidades, sendo que, estes artigos foram publicados em 119 periódicos especializados e de renome. Ao se considerar este total de artigos, constata-se </w:t>
      </w:r>
      <w:r w:rsidR="00B95A7C" w:rsidRPr="00B95A7C">
        <w:t xml:space="preserve">a </w:t>
      </w:r>
      <w:r>
        <w:t>participação diversa</w:t>
      </w:r>
      <w:r w:rsidR="00B95A7C" w:rsidRPr="00B95A7C">
        <w:t xml:space="preserve"> de mais de 440 pesquisadores de universidades</w:t>
      </w:r>
      <w:r>
        <w:t xml:space="preserve"> em todo o mundo</w:t>
      </w:r>
      <w:r w:rsidR="00B95A7C" w:rsidRPr="00B95A7C">
        <w:t>, o que evidencia a robustez e a credibilidade do método.</w:t>
      </w:r>
    </w:p>
    <w:p w14:paraId="7E4C4D87" w14:textId="0B5DFF92" w:rsidR="00B95A7C" w:rsidRPr="00B95A7C" w:rsidRDefault="001E5598" w:rsidP="001E5598">
      <w:pPr>
        <w:jc w:val="both"/>
      </w:pPr>
      <w:r>
        <w:t xml:space="preserve">Ao mesmo passo, pode-se afirmar que a aplicação da técnica DEA pode </w:t>
      </w:r>
      <w:proofErr w:type="spellStart"/>
      <w:r>
        <w:t>se</w:t>
      </w:r>
      <w:proofErr w:type="spellEnd"/>
      <w:r>
        <w:t xml:space="preserve"> adaptadas às mais distintas realidades na medida em que é </w:t>
      </w:r>
      <w:r w:rsidR="00B95A7C" w:rsidRPr="00B95A7C">
        <w:t xml:space="preserve">extensivamente utilizada em diferentes contextos nacionais. </w:t>
      </w:r>
      <w:r>
        <w:t xml:space="preserve">Mais especificamente, foram </w:t>
      </w:r>
      <w:r w:rsidR="000B6072">
        <w:t>encontradas</w:t>
      </w:r>
      <w:r>
        <w:t xml:space="preserve"> pesquisas similares em mais de XX países, podendo-se destacar</w:t>
      </w:r>
      <w:r w:rsidR="00B95A7C" w:rsidRPr="00B95A7C">
        <w:t xml:space="preserve"> estudos conduzidos </w:t>
      </w:r>
      <w:r w:rsidR="00E54AEE">
        <w:t xml:space="preserve">em larga escala </w:t>
      </w:r>
      <w:r w:rsidR="00B95A7C" w:rsidRPr="00B95A7C">
        <w:t xml:space="preserve">na China, especialmente pela Universidade </w:t>
      </w:r>
      <w:proofErr w:type="spellStart"/>
      <w:r w:rsidR="00B95A7C" w:rsidRPr="00B95A7C">
        <w:t>Jiao</w:t>
      </w:r>
      <w:proofErr w:type="spellEnd"/>
      <w:r w:rsidR="00B95A7C" w:rsidRPr="00B95A7C">
        <w:t xml:space="preserve"> Tong de Xangai; na Índia, principalmente pelo Instituto Indiano de Tecnologia de Bombaim; e nos Estados Unidos, com contribuições significativas da Universidade de Iowa</w:t>
      </w:r>
      <w:r w:rsidR="00E54AEE">
        <w:t>.</w:t>
      </w:r>
      <w:r w:rsidR="00B95A7C" w:rsidRPr="00B95A7C">
        <w:t xml:space="preserve"> Essa diversidade geográfica reforça a universalidade d</w:t>
      </w:r>
      <w:r w:rsidR="00E54AEE">
        <w:t>o método.</w:t>
      </w:r>
    </w:p>
    <w:p w14:paraId="50472E40" w14:textId="5F293DC8" w:rsidR="00B95A7C" w:rsidRPr="00B95A7C" w:rsidRDefault="00E54AEE" w:rsidP="001E5598">
      <w:pPr>
        <w:jc w:val="both"/>
      </w:pPr>
      <w:r>
        <w:t xml:space="preserve">No mesmo sentido, a técnica </w:t>
      </w:r>
      <w:r w:rsidR="00B95A7C" w:rsidRPr="00B95A7C">
        <w:t xml:space="preserve">DEA é frequentemente utilizada para investigar temas correlatos aos abordados neste relatório, </w:t>
      </w:r>
      <w:r>
        <w:t xml:space="preserve">em geral, pode-se observar que as comparações de eficiência relativa realizadas avaliavam municípios a partir de óticas </w:t>
      </w:r>
      <w:r w:rsidR="00B95A7C" w:rsidRPr="00B95A7C">
        <w:t>como mudanças climáticas, vulnerabilidade social, desenvolvimento sustentável, energia e transporte. A densidade de pesquisas nesses tópicos demonstra a relevância e aplicabilidade da técnica para analisar questões cruciais do desenvolvimento urbano e a eficiência de políticas públicas.</w:t>
      </w:r>
    </w:p>
    <w:p w14:paraId="55C630FB" w14:textId="69838518" w:rsidR="00B95A7C" w:rsidRDefault="00B95A7C" w:rsidP="001E5598">
      <w:pPr>
        <w:jc w:val="both"/>
      </w:pPr>
      <w:r w:rsidRPr="00B95A7C">
        <w:lastRenderedPageBreak/>
        <w:t xml:space="preserve">Dessa forma, </w:t>
      </w:r>
      <w:r w:rsidR="00E54AEE">
        <w:t>observa-se uma sólida experiência científica n</w:t>
      </w:r>
      <w:r w:rsidRPr="00B95A7C">
        <w:t xml:space="preserve">o emprego da </w:t>
      </w:r>
      <w:r w:rsidR="00E54AEE">
        <w:t xml:space="preserve">técnica </w:t>
      </w:r>
      <w:r w:rsidRPr="00B95A7C">
        <w:t xml:space="preserve">DEA </w:t>
      </w:r>
      <w:r w:rsidR="00E54AEE">
        <w:t xml:space="preserve">para se explorar problemas complexos e interdisciplinares relacionados aos contextos locais, comprovando ser satisfatória para se avaliar </w:t>
      </w:r>
      <w:r w:rsidRPr="00B95A7C">
        <w:t>o alcance dos ODS em contextos municipais</w:t>
      </w:r>
      <w:r w:rsidR="00E54AEE">
        <w:t xml:space="preserve"> brasileiros</w:t>
      </w:r>
      <w:r w:rsidRPr="00B95A7C">
        <w:t>.</w:t>
      </w:r>
    </w:p>
    <w:p w14:paraId="3EFF5C04" w14:textId="77777777" w:rsidR="00A8772E" w:rsidRDefault="00A8772E" w:rsidP="001E5598">
      <w:pPr>
        <w:jc w:val="both"/>
      </w:pPr>
    </w:p>
    <w:p w14:paraId="1252AF02" w14:textId="7A9AB3CC" w:rsidR="00A8772E" w:rsidRPr="00CE0F70" w:rsidRDefault="00A8772E" w:rsidP="00A8772E">
      <w:pPr>
        <w:jc w:val="both"/>
        <w:rPr>
          <w:b/>
          <w:bCs/>
        </w:rPr>
      </w:pPr>
      <w:r w:rsidRPr="00CE0F70">
        <w:rPr>
          <w:b/>
          <w:bCs/>
        </w:rPr>
        <w:t>Pesquisas no Brasil Utilizando a Análise Envoltória de Dados para Avaliação dos ODS</w:t>
      </w:r>
    </w:p>
    <w:p w14:paraId="1B78BBA0" w14:textId="7B0528B3" w:rsidR="00A8772E" w:rsidRDefault="006D3EDB" w:rsidP="006D3EDB">
      <w:pPr>
        <w:jc w:val="both"/>
      </w:pPr>
      <w:r>
        <w:t xml:space="preserve">O Brasil mostrou ter uma comunidade de pesquisa bem estabelecida que desenvolveu e incentivou discussões sobre os ODS. A relevância do Brasil como fonte de contribuições científicas nessa área pode estar ligada ao fato de que a relação entre educação e sustentabilidade é um requisito presente em sua Constituição Federal. Isso levou as instituições de ensino a </w:t>
      </w:r>
      <w:proofErr w:type="gramStart"/>
      <w:r>
        <w:t>adaptar</w:t>
      </w:r>
      <w:proofErr w:type="gramEnd"/>
      <w:r>
        <w:t xml:space="preserve"> seus processos internos, infraestrutura e cultura organizacional, implementando práticas em busca da sustentabilidade (</w:t>
      </w:r>
      <w:proofErr w:type="spellStart"/>
      <w:r>
        <w:t>Pedraja</w:t>
      </w:r>
      <w:proofErr w:type="spellEnd"/>
      <w:r>
        <w:t>-Rejas et al., 2023).</w:t>
      </w:r>
      <w:r>
        <w:t xml:space="preserve"> Mais especificamente, </w:t>
      </w:r>
      <w:r>
        <w:t>foram encontrados 2 trabalhos publicados em periódicos científicos especializados e de editoração internacional</w:t>
      </w:r>
      <w:r>
        <w:t xml:space="preserve"> aplicando a </w:t>
      </w:r>
      <w:r>
        <w:t>técnica de Análise Envoltória de Dados (DEA) para comparar municípios no alcance dos Objetivos de Desenvolvimento Sustentável (ODS)</w:t>
      </w:r>
    </w:p>
    <w:p w14:paraId="41EA97AD" w14:textId="77777777" w:rsidR="006D3EDB" w:rsidRDefault="006D3EDB" w:rsidP="00A8772E">
      <w:pPr>
        <w:jc w:val="both"/>
      </w:pPr>
    </w:p>
    <w:p w14:paraId="55B14A15" w14:textId="77777777" w:rsidR="006D3EDB" w:rsidRDefault="006D3EDB" w:rsidP="00A8772E">
      <w:pPr>
        <w:jc w:val="both"/>
      </w:pPr>
    </w:p>
    <w:p w14:paraId="2BBFD254" w14:textId="1EC7F3B6" w:rsidR="00A8772E" w:rsidRDefault="00A8772E" w:rsidP="00A8772E">
      <w:pPr>
        <w:jc w:val="both"/>
      </w:pPr>
      <w:r>
        <w:t>O primeiro, intitulado "</w:t>
      </w:r>
      <w:proofErr w:type="spellStart"/>
      <w:r>
        <w:t>Technical</w:t>
      </w:r>
      <w:proofErr w:type="spellEnd"/>
      <w:r>
        <w:t xml:space="preserve"> </w:t>
      </w:r>
      <w:proofErr w:type="spellStart"/>
      <w:r>
        <w:t>and</w:t>
      </w:r>
      <w:proofErr w:type="spellEnd"/>
      <w:r>
        <w:t xml:space="preserve"> </w:t>
      </w:r>
      <w:proofErr w:type="spellStart"/>
      <w:r>
        <w:t>Scale</w:t>
      </w:r>
      <w:proofErr w:type="spellEnd"/>
      <w:r>
        <w:t xml:space="preserve"> </w:t>
      </w:r>
      <w:proofErr w:type="spellStart"/>
      <w:r>
        <w:t>Efficiency</w:t>
      </w:r>
      <w:proofErr w:type="spellEnd"/>
      <w:r>
        <w:t xml:space="preserve"> </w:t>
      </w:r>
      <w:proofErr w:type="spellStart"/>
      <w:r>
        <w:t>of</w:t>
      </w:r>
      <w:proofErr w:type="spellEnd"/>
      <w:r>
        <w:t xml:space="preserve"> </w:t>
      </w:r>
      <w:proofErr w:type="spellStart"/>
      <w:r>
        <w:t>the</w:t>
      </w:r>
      <w:proofErr w:type="spellEnd"/>
      <w:r>
        <w:t xml:space="preserve"> </w:t>
      </w:r>
      <w:proofErr w:type="spellStart"/>
      <w:r>
        <w:t>Brazilian</w:t>
      </w:r>
      <w:proofErr w:type="spellEnd"/>
      <w:r>
        <w:t xml:space="preserve"> </w:t>
      </w:r>
      <w:proofErr w:type="spellStart"/>
      <w:r>
        <w:t>Municipalities</w:t>
      </w:r>
      <w:proofErr w:type="spellEnd"/>
      <w:r>
        <w:t xml:space="preserve">' </w:t>
      </w:r>
      <w:proofErr w:type="spellStart"/>
      <w:r>
        <w:t>Water</w:t>
      </w:r>
      <w:proofErr w:type="spellEnd"/>
      <w:r>
        <w:t xml:space="preserve"> </w:t>
      </w:r>
      <w:proofErr w:type="spellStart"/>
      <w:r>
        <w:t>and</w:t>
      </w:r>
      <w:proofErr w:type="spellEnd"/>
      <w:r>
        <w:t xml:space="preserve"> </w:t>
      </w:r>
      <w:proofErr w:type="spellStart"/>
      <w:r>
        <w:t>Sanitation</w:t>
      </w:r>
      <w:proofErr w:type="spellEnd"/>
      <w:r>
        <w:t xml:space="preserve"> Services: A </w:t>
      </w:r>
      <w:proofErr w:type="spellStart"/>
      <w:r>
        <w:t>Two-Stage</w:t>
      </w:r>
      <w:proofErr w:type="spellEnd"/>
      <w:r>
        <w:t xml:space="preserve"> Data </w:t>
      </w:r>
      <w:proofErr w:type="spellStart"/>
      <w:r>
        <w:t>Envelopment</w:t>
      </w:r>
      <w:proofErr w:type="spellEnd"/>
      <w:r>
        <w:t xml:space="preserve"> </w:t>
      </w:r>
      <w:proofErr w:type="spellStart"/>
      <w:r>
        <w:t>Analysis</w:t>
      </w:r>
      <w:proofErr w:type="spellEnd"/>
      <w:r>
        <w:t xml:space="preserve">", investigou a eficiência técnica e de escala dos serviços de água e saneamento dos municípios brasileiros, relacionando-os ao ODS 6 – Água Potável e Saneamento. A pesquisa revelou ineficiências decorrentes de operações inadequadas além de identificar fatores contextuais relevantes. Apesar de oferecer importantes recomendações de políticas públicas, o trabalho limita-se </w:t>
      </w:r>
      <w:proofErr w:type="gramStart"/>
      <w:r>
        <w:t>à</w:t>
      </w:r>
      <w:proofErr w:type="gramEnd"/>
      <w:r>
        <w:t xml:space="preserve"> uma abordagem técnica</w:t>
      </w:r>
      <w:r w:rsidR="00BE203C">
        <w:t>-operacional.</w:t>
      </w:r>
    </w:p>
    <w:p w14:paraId="5BE3B1AA" w14:textId="17969068" w:rsidR="00A8772E" w:rsidRDefault="00BE203C" w:rsidP="00A8772E">
      <w:pPr>
        <w:jc w:val="both"/>
      </w:pPr>
      <w:r>
        <w:t xml:space="preserve">O segundo estudo, intitulado </w:t>
      </w:r>
      <w:r w:rsidR="00A8772E">
        <w:t>"</w:t>
      </w:r>
      <w:proofErr w:type="spellStart"/>
      <w:r w:rsidR="00A8772E">
        <w:t>Analysis</w:t>
      </w:r>
      <w:proofErr w:type="spellEnd"/>
      <w:r w:rsidR="00A8772E">
        <w:t xml:space="preserve"> </w:t>
      </w:r>
      <w:proofErr w:type="spellStart"/>
      <w:r w:rsidR="00A8772E">
        <w:t>of</w:t>
      </w:r>
      <w:proofErr w:type="spellEnd"/>
      <w:r w:rsidR="00A8772E">
        <w:t xml:space="preserve"> </w:t>
      </w:r>
      <w:proofErr w:type="spellStart"/>
      <w:r w:rsidR="00A8772E">
        <w:t>the</w:t>
      </w:r>
      <w:proofErr w:type="spellEnd"/>
      <w:r w:rsidR="00A8772E">
        <w:t xml:space="preserve"> </w:t>
      </w:r>
      <w:proofErr w:type="spellStart"/>
      <w:r w:rsidR="00A8772E">
        <w:t>Efficiency</w:t>
      </w:r>
      <w:proofErr w:type="spellEnd"/>
      <w:r w:rsidR="00A8772E">
        <w:t xml:space="preserve"> </w:t>
      </w:r>
      <w:proofErr w:type="spellStart"/>
      <w:r w:rsidR="00A8772E">
        <w:t>of</w:t>
      </w:r>
      <w:proofErr w:type="spellEnd"/>
      <w:r w:rsidR="00A8772E">
        <w:t xml:space="preserve"> </w:t>
      </w:r>
      <w:proofErr w:type="spellStart"/>
      <w:r w:rsidR="00A8772E">
        <w:t>Sustainable</w:t>
      </w:r>
      <w:proofErr w:type="spellEnd"/>
      <w:r w:rsidR="00A8772E">
        <w:t xml:space="preserve"> </w:t>
      </w:r>
      <w:proofErr w:type="spellStart"/>
      <w:r w:rsidR="00A8772E">
        <w:t>Development</w:t>
      </w:r>
      <w:proofErr w:type="spellEnd"/>
      <w:r w:rsidR="00A8772E">
        <w:t xml:space="preserve"> </w:t>
      </w:r>
      <w:proofErr w:type="spellStart"/>
      <w:r w:rsidR="00A8772E">
        <w:t>Goal</w:t>
      </w:r>
      <w:proofErr w:type="spellEnd"/>
      <w:r w:rsidR="00A8772E">
        <w:t xml:space="preserve"> (SDG 15) </w:t>
      </w:r>
      <w:proofErr w:type="spellStart"/>
      <w:r w:rsidR="00A8772E">
        <w:t>Protecting</w:t>
      </w:r>
      <w:proofErr w:type="spellEnd"/>
      <w:r w:rsidR="00A8772E">
        <w:t xml:space="preserve"> </w:t>
      </w:r>
      <w:proofErr w:type="spellStart"/>
      <w:r w:rsidR="00A8772E">
        <w:t>Terrestrial</w:t>
      </w:r>
      <w:proofErr w:type="spellEnd"/>
      <w:r w:rsidR="00A8772E">
        <w:t xml:space="preserve"> Life in </w:t>
      </w:r>
      <w:proofErr w:type="spellStart"/>
      <w:r w:rsidR="00A8772E">
        <w:t>the</w:t>
      </w:r>
      <w:proofErr w:type="spellEnd"/>
      <w:r w:rsidR="00A8772E">
        <w:t xml:space="preserve"> </w:t>
      </w:r>
      <w:proofErr w:type="spellStart"/>
      <w:r w:rsidR="00A8772E">
        <w:t>Municipalities</w:t>
      </w:r>
      <w:proofErr w:type="spellEnd"/>
      <w:r w:rsidR="00A8772E">
        <w:t xml:space="preserve"> </w:t>
      </w:r>
      <w:proofErr w:type="spellStart"/>
      <w:r w:rsidR="00A8772E">
        <w:t>of</w:t>
      </w:r>
      <w:proofErr w:type="spellEnd"/>
      <w:r w:rsidR="00A8772E">
        <w:t xml:space="preserve"> Paraná </w:t>
      </w:r>
      <w:proofErr w:type="spellStart"/>
      <w:r w:rsidR="00A8772E">
        <w:t>State</w:t>
      </w:r>
      <w:proofErr w:type="spellEnd"/>
      <w:r w:rsidR="00A8772E">
        <w:t xml:space="preserve">", focou na análise da eficiência dos municípios paranaenses em alcançar o ODS 15 </w:t>
      </w:r>
      <w:r>
        <w:t>–</w:t>
      </w:r>
      <w:r w:rsidR="00A8772E">
        <w:t xml:space="preserve"> </w:t>
      </w:r>
      <w:r>
        <w:t xml:space="preserve">Vida Terrestre. Ao utilizar </w:t>
      </w:r>
      <w:r w:rsidR="00A8772E">
        <w:t xml:space="preserve">o ICMS Ecológico como insumo e o percentual de áreas florestais como </w:t>
      </w:r>
      <w:r>
        <w:t>produto</w:t>
      </w:r>
      <w:r w:rsidR="00A8772E">
        <w:t xml:space="preserve">, o estudo </w:t>
      </w:r>
      <w:r>
        <w:t xml:space="preserve">analisou a eficiência relativa partindo de uma perspectiva orçamentária, identificando que </w:t>
      </w:r>
      <w:r w:rsidR="00A8772E">
        <w:t xml:space="preserve">regiões industrializadas enfrentam maiores desafios na conservação ambiental. </w:t>
      </w:r>
    </w:p>
    <w:p w14:paraId="0C02B9C1" w14:textId="16221AA6" w:rsidR="00A8772E" w:rsidRDefault="00A8772E" w:rsidP="00A8772E">
      <w:pPr>
        <w:jc w:val="both"/>
      </w:pPr>
      <w:r>
        <w:t xml:space="preserve">Embora essas investigações </w:t>
      </w:r>
      <w:r w:rsidR="00BE203C">
        <w:t>reforcem</w:t>
      </w:r>
      <w:r>
        <w:t xml:space="preserve"> a relevância e a aplicabilidade da DEA na avaliação de políticas públicas relacionadas aos ODS</w:t>
      </w:r>
      <w:r w:rsidR="00BE203C">
        <w:t xml:space="preserve"> no contexto municipal </w:t>
      </w:r>
      <w:proofErr w:type="spellStart"/>
      <w:r w:rsidR="00BE203C">
        <w:t>brasileirpo</w:t>
      </w:r>
      <w:proofErr w:type="spellEnd"/>
      <w:r>
        <w:t xml:space="preserve">, o presente relatório avança ao analisar de maneira abrangente a eficiência </w:t>
      </w:r>
      <w:r w:rsidR="00BE203C">
        <w:t xml:space="preserve">relativa </w:t>
      </w:r>
      <w:r>
        <w:t xml:space="preserve">do gasto público municipal na promoção </w:t>
      </w:r>
      <w:r w:rsidR="00BE203C">
        <w:t xml:space="preserve">do desenvolvimento sustentável a partir de </w:t>
      </w:r>
      <w:r>
        <w:t>múltiplos</w:t>
      </w:r>
      <w:r w:rsidR="00BE203C">
        <w:t xml:space="preserve"> ODS em municípios localizados em todas as regiões do país</w:t>
      </w:r>
      <w:r>
        <w:t>. Essa abordagem permite uma visão</w:t>
      </w:r>
      <w:r w:rsidR="00BE203C">
        <w:t xml:space="preserve"> </w:t>
      </w:r>
      <w:r>
        <w:t xml:space="preserve">mais profunda, </w:t>
      </w:r>
      <w:r w:rsidR="00BE203C">
        <w:t xml:space="preserve">permitindo identificar a posição atual de cada município e subsidiar </w:t>
      </w:r>
      <w:r>
        <w:t>políticas públicas que promovam o desenvolvimento sustentável em diversas dimensões</w:t>
      </w:r>
      <w:r w:rsidR="00BE203C">
        <w:t xml:space="preserve"> de maneira eficiente</w:t>
      </w:r>
      <w:r>
        <w:t>.</w:t>
      </w:r>
    </w:p>
    <w:p w14:paraId="46385FB3" w14:textId="6D308426" w:rsidR="00A8772E" w:rsidRDefault="00A8772E" w:rsidP="001E5598">
      <w:pPr>
        <w:jc w:val="both"/>
      </w:pPr>
    </w:p>
    <w:p w14:paraId="3F612965" w14:textId="77777777" w:rsidR="00B27EC0" w:rsidRDefault="00B27EC0" w:rsidP="001E5598">
      <w:pPr>
        <w:jc w:val="both"/>
        <w:rPr>
          <w:lang w:val="en"/>
        </w:rPr>
      </w:pPr>
    </w:p>
    <w:p w14:paraId="0794759B" w14:textId="3F8DD640" w:rsidR="00B27EC0" w:rsidRDefault="00B27EC0" w:rsidP="001E5598">
      <w:pPr>
        <w:jc w:val="both"/>
        <w:rPr>
          <w:lang w:val="en"/>
        </w:rPr>
      </w:pPr>
      <w:proofErr w:type="spellStart"/>
      <w:r>
        <w:rPr>
          <w:lang w:val="en"/>
        </w:rPr>
        <w:t>Estudos</w:t>
      </w:r>
      <w:proofErr w:type="spellEnd"/>
      <w:r>
        <w:rPr>
          <w:lang w:val="en"/>
        </w:rPr>
        <w:t xml:space="preserve"> no </w:t>
      </w:r>
      <w:proofErr w:type="spellStart"/>
      <w:r>
        <w:rPr>
          <w:lang w:val="en"/>
        </w:rPr>
        <w:t>Brasil</w:t>
      </w:r>
      <w:proofErr w:type="spellEnd"/>
    </w:p>
    <w:p w14:paraId="3128113E" w14:textId="330FAD4D" w:rsidR="00B27EC0" w:rsidRPr="00B27EC0" w:rsidRDefault="00B27EC0" w:rsidP="001E5598">
      <w:pPr>
        <w:jc w:val="both"/>
        <w:rPr>
          <w:b/>
          <w:bCs/>
          <w:lang w:val="en"/>
        </w:rPr>
      </w:pPr>
      <w:r w:rsidRPr="00B27EC0">
        <w:rPr>
          <w:b/>
          <w:bCs/>
          <w:lang w:val="en"/>
        </w:rPr>
        <w:lastRenderedPageBreak/>
        <w:t>Technical and Scale Efficiency of the Brazilian Municipalities' Water and Sanitation Services: A Two-Stage Data Envelopment Analysis</w:t>
      </w:r>
    </w:p>
    <w:p w14:paraId="173E116F" w14:textId="37978120" w:rsidR="00B27EC0" w:rsidRDefault="00B27EC0" w:rsidP="001E5598">
      <w:pPr>
        <w:jc w:val="both"/>
      </w:pPr>
      <w:r w:rsidRPr="00B27EC0">
        <w:t>Buscar "garantir a disponibilidade e a gestão sustentável da água e do saneamento para todos" é um Objetivo de Desenvolvimento Sustentável admirável e um compromisso honroso das Nações Unidas e seus Estados-Membros em relação ao direito humano à água potável e aos serviços de saneamento (</w:t>
      </w:r>
      <w:proofErr w:type="spellStart"/>
      <w:r w:rsidRPr="00B27EC0">
        <w:t>WSSs</w:t>
      </w:r>
      <w:proofErr w:type="spellEnd"/>
      <w:r w:rsidRPr="00B27EC0">
        <w:t xml:space="preserve">). No entanto, a maioria dos países não está no caminho certo para atingir isso até 2030, com vários deles se afastando das melhores práticas. O Brasil é um desses casos, dadas, por exemplo, as assimetrias existentes no acesso às redes de abastecimento de água e serviços de saneamento. Por esse motivo, propomos um exercício de benchmarking usando uma Análise Envoltória de Dados em dois estágios para medir a eficiência técnica e de escala dos </w:t>
      </w:r>
      <w:proofErr w:type="spellStart"/>
      <w:r w:rsidRPr="00B27EC0">
        <w:t>WSSs</w:t>
      </w:r>
      <w:proofErr w:type="spellEnd"/>
      <w:r w:rsidRPr="00B27EC0">
        <w:t xml:space="preserve"> dos municípios brasileiros, observando seu ambiente contextual. Nossos resultados apontam para baixas pontuações médias de eficiência, motivadas pela existência de ineficiências de escala significativas (a grande maioria dos municípios está operando em uma escala maior que a ótima). Além disso, a Fonte de água foi considerada um preditor de eficiência estatisticamente significativo, com diferenças estatisticamente significativas encontradas em termos de Propriedade e Geografia. Por fim, sugerimos possibilidades de formulação de políticas e regulamentação baseadas na desburocratização, na implementação de políticas de controle de gastos mais rigorosas e no investimento na expansão de </w:t>
      </w:r>
      <w:proofErr w:type="spellStart"/>
      <w:r w:rsidRPr="00B27EC0">
        <w:t>AASSs</w:t>
      </w:r>
      <w:proofErr w:type="spellEnd"/>
      <w:r w:rsidRPr="00B27EC0">
        <w:t>.</w:t>
      </w:r>
    </w:p>
    <w:p w14:paraId="2A85F68B" w14:textId="77777777" w:rsidR="00B27EC0" w:rsidRPr="00B27EC0" w:rsidRDefault="00B27EC0" w:rsidP="00B27EC0">
      <w:pPr>
        <w:jc w:val="both"/>
        <w:rPr>
          <w:b/>
          <w:bCs/>
          <w:lang w:val="en"/>
        </w:rPr>
      </w:pPr>
      <w:r w:rsidRPr="00B27EC0">
        <w:rPr>
          <w:b/>
          <w:bCs/>
          <w:lang w:val="en"/>
        </w:rPr>
        <w:t>ANALYSIS OF THE EFFICIENCY OF SUSTAINABLE DEVELOPMENT GOAL (SDG 15) Protecting terrestrial life in the municipalities of Paraná state</w:t>
      </w:r>
    </w:p>
    <w:p w14:paraId="4BA86CEE" w14:textId="77777777" w:rsidR="00B27EC0" w:rsidRDefault="00B27EC0" w:rsidP="001E5598">
      <w:pPr>
        <w:jc w:val="both"/>
      </w:pPr>
    </w:p>
    <w:p w14:paraId="00383372" w14:textId="3C921BD2" w:rsidR="00B27EC0" w:rsidRPr="00B95A7C" w:rsidRDefault="00B27EC0" w:rsidP="001E5598">
      <w:pPr>
        <w:jc w:val="both"/>
      </w:pPr>
      <w:r w:rsidRPr="00B27EC0">
        <w:t xml:space="preserve">Os Objetivos de Desenvolvimento Sustentável (ODS) abrangem diversas questões socioambientais e são aplicáveis </w:t>
      </w:r>
      <w:r w:rsidRPr="00B27EC0">
        <w:rPr>
          <w:rFonts w:ascii="Arial" w:hAnsi="Arial" w:cs="Arial"/>
        </w:rPr>
        <w:t>​​</w:t>
      </w:r>
      <w:r w:rsidRPr="00B27EC0">
        <w:t>a todos os pa</w:t>
      </w:r>
      <w:r w:rsidRPr="00B27EC0">
        <w:rPr>
          <w:rFonts w:ascii="Aptos" w:hAnsi="Aptos" w:cs="Aptos"/>
        </w:rPr>
        <w:t>í</w:t>
      </w:r>
      <w:r w:rsidRPr="00B27EC0">
        <w:t>ses. O ODS 15, Vida Terrestre, tem como objetivo proteger os ecossistemas terrestres, conservar a biodiversidade e reduzir a perda de biodiversidade. O estado do Paran</w:t>
      </w:r>
      <w:r w:rsidRPr="00B27EC0">
        <w:rPr>
          <w:rFonts w:ascii="Aptos" w:hAnsi="Aptos" w:cs="Aptos"/>
        </w:rPr>
        <w:t>á</w:t>
      </w:r>
      <w:r w:rsidRPr="00B27EC0">
        <w:t xml:space="preserve"> </w:t>
      </w:r>
      <w:r w:rsidRPr="00B27EC0">
        <w:rPr>
          <w:rFonts w:ascii="Aptos" w:hAnsi="Aptos" w:cs="Aptos"/>
        </w:rPr>
        <w:t>é</w:t>
      </w:r>
      <w:r w:rsidRPr="00B27EC0">
        <w:t xml:space="preserve"> um dos estados do Brasil com maior propor</w:t>
      </w:r>
      <w:r w:rsidRPr="00B27EC0">
        <w:rPr>
          <w:rFonts w:ascii="Aptos" w:hAnsi="Aptos" w:cs="Aptos"/>
        </w:rPr>
        <w:t>çã</w:t>
      </w:r>
      <w:r w:rsidRPr="00B27EC0">
        <w:t xml:space="preserve">o de </w:t>
      </w:r>
      <w:r w:rsidRPr="00B27EC0">
        <w:rPr>
          <w:rFonts w:ascii="Aptos" w:hAnsi="Aptos" w:cs="Aptos"/>
        </w:rPr>
        <w:t>á</w:t>
      </w:r>
      <w:r w:rsidRPr="00B27EC0">
        <w:t>reas florestais remanescentes e possui uma pol</w:t>
      </w:r>
      <w:r w:rsidRPr="00B27EC0">
        <w:rPr>
          <w:rFonts w:ascii="Aptos" w:hAnsi="Aptos" w:cs="Aptos"/>
        </w:rPr>
        <w:t>í</w:t>
      </w:r>
      <w:r w:rsidRPr="00B27EC0">
        <w:t>tica de preserva</w:t>
      </w:r>
      <w:r w:rsidRPr="00B27EC0">
        <w:rPr>
          <w:rFonts w:ascii="Aptos" w:hAnsi="Aptos" w:cs="Aptos"/>
        </w:rPr>
        <w:t>çã</w:t>
      </w:r>
      <w:r w:rsidRPr="00B27EC0">
        <w:t>o ambiental. Diante disso, o estudo tem como objetivo analisar a efici</w:t>
      </w:r>
      <w:r w:rsidRPr="00B27EC0">
        <w:rPr>
          <w:rFonts w:ascii="Aptos" w:hAnsi="Aptos" w:cs="Aptos"/>
        </w:rPr>
        <w:t>ê</w:t>
      </w:r>
      <w:r w:rsidRPr="00B27EC0">
        <w:t>ncia dos munic</w:t>
      </w:r>
      <w:r w:rsidRPr="00B27EC0">
        <w:rPr>
          <w:rFonts w:ascii="Aptos" w:hAnsi="Aptos" w:cs="Aptos"/>
        </w:rPr>
        <w:t>í</w:t>
      </w:r>
      <w:r w:rsidRPr="00B27EC0">
        <w:t xml:space="preserve">pios paranaenses em atingir o Objetivo de Desenvolvimento Sustentável 15 - Proteção da Vida Terrestre. Para isso, foi utilizada a abordagem de Análise Envoltória de Dados (DEA), tendo como input o Imposto sobre Bens e Serviços Ecológicos (ICMS Ecológico) e como output o percentual de áreas florestais nos municípios. Os resultados indicaram que os municípios de Campo do Tenente, Céu Azul, Guaratuba, Imbituva, Ipiranga, Mirador, Morretes e Teixeira Soares foram eficientes, tendo como principal característica a presença de parques ecológicos. Por outro lado, observou-se que as regiões mais industrializadas e urbanas apresentaram maior concentração de municípios ineficientes. Adicionalmente, os municípios de Piraquara, Pinhais, Campo Magro e Quatro Barras apresentaram os maiores superávits no recebimento de recursos do ICMS Ecológico, enquanto os municípios de Pinhais, Curitiba, São Jorge do Patrocínio, Altônia, São Pedro do Paraná e </w:t>
      </w:r>
      <w:proofErr w:type="spellStart"/>
      <w:r w:rsidRPr="00B27EC0">
        <w:t>Quatiguá</w:t>
      </w:r>
      <w:proofErr w:type="spellEnd"/>
      <w:r w:rsidRPr="00B27EC0">
        <w:t xml:space="preserve"> apresentaram as maiores necessidades relativas para aumentar suas áreas florestais remanescentes.</w:t>
      </w:r>
    </w:p>
    <w:p w14:paraId="744C1A23" w14:textId="77777777" w:rsidR="00E27AD9" w:rsidRDefault="00E27AD9"/>
    <w:sectPr w:rsidR="00E27A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587BA2"/>
    <w:multiLevelType w:val="hybridMultilevel"/>
    <w:tmpl w:val="DDDE3C28"/>
    <w:lvl w:ilvl="0" w:tplc="0416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10971B3"/>
    <w:multiLevelType w:val="hybridMultilevel"/>
    <w:tmpl w:val="6C2073D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466315456">
    <w:abstractNumId w:val="1"/>
  </w:num>
  <w:num w:numId="2" w16cid:durableId="128735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A7C"/>
    <w:rsid w:val="00015D66"/>
    <w:rsid w:val="000B6072"/>
    <w:rsid w:val="001A7E06"/>
    <w:rsid w:val="001E5598"/>
    <w:rsid w:val="002F2072"/>
    <w:rsid w:val="004A1C15"/>
    <w:rsid w:val="00644A9E"/>
    <w:rsid w:val="00676232"/>
    <w:rsid w:val="006C6116"/>
    <w:rsid w:val="006D3EDB"/>
    <w:rsid w:val="006E1735"/>
    <w:rsid w:val="00797930"/>
    <w:rsid w:val="008A54CC"/>
    <w:rsid w:val="008D11E4"/>
    <w:rsid w:val="00983FE7"/>
    <w:rsid w:val="00A8772E"/>
    <w:rsid w:val="00AF13C5"/>
    <w:rsid w:val="00B27EC0"/>
    <w:rsid w:val="00B95A7C"/>
    <w:rsid w:val="00BA2E0E"/>
    <w:rsid w:val="00BE203C"/>
    <w:rsid w:val="00C56EC9"/>
    <w:rsid w:val="00CE0F70"/>
    <w:rsid w:val="00D4026F"/>
    <w:rsid w:val="00E27AD9"/>
    <w:rsid w:val="00E54AEE"/>
    <w:rsid w:val="00E61405"/>
    <w:rsid w:val="00F429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9CB00"/>
  <w15:chartTrackingRefBased/>
  <w15:docId w15:val="{5F9F0F81-01ED-492F-8883-4FE92078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95A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B95A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95A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95A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95A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95A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95A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95A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95A7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5A7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B95A7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95A7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95A7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95A7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95A7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95A7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95A7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95A7C"/>
    <w:rPr>
      <w:rFonts w:eastAsiaTheme="majorEastAsia" w:cstheme="majorBidi"/>
      <w:color w:val="272727" w:themeColor="text1" w:themeTint="D8"/>
    </w:rPr>
  </w:style>
  <w:style w:type="paragraph" w:styleId="Ttulo">
    <w:name w:val="Title"/>
    <w:basedOn w:val="Normal"/>
    <w:next w:val="Normal"/>
    <w:link w:val="TtuloChar"/>
    <w:uiPriority w:val="10"/>
    <w:qFormat/>
    <w:rsid w:val="00B95A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95A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95A7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95A7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95A7C"/>
    <w:pPr>
      <w:spacing w:before="160"/>
      <w:jc w:val="center"/>
    </w:pPr>
    <w:rPr>
      <w:i/>
      <w:iCs/>
      <w:color w:val="404040" w:themeColor="text1" w:themeTint="BF"/>
    </w:rPr>
  </w:style>
  <w:style w:type="character" w:customStyle="1" w:styleId="CitaoChar">
    <w:name w:val="Citação Char"/>
    <w:basedOn w:val="Fontepargpadro"/>
    <w:link w:val="Citao"/>
    <w:uiPriority w:val="29"/>
    <w:rsid w:val="00B95A7C"/>
    <w:rPr>
      <w:i/>
      <w:iCs/>
      <w:color w:val="404040" w:themeColor="text1" w:themeTint="BF"/>
    </w:rPr>
  </w:style>
  <w:style w:type="paragraph" w:styleId="PargrafodaLista">
    <w:name w:val="List Paragraph"/>
    <w:basedOn w:val="Normal"/>
    <w:uiPriority w:val="34"/>
    <w:qFormat/>
    <w:rsid w:val="00B95A7C"/>
    <w:pPr>
      <w:ind w:left="720"/>
      <w:contextualSpacing/>
    </w:pPr>
  </w:style>
  <w:style w:type="character" w:styleId="nfaseIntensa">
    <w:name w:val="Intense Emphasis"/>
    <w:basedOn w:val="Fontepargpadro"/>
    <w:uiPriority w:val="21"/>
    <w:qFormat/>
    <w:rsid w:val="00B95A7C"/>
    <w:rPr>
      <w:i/>
      <w:iCs/>
      <w:color w:val="0F4761" w:themeColor="accent1" w:themeShade="BF"/>
    </w:rPr>
  </w:style>
  <w:style w:type="paragraph" w:styleId="CitaoIntensa">
    <w:name w:val="Intense Quote"/>
    <w:basedOn w:val="Normal"/>
    <w:next w:val="Normal"/>
    <w:link w:val="CitaoIntensaChar"/>
    <w:uiPriority w:val="30"/>
    <w:qFormat/>
    <w:rsid w:val="00B95A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95A7C"/>
    <w:rPr>
      <w:i/>
      <w:iCs/>
      <w:color w:val="0F4761" w:themeColor="accent1" w:themeShade="BF"/>
    </w:rPr>
  </w:style>
  <w:style w:type="character" w:styleId="RefernciaIntensa">
    <w:name w:val="Intense Reference"/>
    <w:basedOn w:val="Fontepargpadro"/>
    <w:uiPriority w:val="32"/>
    <w:qFormat/>
    <w:rsid w:val="00B95A7C"/>
    <w:rPr>
      <w:b/>
      <w:bCs/>
      <w:smallCaps/>
      <w:color w:val="0F4761" w:themeColor="accent1" w:themeShade="BF"/>
      <w:spacing w:val="5"/>
    </w:rPr>
  </w:style>
  <w:style w:type="character" w:styleId="Hyperlink">
    <w:name w:val="Hyperlink"/>
    <w:basedOn w:val="Fontepargpadro"/>
    <w:uiPriority w:val="99"/>
    <w:unhideWhenUsed/>
    <w:rsid w:val="00C56EC9"/>
    <w:rPr>
      <w:color w:val="467886" w:themeColor="hyperlink"/>
      <w:u w:val="single"/>
    </w:rPr>
  </w:style>
  <w:style w:type="character" w:styleId="MenoPendente">
    <w:name w:val="Unresolved Mention"/>
    <w:basedOn w:val="Fontepargpadro"/>
    <w:uiPriority w:val="99"/>
    <w:semiHidden/>
    <w:unhideWhenUsed/>
    <w:rsid w:val="00C56E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359628220">
      <w:bodyDiv w:val="1"/>
      <w:marLeft w:val="0"/>
      <w:marRight w:val="0"/>
      <w:marTop w:val="0"/>
      <w:marBottom w:val="0"/>
      <w:divBdr>
        <w:top w:val="none" w:sz="0" w:space="0" w:color="auto"/>
        <w:left w:val="none" w:sz="0" w:space="0" w:color="auto"/>
        <w:bottom w:val="none" w:sz="0" w:space="0" w:color="auto"/>
        <w:right w:val="none" w:sz="0" w:space="0" w:color="auto"/>
      </w:divBdr>
    </w:div>
    <w:div w:id="414982852">
      <w:bodyDiv w:val="1"/>
      <w:marLeft w:val="0"/>
      <w:marRight w:val="0"/>
      <w:marTop w:val="0"/>
      <w:marBottom w:val="0"/>
      <w:divBdr>
        <w:top w:val="none" w:sz="0" w:space="0" w:color="auto"/>
        <w:left w:val="none" w:sz="0" w:space="0" w:color="auto"/>
        <w:bottom w:val="none" w:sz="0" w:space="0" w:color="auto"/>
        <w:right w:val="none" w:sz="0" w:space="0" w:color="auto"/>
      </w:divBdr>
    </w:div>
    <w:div w:id="483931584">
      <w:bodyDiv w:val="1"/>
      <w:marLeft w:val="0"/>
      <w:marRight w:val="0"/>
      <w:marTop w:val="0"/>
      <w:marBottom w:val="0"/>
      <w:divBdr>
        <w:top w:val="none" w:sz="0" w:space="0" w:color="auto"/>
        <w:left w:val="none" w:sz="0" w:space="0" w:color="auto"/>
        <w:bottom w:val="none" w:sz="0" w:space="0" w:color="auto"/>
        <w:right w:val="none" w:sz="0" w:space="0" w:color="auto"/>
      </w:divBdr>
    </w:div>
    <w:div w:id="570308336">
      <w:bodyDiv w:val="1"/>
      <w:marLeft w:val="0"/>
      <w:marRight w:val="0"/>
      <w:marTop w:val="0"/>
      <w:marBottom w:val="0"/>
      <w:divBdr>
        <w:top w:val="none" w:sz="0" w:space="0" w:color="auto"/>
        <w:left w:val="none" w:sz="0" w:space="0" w:color="auto"/>
        <w:bottom w:val="none" w:sz="0" w:space="0" w:color="auto"/>
        <w:right w:val="none" w:sz="0" w:space="0" w:color="auto"/>
      </w:divBdr>
    </w:div>
    <w:div w:id="576746305">
      <w:bodyDiv w:val="1"/>
      <w:marLeft w:val="0"/>
      <w:marRight w:val="0"/>
      <w:marTop w:val="0"/>
      <w:marBottom w:val="0"/>
      <w:divBdr>
        <w:top w:val="none" w:sz="0" w:space="0" w:color="auto"/>
        <w:left w:val="none" w:sz="0" w:space="0" w:color="auto"/>
        <w:bottom w:val="none" w:sz="0" w:space="0" w:color="auto"/>
        <w:right w:val="none" w:sz="0" w:space="0" w:color="auto"/>
      </w:divBdr>
    </w:div>
    <w:div w:id="650253270">
      <w:bodyDiv w:val="1"/>
      <w:marLeft w:val="0"/>
      <w:marRight w:val="0"/>
      <w:marTop w:val="0"/>
      <w:marBottom w:val="0"/>
      <w:divBdr>
        <w:top w:val="none" w:sz="0" w:space="0" w:color="auto"/>
        <w:left w:val="none" w:sz="0" w:space="0" w:color="auto"/>
        <w:bottom w:val="none" w:sz="0" w:space="0" w:color="auto"/>
        <w:right w:val="none" w:sz="0" w:space="0" w:color="auto"/>
      </w:divBdr>
    </w:div>
    <w:div w:id="780027003">
      <w:bodyDiv w:val="1"/>
      <w:marLeft w:val="0"/>
      <w:marRight w:val="0"/>
      <w:marTop w:val="0"/>
      <w:marBottom w:val="0"/>
      <w:divBdr>
        <w:top w:val="none" w:sz="0" w:space="0" w:color="auto"/>
        <w:left w:val="none" w:sz="0" w:space="0" w:color="auto"/>
        <w:bottom w:val="none" w:sz="0" w:space="0" w:color="auto"/>
        <w:right w:val="none" w:sz="0" w:space="0" w:color="auto"/>
      </w:divBdr>
    </w:div>
    <w:div w:id="796610349">
      <w:bodyDiv w:val="1"/>
      <w:marLeft w:val="0"/>
      <w:marRight w:val="0"/>
      <w:marTop w:val="0"/>
      <w:marBottom w:val="0"/>
      <w:divBdr>
        <w:top w:val="none" w:sz="0" w:space="0" w:color="auto"/>
        <w:left w:val="none" w:sz="0" w:space="0" w:color="auto"/>
        <w:bottom w:val="none" w:sz="0" w:space="0" w:color="auto"/>
        <w:right w:val="none" w:sz="0" w:space="0" w:color="auto"/>
      </w:divBdr>
    </w:div>
    <w:div w:id="1088774467">
      <w:bodyDiv w:val="1"/>
      <w:marLeft w:val="0"/>
      <w:marRight w:val="0"/>
      <w:marTop w:val="0"/>
      <w:marBottom w:val="0"/>
      <w:divBdr>
        <w:top w:val="none" w:sz="0" w:space="0" w:color="auto"/>
        <w:left w:val="none" w:sz="0" w:space="0" w:color="auto"/>
        <w:bottom w:val="none" w:sz="0" w:space="0" w:color="auto"/>
        <w:right w:val="none" w:sz="0" w:space="0" w:color="auto"/>
      </w:divBdr>
    </w:div>
    <w:div w:id="1303269934">
      <w:bodyDiv w:val="1"/>
      <w:marLeft w:val="0"/>
      <w:marRight w:val="0"/>
      <w:marTop w:val="0"/>
      <w:marBottom w:val="0"/>
      <w:divBdr>
        <w:top w:val="none" w:sz="0" w:space="0" w:color="auto"/>
        <w:left w:val="none" w:sz="0" w:space="0" w:color="auto"/>
        <w:bottom w:val="none" w:sz="0" w:space="0" w:color="auto"/>
        <w:right w:val="none" w:sz="0" w:space="0" w:color="auto"/>
      </w:divBdr>
    </w:div>
    <w:div w:id="1344549599">
      <w:bodyDiv w:val="1"/>
      <w:marLeft w:val="0"/>
      <w:marRight w:val="0"/>
      <w:marTop w:val="0"/>
      <w:marBottom w:val="0"/>
      <w:divBdr>
        <w:top w:val="none" w:sz="0" w:space="0" w:color="auto"/>
        <w:left w:val="none" w:sz="0" w:space="0" w:color="auto"/>
        <w:bottom w:val="none" w:sz="0" w:space="0" w:color="auto"/>
        <w:right w:val="none" w:sz="0" w:space="0" w:color="auto"/>
      </w:divBdr>
    </w:div>
    <w:div w:id="1515807797">
      <w:bodyDiv w:val="1"/>
      <w:marLeft w:val="0"/>
      <w:marRight w:val="0"/>
      <w:marTop w:val="0"/>
      <w:marBottom w:val="0"/>
      <w:divBdr>
        <w:top w:val="none" w:sz="0" w:space="0" w:color="auto"/>
        <w:left w:val="none" w:sz="0" w:space="0" w:color="auto"/>
        <w:bottom w:val="none" w:sz="0" w:space="0" w:color="auto"/>
        <w:right w:val="none" w:sz="0" w:space="0" w:color="auto"/>
      </w:divBdr>
    </w:div>
    <w:div w:id="1746956062">
      <w:bodyDiv w:val="1"/>
      <w:marLeft w:val="0"/>
      <w:marRight w:val="0"/>
      <w:marTop w:val="0"/>
      <w:marBottom w:val="0"/>
      <w:divBdr>
        <w:top w:val="none" w:sz="0" w:space="0" w:color="auto"/>
        <w:left w:val="none" w:sz="0" w:space="0" w:color="auto"/>
        <w:bottom w:val="none" w:sz="0" w:space="0" w:color="auto"/>
        <w:right w:val="none" w:sz="0" w:space="0" w:color="auto"/>
      </w:divBdr>
    </w:div>
    <w:div w:id="1998875905">
      <w:bodyDiv w:val="1"/>
      <w:marLeft w:val="0"/>
      <w:marRight w:val="0"/>
      <w:marTop w:val="0"/>
      <w:marBottom w:val="0"/>
      <w:divBdr>
        <w:top w:val="none" w:sz="0" w:space="0" w:color="auto"/>
        <w:left w:val="none" w:sz="0" w:space="0" w:color="auto"/>
        <w:bottom w:val="none" w:sz="0" w:space="0" w:color="auto"/>
        <w:right w:val="none" w:sz="0" w:space="0" w:color="auto"/>
      </w:divBdr>
    </w:div>
    <w:div w:id="213274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dadessustentaveis.org.br/inicial/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asil.un.org/pt-br/sdgs/3"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7</Pages>
  <Words>2828</Words>
  <Characters>15272</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Valerio</dc:creator>
  <cp:keywords/>
  <dc:description/>
  <cp:lastModifiedBy>Victor Valerio</cp:lastModifiedBy>
  <cp:revision>15</cp:revision>
  <dcterms:created xsi:type="dcterms:W3CDTF">2024-11-17T20:22:00Z</dcterms:created>
  <dcterms:modified xsi:type="dcterms:W3CDTF">2024-11-18T15:34:00Z</dcterms:modified>
</cp:coreProperties>
</file>