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Backend: API e configurazione</w:t>
      </w:r>
    </w:p>
    <w:p>
      <w:pPr>
        <w:pStyle w:val="Heading1"/>
      </w:pPr>
      <w:r>
        <w:t>Variabili d'ambiente (`.env`)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Variabile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SKILLS_PROJECT_DIR</w:t>
            </w:r>
          </w:p>
        </w:tc>
        <w:tc>
          <w:tcPr>
            <w:tcW w:type="dxa" w:w="2880"/>
          </w:tcPr>
          <w:p>
            <w:r/>
            <w:r>
              <w:t>cartella del progetto</w:t>
            </w:r>
          </w:p>
        </w:tc>
        <w:tc>
          <w:tcPr>
            <w:tcW w:type="dxa" w:w="2880"/>
          </w:tcPr>
          <w:p>
            <w:r/>
            <w:r>
              <w:t xml:space="preserve">Radice che contiene </w:t>
            </w:r>
            <w:r>
              <w:rPr>
                <w:rFonts w:ascii="Consolas" w:hAnsi="Consolas"/>
              </w:rPr>
              <w:t>.claude/skills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AZURE_OPENAI_ENDPOINT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https://Scriba.services.ai.azure.com/openai/v1</w:t>
            </w:r>
          </w:p>
        </w:tc>
        <w:tc>
          <w:tcPr>
            <w:tcW w:type="dxa" w:w="2880"/>
          </w:tcPr>
          <w:p>
            <w:r/>
            <w:r>
              <w:t>Endpoint Azure OpenAI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AZURE_OPENAI_DEPLOYMENT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gpt-5.4-mini</w:t>
            </w:r>
          </w:p>
        </w:tc>
        <w:tc>
          <w:tcPr>
            <w:tcW w:type="dxa" w:w="2880"/>
          </w:tcPr>
          <w:p>
            <w:r/>
            <w:r>
              <w:t>Deployment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AZURE_OPENAI_API_KEY</w:t>
            </w:r>
          </w:p>
        </w:tc>
        <w:tc>
          <w:tcPr>
            <w:tcW w:type="dxa" w:w="2880"/>
          </w:tcPr>
          <w:p>
            <w:r/>
            <w:r>
              <w:t>vuoto</w:t>
            </w:r>
          </w:p>
        </w:tc>
        <w:tc>
          <w:tcPr>
            <w:tcW w:type="dxa" w:w="2880"/>
          </w:tcPr>
          <w:p>
            <w:r/>
            <w:r>
              <w:t>Chiave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OLLAMA_ENABLED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true</w:t>
            </w:r>
          </w:p>
        </w:tc>
        <w:tc>
          <w:tcPr>
            <w:tcW w:type="dxa" w:w="2880"/>
          </w:tcPr>
          <w:p>
            <w:r/>
            <w:r>
              <w:t>Abilita l'accesso con Ollama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POWERBI_MCP_NAME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powerbi-modeling-mcp</w:t>
            </w:r>
          </w:p>
        </w:tc>
        <w:tc>
          <w:tcPr>
            <w:tcW w:type="dxa" w:w="2880"/>
          </w:tcPr>
          <w:p>
            <w:r/>
            <w:r>
              <w:t>Nome del server MCP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POWERBI_MCP_COMMAND</w:t>
            </w:r>
            <w:r>
              <w:t xml:space="preserve"> / </w:t>
            </w:r>
            <w:r>
              <w:rPr>
                <w:rFonts w:ascii="Consolas" w:hAnsi="Consolas"/>
              </w:rPr>
              <w:t>POWERBI_MCP_ARGS</w:t>
            </w:r>
          </w:p>
        </w:tc>
        <w:tc>
          <w:tcPr>
            <w:tcW w:type="dxa" w:w="2880"/>
          </w:tcPr>
          <w:p>
            <w:r/>
            <w:r>
              <w:t xml:space="preserve">vuoto / </w:t>
            </w:r>
            <w:r>
              <w:rPr>
                <w:rFonts w:ascii="Consolas" w:hAnsi="Consolas"/>
              </w:rPr>
              <w:t>--start</w:t>
            </w:r>
          </w:p>
        </w:tc>
        <w:tc>
          <w:tcPr>
            <w:tcW w:type="dxa" w:w="2880"/>
          </w:tcPr>
          <w:p>
            <w:r/>
            <w:r>
              <w:t>Comando del server MCP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REQUIRE_POWERBI_MCP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false</w:t>
            </w:r>
          </w:p>
        </w:tc>
        <w:tc>
          <w:tcPr>
            <w:tcW w:type="dxa" w:w="2880"/>
          </w:tcPr>
          <w:p>
            <w:r/>
            <w:r>
              <w:t>Rende obbligatorio il server MCP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MAX_TOOL_STEPS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25</w:t>
            </w:r>
          </w:p>
        </w:tc>
        <w:tc>
          <w:tcPr>
            <w:tcW w:type="dxa" w:w="2880"/>
          </w:tcPr>
          <w:p>
            <w:r/>
            <w:r>
              <w:t>Massimo cicli di tool calling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MAX_TOOL_RESULT_CHARS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30000</w:t>
            </w:r>
          </w:p>
        </w:tc>
        <w:tc>
          <w:tcPr>
            <w:tcW w:type="dxa" w:w="2880"/>
          </w:tcPr>
          <w:p>
            <w:r/>
            <w:r>
              <w:t>Limite del risultato di un 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MAX_EXTRACT_TOOL_RESULT_CHARS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500000</w:t>
            </w:r>
          </w:p>
        </w:tc>
        <w:tc>
          <w:tcPr>
            <w:tcW w:type="dxa" w:w="2880"/>
          </w:tcPr>
          <w:p>
            <w:r/>
            <w:r>
              <w:t>Limite per le estrazioni dati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ANALYZE_TIMEOUT_SECONDS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120</w:t>
            </w:r>
          </w:p>
        </w:tc>
        <w:tc>
          <w:tcPr>
            <w:tcW w:type="dxa" w:w="2880"/>
          </w:tcPr>
          <w:p>
            <w:r/>
            <w:r>
              <w:t>Timeout analisi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CHAT_TIMEOUT_SECONDS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180</w:t>
            </w:r>
          </w:p>
        </w:tc>
        <w:tc>
          <w:tcPr>
            <w:tcW w:type="dxa" w:w="2880"/>
          </w:tcPr>
          <w:p>
            <w:r/>
            <w:r>
              <w:t>Timeout chat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CHAT_COMPLETION_TIMEOUT_SECONDS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75</w:t>
            </w:r>
          </w:p>
        </w:tc>
        <w:tc>
          <w:tcPr>
            <w:tcW w:type="dxa" w:w="2880"/>
          </w:tcPr>
          <w:p>
            <w:r/>
            <w:r>
              <w:t>Timeout singola completion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PBI_AGENT_DATA_DIR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mbi-agent-webapp/data</w:t>
            </w:r>
          </w:p>
        </w:tc>
        <w:tc>
          <w:tcPr>
            <w:tcW w:type="dxa" w:w="2880"/>
          </w:tcPr>
          <w:p>
            <w:r/>
            <w:r>
              <w:t>Cartella dati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PBI_AGENT_DB_PATH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data/pbi_agent.sqlite3</w:t>
            </w:r>
          </w:p>
        </w:tc>
        <w:tc>
          <w:tcPr>
            <w:tcW w:type="dxa" w:w="2880"/>
          </w:tcPr>
          <w:p>
            <w:r/>
            <w:r>
              <w:t>File SQLite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8000</w:t>
            </w:r>
          </w:p>
        </w:tc>
        <w:tc>
          <w:tcPr>
            <w:tcW w:type="dxa" w:w="2880"/>
          </w:tcPr>
          <w:p>
            <w:r/>
            <w:r>
              <w:t>Porta (container)</w:t>
            </w:r>
          </w:p>
        </w:tc>
      </w:tr>
    </w:tbl>
    <w:p>
      <w:r>
        <w:t xml:space="preserve">Non committare mai il file </w:t>
      </w:r>
      <w:r>
        <w:rPr>
          <w:rFonts w:ascii="Consolas" w:hAnsi="Consolas"/>
        </w:rPr>
        <w:t>.env</w:t>
      </w:r>
      <w:r>
        <w:t xml:space="preserve"> né i token.</w:t>
      </w:r>
    </w:p>
    <w:p>
      <w:pPr>
        <w:pStyle w:val="Heading1"/>
      </w:pPr>
      <w:r>
        <w:t>Endpoint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Gruppo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</w:tr>
      <w:tr>
        <w:tc>
          <w:tcPr>
            <w:tcW w:type="dxa" w:w="4320"/>
          </w:tcPr>
          <w:p>
            <w:r/>
            <w:r>
              <w:t>Pagina e catalogo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GET /</w:t>
            </w:r>
            <w:r>
              <w:t xml:space="preserve">, </w:t>
            </w:r>
            <w:r>
              <w:rPr>
                <w:rFonts w:ascii="Consolas" w:hAnsi="Consolas"/>
              </w:rPr>
              <w:t>GET /skills</w:t>
            </w:r>
          </w:p>
        </w:tc>
      </w:tr>
      <w:tr>
        <w:tc>
          <w:tcPr>
            <w:tcW w:type="dxa" w:w="4320"/>
          </w:tcPr>
          <w:p>
            <w:r/>
            <w:r>
              <w:t>Stato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GET /mcp-status</w:t>
            </w:r>
            <w:r>
              <w:t xml:space="preserve">, </w:t>
            </w:r>
            <w:r>
              <w:rPr>
                <w:rFonts w:ascii="Consolas" w:hAnsi="Consolas"/>
              </w:rPr>
              <w:t>GET /powerbi-status</w:t>
            </w:r>
            <w:r>
              <w:t xml:space="preserve">, </w:t>
            </w:r>
            <w:r>
              <w:rPr>
                <w:rFonts w:ascii="Consolas" w:hAnsi="Consolas"/>
              </w:rPr>
              <w:t>GET /analyze-status</w:t>
            </w:r>
          </w:p>
        </w:tc>
      </w:tr>
      <w:tr>
        <w:tc>
          <w:tcPr>
            <w:tcW w:type="dxa" w:w="4320"/>
          </w:tcPr>
          <w:p>
            <w:r/>
            <w:r>
              <w:t>Autenticazione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POST /auth/login</w:t>
            </w:r>
            <w:r>
              <w:t xml:space="preserve">, </w:t>
            </w:r>
            <w:r>
              <w:rPr>
                <w:rFonts w:ascii="Consolas" w:hAnsi="Consolas"/>
              </w:rPr>
              <w:t>POST /auth/local-login</w:t>
            </w:r>
            <w:r>
              <w:t xml:space="preserve">, </w:t>
            </w:r>
            <w:r>
              <w:rPr>
                <w:rFonts w:ascii="Consolas" w:hAnsi="Consolas"/>
              </w:rPr>
              <w:t>POST /auth/ollama-login</w:t>
            </w:r>
            <w:r>
              <w:t xml:space="preserve">, </w:t>
            </w:r>
            <w:r>
              <w:rPr>
                <w:rFonts w:ascii="Consolas" w:hAnsi="Consolas"/>
              </w:rPr>
              <w:t>POST /auth/logout</w:t>
            </w:r>
            <w:r>
              <w:t xml:space="preserve">, </w:t>
            </w:r>
            <w:r>
              <w:rPr>
                <w:rFonts w:ascii="Consolas" w:hAnsi="Consolas"/>
              </w:rPr>
              <w:t>GET /auth/options</w:t>
            </w:r>
          </w:p>
        </w:tc>
      </w:tr>
      <w:tr>
        <w:tc>
          <w:tcPr>
            <w:tcW w:type="dxa" w:w="4320"/>
          </w:tcPr>
          <w:p>
            <w:r/>
            <w:r>
              <w:t>Modelli e quota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GET /ollama-models</w:t>
            </w:r>
            <w:r>
              <w:t xml:space="preserve">, </w:t>
            </w:r>
            <w:r>
              <w:rPr>
                <w:rFonts w:ascii="Consolas" w:hAnsi="Consolas"/>
              </w:rPr>
              <w:t>GET/POST /session/model</w:t>
            </w:r>
            <w:r>
              <w:t xml:space="preserve">, </w:t>
            </w:r>
            <w:r>
              <w:rPr>
                <w:rFonts w:ascii="Consolas" w:hAnsi="Consolas"/>
              </w:rPr>
              <w:t>GET /session/quota</w:t>
            </w:r>
          </w:p>
        </w:tc>
      </w:tr>
      <w:tr>
        <w:tc>
          <w:tcPr>
            <w:tcW w:type="dxa" w:w="4320"/>
          </w:tcPr>
          <w:p>
            <w:r/>
            <w:r>
              <w:t>Chat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POST /chat</w:t>
            </w:r>
            <w:r>
              <w:t xml:space="preserve">, </w:t>
            </w:r>
            <w:r>
              <w:rPr>
                <w:rFonts w:ascii="Consolas" w:hAnsi="Consolas"/>
              </w:rPr>
              <w:t>GET /chat-progress/{request_id}</w:t>
            </w:r>
            <w:r>
              <w:t xml:space="preserve">, </w:t>
            </w:r>
            <w:r>
              <w:rPr>
                <w:rFonts w:ascii="Consolas" w:hAnsi="Consolas"/>
              </w:rPr>
              <w:t>GET /chat-history</w:t>
            </w:r>
          </w:p>
        </w:tc>
      </w:tr>
      <w:tr>
        <w:tc>
          <w:tcPr>
            <w:tcW w:type="dxa" w:w="4320"/>
          </w:tcPr>
          <w:p>
            <w:r/>
            <w:r>
              <w:t>Analyze description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POST /analyze-description/table-options</w:t>
            </w:r>
            <w:r>
              <w:t xml:space="preserve">, </w:t>
            </w:r>
            <w:r>
              <w:rPr>
                <w:rFonts w:ascii="Consolas" w:hAnsi="Consolas"/>
              </w:rPr>
              <w:t>.../table-description</w:t>
            </w:r>
            <w:r>
              <w:t xml:space="preserve">, </w:t>
            </w:r>
            <w:r>
              <w:rPr>
                <w:rFonts w:ascii="Consolas" w:hAnsi="Consolas"/>
              </w:rPr>
              <w:t>.../table-description/cancel</w:t>
            </w:r>
          </w:p>
        </w:tc>
      </w:tr>
      <w:tr>
        <w:tc>
          <w:tcPr>
            <w:tcW w:type="dxa" w:w="4320"/>
          </w:tcPr>
          <w:p>
            <w:r/>
            <w:r>
              <w:t>Performance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POST /performance-trace/start</w:t>
            </w:r>
            <w:r>
              <w:t xml:space="preserve">, </w:t>
            </w:r>
            <w:r>
              <w:rPr>
                <w:rFonts w:ascii="Consolas" w:hAnsi="Consolas"/>
              </w:rPr>
              <w:t>/stop</w:t>
            </w:r>
            <w:r>
              <w:t xml:space="preserve">, </w:t>
            </w:r>
            <w:r>
              <w:rPr>
                <w:rFonts w:ascii="Consolas" w:hAnsi="Consolas"/>
              </w:rPr>
              <w:t>/archive</w:t>
            </w:r>
            <w:r>
              <w:t xml:space="preserve">; </w:t>
            </w:r>
            <w:r>
              <w:rPr>
                <w:rFonts w:ascii="Consolas" w:hAnsi="Consolas"/>
              </w:rPr>
              <w:t>POST /measure-performance/catalog</w:t>
            </w:r>
            <w:r>
              <w:t xml:space="preserve">, </w:t>
            </w:r>
            <w:r>
              <w:rPr>
                <w:rFonts w:ascii="Consolas" w:hAnsi="Consolas"/>
              </w:rPr>
              <w:t>/run</w:t>
            </w:r>
          </w:p>
        </w:tc>
      </w:tr>
      <w:tr>
        <w:tc>
          <w:tcPr>
            <w:tcW w:type="dxa" w:w="4320"/>
          </w:tcPr>
          <w:p>
            <w:r/>
            <w:r>
              <w:t>Archivio GitHub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GET /github/archive/status</w:t>
            </w:r>
            <w:r>
              <w:t xml:space="preserve">, </w:t>
            </w:r>
            <w:r>
              <w:rPr>
                <w:rFonts w:ascii="Consolas" w:hAnsi="Consolas"/>
              </w:rPr>
              <w:t>POST /github/archive/config</w:t>
            </w:r>
            <w:r>
              <w:t xml:space="preserve">, </w:t>
            </w:r>
            <w:r>
              <w:rPr>
                <w:rFonts w:ascii="Consolas" w:hAnsi="Consolas"/>
              </w:rPr>
              <w:t>POST /github/archive/upload</w:t>
            </w:r>
          </w:p>
        </w:tc>
      </w:tr>
    </w:tbl>
    <w:p>
      <w:pPr>
        <w:pStyle w:val="Heading1"/>
      </w:pPr>
      <w:r>
        <w:t>Dati persistiti (SQLite)</w:t>
      </w:r>
    </w:p>
    <w:p>
      <w:pPr>
        <w:pStyle w:val="ListBullet"/>
      </w:pPr>
      <w:r>
        <w:rPr>
          <w:rFonts w:ascii="Consolas" w:hAnsi="Consolas"/>
        </w:rPr>
        <w:t>auth_sessions</w:t>
      </w:r>
      <w:r>
        <w:t>: sessioni di login (provider, endpoint, configurazione archivio GitHub).</w:t>
      </w:r>
    </w:p>
    <w:p>
      <w:pPr>
        <w:pStyle w:val="ListBullet"/>
      </w:pPr>
      <w:r>
        <w:rPr>
          <w:rFonts w:ascii="Consolas" w:hAnsi="Consolas"/>
        </w:rPr>
        <w:t>chat_messages</w:t>
      </w:r>
      <w:r>
        <w:t>: cronologia delle richieste, raggruppata per modello Power BI nel pannello "Cronologia".</w:t>
      </w:r>
    </w:p>
    <w:p>
      <w:pPr>
        <w:pStyle w:val="Heading1"/>
      </w:pPr>
      <w:r>
        <w:t>Sicurezza</w:t>
      </w:r>
    </w:p>
    <w:p>
      <w:pPr>
        <w:pStyle w:val="ListBullet"/>
      </w:pPr>
      <w:r>
        <w:t>I token (Copilot, Azure, GitHub) vengono passati a runtime e non sono scritti nel codice.</w:t>
      </w:r>
    </w:p>
    <w:p>
      <w:pPr>
        <w:pStyle w:val="ListBullet"/>
      </w:pPr>
      <w:r>
        <w:t>Le sessioni usano identificativi casuali (</w:t>
      </w:r>
      <w:r>
        <w:rPr>
          <w:rFonts w:ascii="Consolas" w:hAnsi="Consolas"/>
        </w:rPr>
        <w:t>secrets</w:t>
      </w:r>
      <w:r>
        <w:t>).</w:t>
      </w:r>
    </w:p>
    <w:p>
      <w:pPr>
        <w:pStyle w:val="ListBullet"/>
      </w:pPr>
      <w:r>
        <w:t xml:space="preserve">In produzione la webapp è protetta da </w:t>
      </w:r>
      <w:r>
        <w:rPr>
          <w:b/>
        </w:rPr>
        <w:t>oauth2-proxy</w:t>
      </w:r>
      <w:r>
        <w:t xml:space="preserve"> (</w:t>
      </w:r>
      <w:r>
        <w:rPr>
          <w:rFonts w:ascii="Consolas" w:hAnsi="Consolas"/>
        </w:rPr>
        <w:t>oauth2-proxy/</w:t>
      </w:r>
      <w:r>
        <w:t xml:space="preserve">, </w:t>
      </w:r>
      <w:r>
        <w:rPr>
          <w:rFonts w:ascii="Consolas" w:hAnsi="Consolas"/>
        </w:rPr>
        <w:t>helm/templates/configmap-oauth2.yaml</w:t>
      </w:r>
      <w:r>
        <w:t>).</w:t>
      </w:r>
    </w:p>
    <w:p>
      <w:pPr>
        <w:pStyle w:val="ListBullet"/>
      </w:pPr>
      <w:r>
        <w:t>Il container gira con utente non privilegiato (</w:t>
      </w:r>
      <w:r>
        <w:rPr>
          <w:rFonts w:ascii="Consolas" w:hAnsi="Consolas"/>
        </w:rPr>
        <w:t>appuser</w:t>
      </w:r>
      <w:r>
        <w:t>, uid 10001).</w:t>
      </w:r>
    </w:p>
    <w:p>
      <w:pPr>
        <w:pStyle w:val="ListBullet"/>
      </w:pPr>
      <w:r>
        <w:t>Ollama invia le richieste solo al servizio locale, senza fallback ad Azure.</w:t>
      </w:r>
    </w:p>
    <w:p>
      <w:pPr>
        <w:pStyle w:val="ListBullet"/>
      </w:pPr>
      <w:r>
        <w:t xml:space="preserve">Esistono configurazioni di analisi di sicurezza: </w:t>
      </w:r>
      <w:r>
        <w:rPr>
          <w:rFonts w:ascii="Consolas" w:hAnsi="Consolas"/>
        </w:rPr>
        <w:t>dependency_check_suppressions.xml</w:t>
      </w:r>
      <w:r>
        <w:t xml:space="preserve">, </w:t>
      </w:r>
      <w:r>
        <w:rPr>
          <w:rFonts w:ascii="Consolas" w:hAnsi="Consolas"/>
        </w:rPr>
        <w:t>license_finder_decisions.yml</w:t>
      </w:r>
      <w:r>
        <w:t xml:space="preserve">, </w:t>
      </w:r>
      <w:r>
        <w:rPr>
          <w:rFonts w:ascii="Consolas" w:hAnsi="Consolas"/>
        </w:rPr>
        <w:t>sonar-project.properties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A37E61-5446-49D3-9EA8-DDAFA5F15C0D}"/>
</file>

<file path=customXml/itemProps3.xml><?xml version="1.0" encoding="utf-8"?>
<ds:datastoreItem xmlns:ds="http://schemas.openxmlformats.org/officeDocument/2006/customXml" ds:itemID="{50126458-1F26-4A42-89D7-448E49C09833}"/>
</file>

<file path=customXml/itemProps4.xml><?xml version="1.0" encoding="utf-8"?>
<ds:datastoreItem xmlns:ds="http://schemas.openxmlformats.org/officeDocument/2006/customXml" ds:itemID="{2F28F2AB-59D7-4505-945B-51E6B1A799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