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COUNTERCYCLICAL DEFI</w:t>
        <w:br/>
      </w:r>
      <w:r>
        <w:rPr>
          <w:b/>
        </w:rPr>
        <w:t>A Treasury-Constrained Control Framework for Systemic Risk</w:t>
      </w:r>
    </w:p>
    <w:p>
      <w:pPr>
        <w:jc w:val="center"/>
      </w:pPr>
      <w:r>
        <w:rPr>
          <w:i/>
        </w:rPr>
        <w:t>Theoretical and Engineering Specification — Research/Grant Submission Version</w:t>
      </w:r>
    </w:p>
    <w:p>
      <w:pPr>
        <w:pStyle w:val="Heading1"/>
      </w:pPr>
      <w:r>
        <w:t>Abstract</w:t>
      </w:r>
    </w:p>
    <w:p>
      <w:r>
        <w:t>Modern DeFi systems enable rapid capital transfer, automated lending, liquidations, and deep composability. These properties increase efficiency under normal conditions, but they can amplify systemic shocks: a decline in collateral value triggers liquidations, sales worsen market depth, and deteriorating prices trigger further liquidations.</w:t>
        <w:br/>
        <w:br/>
        <w:t>We propose a countercyclical architecture for systemic-risk management in which the protocol does not attempt to continuously support an asset price or stimulate activity. Instead, it observes market conditions, evaluates systemic stress through a multidimensional System Stress Index (SSI), switches policy regimes, and carries out limited interventions from a pre-funded treasury.</w:t>
        <w:br/>
        <w:br/>
        <w:t>The key research objective is to test whether a treasury-constrained, state-dependent control policy can reduce the expected systemic damage from DeFi shocks relative to conventional risk-management policies. The theory is formulated as a constrained stochastic control problem and is intended to be evaluated through simulation followed by a prototype on Ethereum-compatible infrastructure.</w:t>
      </w:r>
    </w:p>
    <w:p>
      <w:pPr>
        <w:pStyle w:val="Heading1"/>
      </w:pPr>
      <w:r>
        <w:t>1. Research Problem Formulation</w:t>
      </w:r>
    </w:p>
    <w:p>
      <w:pPr>
        <w:pStyle w:val="Heading2"/>
      </w:pPr>
      <w:r>
        <w:t>1.1. Research Question</w:t>
      </w:r>
    </w:p>
    <w:p>
      <w:r>
        <w:t>Main research question:</w:t>
      </w:r>
    </w:p>
    <w:p>
      <w:r>
        <w:t>Can a treasury-constrained, state-dependent control policy reduce the expected systemic loss from DeFi liquidation cascades relative to conventional risk-management policies?</w:t>
      </w:r>
    </w:p>
    <w:p>
      <w:r>
        <w:t>In other words: can a treasury-constrained, state-dependent control policy reduce the expected damage from liquidation cascades relative to conventional risk-management policies?</w:t>
      </w:r>
    </w:p>
    <w:p>
      <w:pPr>
        <w:pStyle w:val="Heading2"/>
      </w:pPr>
      <w:r>
        <w:t>1.2. Hypotheses</w:t>
      </w:r>
    </w:p>
    <w:p>
      <w:pPr>
        <w:pStyle w:val="ListBullet"/>
      </w:pPr>
      <w:r>
        <w:t>H1 — SSI: a multidimensional System Stress Index can provide a more informative systemic-stress signal than a policy based solely on utilization.</w:t>
      </w:r>
    </w:p>
    <w:p>
      <w:pPr>
        <w:pStyle w:val="ListBullet"/>
      </w:pPr>
      <w:r>
        <w:t>H2 — Countercyclical intervention: timely, limited intervention can reduce maximum drawdown, the volume of cascade liquidations, and liquidity recovery time.</w:t>
      </w:r>
    </w:p>
    <w:p>
      <w:pPr>
        <w:pStyle w:val="ListBullet"/>
      </w:pPr>
      <w:r>
        <w:t>H3 — Treasury constraint: there is an economically meaningful optimum between damage prevented and treasury expenditure; increasing intervention beyond a certain level may have negative marginal returns.</w:t>
      </w:r>
    </w:p>
    <w:p>
      <w:pPr>
        <w:pStyle w:val="ListBullet"/>
      </w:pPr>
      <w:r>
        <w:t>H4 — Hysteresis: separate entry and exit thresholds for the crisis regime reduce the frequency of false switches without materially degrading the response to a genuine shock.</w:t>
      </w:r>
    </w:p>
    <w:p>
      <w:pPr>
        <w:pStyle w:val="Heading1"/>
      </w:pPr>
      <w:r>
        <w:t>2. From “Keynesianism on the Blockchain” to a Theory of Countercyclical Control</w:t>
      </w:r>
    </w:p>
    <w:p>
      <w:r>
        <w:t>The term “Keynesian” is used as a historical and conceptual motivation, not as a claim that DeFi reproduces the classical macroeconomic Liquidity Trap. In strict terms, the object of study is feedback dynamics, deleveraging, liquidity shocks, and cascade liquidation in decentralized financial systems.</w:t>
        <w:br/>
        <w:br/>
        <w:t>Central principle: the objective of intervention is not to maximize the price of the protocol’s own token, TVL, or any form of activity, but to minimize expected systemic damage subject to a limited reserve.</w:t>
      </w:r>
    </w:p>
    <w:p>
      <w:pPr>
        <w:pStyle w:val="Heading1"/>
      </w:pPr>
      <w:r>
        <w:t>3. Systemic Shock Mechanism</w:t>
      </w:r>
    </w:p>
    <w:p>
      <w:r>
        <w:t>When collateral value falls, a positive feedback loop emerges:</w:t>
      </w:r>
    </w:p>
    <w:p>
      <w:r>
        <w:t>Price decline → deterioration of the collateral ratio → liquidations → collateral sales → reduced market depth → further price decline → new liquidations.</w:t>
      </w:r>
    </w:p>
    <w:p>
      <w:r>
        <w:t>An additional channel is related to the behavior of liquidity providers. Increased uncertainty can trigger capital outflows from risky pools. Therefore, increasing the interest rate alone does not guarantee liquidity recovery.</w:t>
        <w:br/>
        <w:br/>
        <w:t>Therefore, the controller must simultaneously account for the price of risk, liquidity availability, liquidation velocity, and changes in demand.</w:t>
      </w:r>
    </w:p>
    <w:p>
      <w:pPr>
        <w:pStyle w:val="Heading1"/>
      </w:pPr>
      <w:r>
        <w:t>4. System Stress Index</w:t>
      </w:r>
    </w:p>
    <w:p>
      <w:r>
        <w:t>Instead of a single utilization indicator, we introduce the System Stress Index:</w:t>
      </w:r>
    </w:p>
    <w:p>
      <w:r>
        <w:t>SSI_t = Σᵢ wᵢ xᵢ,t</w:t>
      </w:r>
    </w:p>
    <w:p>
      <w:r>
        <w:t>where xᵢ,t are normalized systemic-risk components and the weights wᵢ are non-negative and normalized.</w:t>
      </w:r>
    </w:p>
    <w:p>
      <w:pPr>
        <w:pStyle w:val="ListBullet"/>
      </w:pPr>
      <w:r>
        <w:t>Volatility — normalized realized and/or implied volatility.</w:t>
      </w:r>
    </w:p>
    <w:p>
      <w:pPr>
        <w:pStyle w:val="ListBullet"/>
      </w:pPr>
      <w:r>
        <w:t>Drawdown — current drawdown relative to a rolling maximum.</w:t>
      </w:r>
    </w:p>
    <w:p>
      <w:pPr>
        <w:pStyle w:val="ListBullet"/>
      </w:pPr>
      <w:r>
        <w:t>UtilizationDeviation — deviation of utilization from the safe range.</w:t>
      </w:r>
    </w:p>
    <w:p>
      <w:pPr>
        <w:pStyle w:val="ListBullet"/>
      </w:pPr>
      <w:r>
        <w:t>LiquidationVelocity — rate of change in liquidation volume.</w:t>
      </w:r>
    </w:p>
    <w:p>
      <w:pPr>
        <w:pStyle w:val="ListBullet"/>
      </w:pPr>
      <w:r>
        <w:t>LiquidityGap — shortage of available market depth.</w:t>
      </w:r>
    </w:p>
    <w:p>
      <w:pPr>
        <w:pStyle w:val="ListBullet"/>
      </w:pPr>
      <w:r>
        <w:t>DemandShock — rate of change in aggregate demand.</w:t>
      </w:r>
    </w:p>
    <w:p>
      <w:r>
        <w:t>Components should be winsorized/clipped or otherwise bounded so that a single outlier does not create an excessive response. The signal should be smoothed over time.</w:t>
        <w:br/>
        <w:br/>
        <w:t>SSI is not the sole source of truth. Critical actions require oracle redundancy, sanity checks, rate limits, confirmation delays, and protection against short-term manipulation.</w:t>
      </w:r>
    </w:p>
    <w:p>
      <w:pPr>
        <w:pStyle w:val="Heading1"/>
      </w:pPr>
      <w:r>
        <w:t>5. Formal State Model</w:t>
      </w:r>
    </w:p>
    <w:p>
      <w:r>
        <w:t>The system state at time t is represented by the vector:</w:t>
      </w:r>
    </w:p>
    <w:p>
      <w:r>
        <w:t>X_t = [P_t, Vol_t, U_t, L_t, Q_t, T_t, D_t]</w:t>
      </w:r>
    </w:p>
    <w:p>
      <w:r>
        <w:t>where P is the collateral price, Vol is volatility, U is utilization, L is the liquidity state, Q is the liquidation flow, T is available treasury, and D is aggregate demand.</w:t>
      </w:r>
    </w:p>
    <w:p>
      <w:r>
        <w:t>Control actions:</w:t>
      </w:r>
    </w:p>
    <w:p>
      <w:r>
        <w:t>A_t = [r_t, LTV_t, LT_t, I_t]</w:t>
      </w:r>
    </w:p>
    <w:p>
      <w:r>
        <w:t>where r is the borrowing cost, LTV is permitted leverage, LT is the liquidation threshold, and I is the treasury intervention amount.</w:t>
      </w:r>
    </w:p>
    <w:p>
      <w:r>
        <w:t>The system dynamics are specified abstractly as:</w:t>
      </w:r>
    </w:p>
    <w:p>
      <w:r>
        <w:t>X_{t+1} = F(X_t, A_t, ε_t)</w:t>
      </w:r>
    </w:p>
    <w:p>
      <w:r>
        <w:t>where ε_t represents external market shocks and model uncertainty.</w:t>
      </w:r>
    </w:p>
    <w:p>
      <w:pPr>
        <w:pStyle w:val="Heading1"/>
      </w:pPr>
      <w:r>
        <w:t>6. Monetary and Risk Module</w:t>
      </w:r>
    </w:p>
    <w:p>
      <w:r>
        <w:t>The base borrowing cost can be written as:</w:t>
      </w:r>
    </w:p>
    <w:p>
      <w:r>
        <w:t>r_t = r_base + f(U_t) + g(SSI_t)</w:t>
      </w:r>
    </w:p>
    <w:p>
      <w:r>
        <w:t>However, the interest rate is not a universal stabilization instrument. A distinction must be made between price-of-risk and quantity-of-risk.</w:t>
        <w:br/>
        <w:br/>
        <w:t>With excessive leverage, increasing the cost of new risk may be justified. During a crisis, priorities may instead include restricting new borrowing, reducing LTV, increasing collateral requirements, and changing liquidation parameters. Thus, the policy function should depend on the regime and the structure of the shock.</w:t>
      </w:r>
    </w:p>
    <w:p>
      <w:pPr>
        <w:pStyle w:val="Heading1"/>
      </w:pPr>
      <w:r>
        <w:t>7. Dynamic Liquidations and Circuit Breakers</w:t>
      </w:r>
    </w:p>
    <w:p>
      <w:pPr>
        <w:pStyle w:val="ListBullet"/>
      </w:pPr>
      <w:r>
        <w:t>Normal: standard LTV and liquidation thresholds.</w:t>
      </w:r>
    </w:p>
    <w:p>
      <w:pPr>
        <w:pStyle w:val="ListBullet"/>
      </w:pPr>
      <w:r>
        <w:t>Accumulation: capital preservation and reserve building.</w:t>
      </w:r>
    </w:p>
    <w:p>
      <w:pPr>
        <w:pStyle w:val="ListBullet"/>
      </w:pPr>
      <w:r>
        <w:t>Stress: gradual reduction of permitted new LTV and intensified monitoring.</w:t>
      </w:r>
    </w:p>
    <w:p>
      <w:pPr>
        <w:pStyle w:val="ListBullet"/>
      </w:pPr>
      <w:r>
        <w:t>Crisis: restrictions on new risk positions, protective liquidation parameters, and permitted interventions.</w:t>
      </w:r>
    </w:p>
    <w:p>
      <w:pPr>
        <w:pStyle w:val="ListBullet"/>
      </w:pPr>
      <w:r>
        <w:t>Recovery: phased removal of restrictions after a sustained decline in SSI.</w:t>
      </w:r>
    </w:p>
    <w:p>
      <w:r>
        <w:t>A full halt to liquidations is not the baseline mechanism: it can merely delay loss recognition. A circuit breaker should be time-limited, have predefined entry/exit conditions, and include an emergency shutdown.</w:t>
      </w:r>
    </w:p>
    <w:p>
      <w:pPr>
        <w:pStyle w:val="Heading1"/>
      </w:pPr>
      <w:r>
        <w:t>8. Countercyclical Treasury</w:t>
      </w:r>
    </w:p>
    <w:p>
      <w:r>
        <w:t>The treasury accumulates a portion of the protocol’s sustainable revenues during favorable periods:</w:t>
      </w:r>
    </w:p>
    <w:p>
      <w:r>
        <w:t>Treasury_{t+1} = Treasury_t + Revenue_t − Intervention_t − Costs_t</w:t>
      </w:r>
    </w:p>
    <w:p>
      <w:r>
        <w:t>The reserve should not be automatically invested in highly correlated or high-risk ecosystem assets. Reserve criteria include liquidity, depeg risk, asset correlation, and the ability to execute an authorized intervention quickly.</w:t>
      </w:r>
    </w:p>
    <w:p>
      <w:r>
        <w:t>Overall budget constraint:</w:t>
      </w:r>
    </w:p>
    <w:p>
      <w:r>
        <w:t>0 ≤ I_t ≤ max(0, Treasury_t − MinimumReserve)</w:t>
      </w:r>
    </w:p>
    <w:p>
      <w:r>
        <w:t>This means that the protocol is not a lender of last resort with unlimited issuance.</w:t>
      </w:r>
    </w:p>
    <w:p>
      <w:pPr>
        <w:pStyle w:val="Heading2"/>
      </w:pPr>
      <w:r>
        <w:t>8.1. Permitted Types of Intervention</w:t>
      </w:r>
    </w:p>
    <w:p>
      <w:pPr>
        <w:pStyle w:val="ListBullet"/>
      </w:pPr>
      <w:r>
        <w:t>temporary support for market depth in critical markets;</w:t>
      </w:r>
    </w:p>
    <w:p>
      <w:pPr>
        <w:pStyle w:val="ListBullet"/>
      </w:pPr>
      <w:r>
        <w:t>limited liquidity subsidies;</w:t>
      </w:r>
    </w:p>
    <w:p>
      <w:pPr>
        <w:pStyle w:val="ListBullet"/>
      </w:pPr>
      <w:r>
        <w:t>predefined insurance coverage for specific systemic losses;</w:t>
      </w:r>
    </w:p>
    <w:p>
      <w:pPr>
        <w:pStyle w:val="ListBullet"/>
      </w:pPr>
      <w:r>
        <w:t>limited support for critical infrastructure and developer/public-goods capacity, if this is part of a formally specified policy function;</w:t>
      </w:r>
    </w:p>
    <w:p>
      <w:pPr>
        <w:pStyle w:val="ListBullet"/>
      </w:pPr>
      <w:r>
        <w:t>buyback only where a verifiable economic function exists.</w:t>
      </w:r>
    </w:p>
    <w:p>
      <w:r>
        <w:t>Buyback &amp; Burn is not considered a universal stabilizer: under insufficient liquidity or insolvency, it may merely redistribute the reserve and increase risk concentration.</w:t>
      </w:r>
    </w:p>
    <w:p>
      <w:pPr>
        <w:pStyle w:val="Heading1"/>
      </w:pPr>
      <w:r>
        <w:t>9. Regimes and Hysteresis</w:t>
      </w:r>
    </w:p>
    <w:p>
      <w:r>
        <w:t>A five-level state machine is used:</w:t>
      </w:r>
    </w:p>
    <w:p>
      <w:pPr>
        <w:pStyle w:val="ListBullet"/>
      </w:pPr>
      <w:r>
        <w:t>Normal — standard operation.</w:t>
      </w:r>
    </w:p>
    <w:p>
      <w:pPr>
        <w:pStyle w:val="ListBullet"/>
      </w:pPr>
      <w:r>
        <w:t>Accumulation — reserve accumulation.</w:t>
      </w:r>
    </w:p>
    <w:p>
      <w:pPr>
        <w:pStyle w:val="ListBullet"/>
      </w:pPr>
      <w:r>
        <w:t>Stress — early protective response.</w:t>
      </w:r>
    </w:p>
    <w:p>
      <w:pPr>
        <w:pStyle w:val="ListBullet"/>
      </w:pPr>
      <w:r>
        <w:t>Crisis — limited countercyclical intervention.</w:t>
      </w:r>
    </w:p>
    <w:p>
      <w:pPr>
        <w:pStyle w:val="ListBullet"/>
      </w:pPr>
      <w:r>
        <w:t>Recovery — gradual return to normal parameters.</w:t>
      </w:r>
    </w:p>
    <w:p>
      <w:r>
        <w:t>Different thresholds are used to prevent oscillation:</w:t>
      </w:r>
    </w:p>
    <w:p>
      <w:r>
        <w:t>Crisis when SSI_t &gt; θ_high; Recovery after SSI_t &lt; θ_low, where θ_low &lt; θ_high.</w:t>
      </w:r>
    </w:p>
    <w:p>
      <w:r>
        <w:t>Minimum dwell time and rate limits on parameter changes may also be used.</w:t>
      </w:r>
    </w:p>
    <w:p>
      <w:pPr>
        <w:pStyle w:val="Heading1"/>
      </w:pPr>
      <w:r>
        <w:t>10. Optimal Control Problem</w:t>
      </w:r>
    </w:p>
    <w:p>
      <w:r>
        <w:t>Policy π is chosen to minimize expected discounted systemic damage:</w:t>
      </w:r>
    </w:p>
    <w:p>
      <w:r>
        <w:t>min_π E[ Σ_t β^t (λ₁ Loss_t + λ₂ Volatility_t + λ₃ InsolvencyRisk_t + λ₄ TreasuryDepletion_t + λ₅ InterventionCost_t) ]</w:t>
      </w:r>
    </w:p>
    <w:p>
      <w:r>
        <w:t>subject to:</w:t>
      </w:r>
    </w:p>
    <w:p>
      <w:pPr>
        <w:pStyle w:val="ListBullet"/>
      </w:pPr>
      <w:r>
        <w:t>Intervention_t ≤ Treasury_t − MinimumReserve;</w:t>
      </w:r>
    </w:p>
    <w:p>
      <w:pPr>
        <w:pStyle w:val="ListBullet"/>
      </w:pPr>
      <w:r>
        <w:t>LTV_t, liquidation parameters, and other risk controls remain within the permitted range;</w:t>
      </w:r>
    </w:p>
    <w:p>
      <w:pPr>
        <w:pStyle w:val="ListBullet"/>
      </w:pPr>
      <w:r>
        <w:t>each intervention has a maximum budget and a time limit;</w:t>
      </w:r>
    </w:p>
    <w:p>
      <w:pPr>
        <w:pStyle w:val="ListBullet"/>
      </w:pPr>
      <w:r>
        <w:t>the rate of parameter changes is limited;</w:t>
      </w:r>
    </w:p>
    <w:p>
      <w:pPr>
        <w:pStyle w:val="ListBullet"/>
      </w:pPr>
      <w:r>
        <w:t>data pass oracle/sanity checks;</w:t>
      </w:r>
    </w:p>
    <w:p>
      <w:pPr>
        <w:pStyle w:val="ListBullet"/>
      </w:pPr>
      <w:r>
        <w:t>after the available reserve is exhausted, the policy switches to controlled deleveraging.</w:t>
      </w:r>
    </w:p>
    <w:p>
      <w:r>
        <w:t>Thus, the theory is formulated as a constrained stochastic control problem rather than as a collection of economic analogies.</w:t>
      </w:r>
    </w:p>
    <w:p>
      <w:pPr>
        <w:pStyle w:val="Heading1"/>
      </w:pPr>
      <w:r>
        <w:t>11. Liquidity Multiplier and Economic Multiplier</w:t>
      </w:r>
    </w:p>
    <w:p>
      <w:r>
        <w:t>Composability allows a single unit of capital to participate in multiple protocols, but repeated reuse of collateral is not evidence of additional real economic activity.</w:t>
      </w:r>
    </w:p>
    <w:p>
      <w:r>
        <w:t>M_liquidity = AggregateExposure / TreasuryInjection</w:t>
      </w:r>
    </w:p>
    <w:p>
      <w:r>
        <w:t>M_economic = IncrementalEconomicActivity / TreasuryInjection</w:t>
      </w:r>
    </w:p>
    <w:p>
      <w:r>
        <w:t>M_liquidity can be high because of leverage and rehypothecation, whereas M_economic requires empirical validation. A higher liquidity multiplier under stress may increase the speed of deleveraging.</w:t>
      </w:r>
    </w:p>
    <w:p>
      <w:r>
        <w:t>The objective of the policy is not to maximize the multiplier, but to maximize sustainable activity while constraining systemic leverage.</w:t>
      </w:r>
    </w:p>
    <w:p>
      <w:pPr>
        <w:pStyle w:val="Heading1"/>
      </w:pPr>
      <w:r>
        <w:t>12. Architecture of the Ethereum-Compatible Prototype</w:t>
      </w:r>
    </w:p>
    <w:p>
      <w:pPr>
        <w:pStyle w:val="ListBullet"/>
      </w:pPr>
      <w:r>
        <w:t>Oracle &amp; Market Data Layer — aggregates prices, liquidity, volatility, volumes, and market parameters.</w:t>
      </w:r>
    </w:p>
    <w:p>
      <w:pPr>
        <w:pStyle w:val="ListBullet"/>
      </w:pPr>
      <w:r>
        <w:t>State Aggregator — calculates SSI, liquidity metrics, utilization, liquidation velocity, and treasury state.</w:t>
      </w:r>
    </w:p>
    <w:p>
      <w:pPr>
        <w:pStyle w:val="ListBullet"/>
      </w:pPr>
      <w:r>
        <w:t>Risk &amp; Monetary Engine — determines the regime and updates permitted risk parameters.</w:t>
      </w:r>
    </w:p>
    <w:p>
      <w:pPr>
        <w:pStyle w:val="ListBullet"/>
      </w:pPr>
      <w:r>
        <w:t>Treasury &amp; Execution Layer — executes only pre-authorized actions within budget, time-limit, and cancellation conditions.</w:t>
      </w:r>
    </w:p>
    <w:p>
      <w:pPr>
        <w:pStyle w:val="ListBullet"/>
      </w:pPr>
      <w:r>
        <w:t>Audit/Telemetry Layer — records state, policy decisions, and intervention outcomes for independent analysis.</w:t>
      </w:r>
    </w:p>
    <w:p>
      <w:r>
        <w:t>The execution layer should not have unrestricted discretion. The policy should be as deterministic and verifiable as possible; complex optimization may be used for research/simulation, while on-chain execution should have strict safety constraints.</w:t>
      </w:r>
    </w:p>
    <w:p>
      <w:pPr>
        <w:pStyle w:val="Heading1"/>
      </w:pPr>
      <w:r>
        <w:t>13. Protection Against Abuse</w:t>
      </w:r>
    </w:p>
    <w:p>
      <w:pPr>
        <w:pStyle w:val="ListBullet"/>
      </w:pPr>
      <w:r>
        <w:t>oracle manipulation;</w:t>
      </w:r>
    </w:p>
    <w:p>
      <w:pPr>
        <w:pStyle w:val="ListBullet"/>
      </w:pPr>
      <w:r>
        <w:t>wash trading and artificial volume inflation;</w:t>
      </w:r>
    </w:p>
    <w:p>
      <w:pPr>
        <w:pStyle w:val="ListBullet"/>
      </w:pPr>
      <w:r>
        <w:t>utilization manipulation;</w:t>
      </w:r>
    </w:p>
    <w:p>
      <w:pPr>
        <w:pStyle w:val="ListBullet"/>
      </w:pPr>
      <w:r>
        <w:t>attacks on liquidity depth;</w:t>
      </w:r>
    </w:p>
    <w:p>
      <w:pPr>
        <w:pStyle w:val="ListBullet"/>
      </w:pPr>
      <w:r>
        <w:t>front-running of an expected intervention;</w:t>
      </w:r>
    </w:p>
    <w:p>
      <w:pPr>
        <w:pStyle w:val="ListBullet"/>
      </w:pPr>
      <w:r>
        <w:t>creating short-term stress to extract treasury funds;</w:t>
      </w:r>
    </w:p>
    <w:p>
      <w:pPr>
        <w:pStyle w:val="ListBullet"/>
      </w:pPr>
      <w:r>
        <w:t>policy gaming through predictable thresholds.</w:t>
      </w:r>
    </w:p>
    <w:p>
      <w:r>
        <w:t>Protective measures: smoothing, multiple data sources, clipping, rate limits, hysteresis, minimum dwell time, budget caps, cooldown periods, independent sanity checks, and an emergency shutdown capability.</w:t>
      </w:r>
    </w:p>
    <w:p>
      <w:pPr>
        <w:pStyle w:val="Heading1"/>
      </w:pPr>
      <w:r>
        <w:t>14. Testable Experimental Program</w:t>
      </w:r>
    </w:p>
    <w:p>
      <w:r>
        <w:t>The main difference between the research version and a conceptual whitepaper is mandatory empirical validation.</w:t>
      </w:r>
    </w:p>
    <w:p>
      <w:pPr>
        <w:pStyle w:val="Heading2"/>
      </w:pPr>
      <w:r>
        <w:t>14.1. Policies to Compare</w:t>
      </w:r>
    </w:p>
    <w:p>
      <w:pPr>
        <w:pStyle w:val="ListBullet"/>
      </w:pPr>
      <w:r>
        <w:t>Baseline A — static risk parameters.</w:t>
      </w:r>
    </w:p>
    <w:p>
      <w:pPr>
        <w:pStyle w:val="ListBullet"/>
      </w:pPr>
      <w:r>
        <w:t>Baseline B — utilization-based policy.</w:t>
      </w:r>
    </w:p>
    <w:p>
      <w:pPr>
        <w:pStyle w:val="ListBullet"/>
      </w:pPr>
      <w:r>
        <w:t>Policy C — SSI-based policy without treasury intervention.</w:t>
      </w:r>
    </w:p>
    <w:p>
      <w:pPr>
        <w:pStyle w:val="ListBullet"/>
      </w:pPr>
      <w:r>
        <w:t>Policy D — SSI + treasury + regime switching + hysteresis.</w:t>
      </w:r>
    </w:p>
    <w:p>
      <w:pPr>
        <w:pStyle w:val="ListBullet"/>
      </w:pPr>
      <w:r>
        <w:t>Policy E — benchmark optimal/control policy in simulation.</w:t>
      </w:r>
    </w:p>
    <w:p>
      <w:pPr>
        <w:pStyle w:val="Heading2"/>
      </w:pPr>
      <w:r>
        <w:t>14.2. Scenarios</w:t>
      </w:r>
    </w:p>
    <w:p>
      <w:pPr>
        <w:pStyle w:val="ListBullet"/>
      </w:pPr>
      <w:r>
        <w:t>moderate price shock;</w:t>
      </w:r>
    </w:p>
    <w:p>
      <w:pPr>
        <w:pStyle w:val="ListBullet"/>
      </w:pPr>
      <w:r>
        <w:t>rapid collateral price collapse;</w:t>
      </w:r>
    </w:p>
    <w:p>
      <w:pPr>
        <w:pStyle w:val="ListBullet"/>
      </w:pPr>
      <w:r>
        <w:t>simultaneous price + liquidity shock;</w:t>
      </w:r>
    </w:p>
    <w:p>
      <w:pPr>
        <w:pStyle w:val="ListBullet"/>
      </w:pPr>
      <w:r>
        <w:t>high leverage before the shock;</w:t>
      </w:r>
    </w:p>
    <w:p>
      <w:pPr>
        <w:pStyle w:val="ListBullet"/>
      </w:pPr>
      <w:r>
        <w:t>oracle/data degradation;</w:t>
      </w:r>
    </w:p>
    <w:p>
      <w:pPr>
        <w:pStyle w:val="ListBullet"/>
      </w:pPr>
      <w:r>
        <w:t>repeated shocks with a short recovery period.</w:t>
      </w:r>
    </w:p>
    <w:p>
      <w:pPr>
        <w:pStyle w:val="Heading2"/>
      </w:pPr>
      <w:r>
        <w:t>14.3. Metrics</w:t>
      </w:r>
    </w:p>
    <w:p>
      <w:pPr>
        <w:pStyle w:val="ListBullet"/>
      </w:pPr>
      <w:r>
        <w:t>maximum drawdown;</w:t>
      </w:r>
    </w:p>
    <w:p>
      <w:pPr>
        <w:pStyle w:val="ListBullet"/>
      </w:pPr>
      <w:r>
        <w:t>volume and velocity of cascade liquidations;</w:t>
      </w:r>
    </w:p>
    <w:p>
      <w:pPr>
        <w:pStyle w:val="ListBullet"/>
      </w:pPr>
      <w:r>
        <w:t>liquidity recovery time;</w:t>
      </w:r>
    </w:p>
    <w:p>
      <w:pPr>
        <w:pStyle w:val="ListBullet"/>
      </w:pPr>
      <w:r>
        <w:t>insolvency frequency and severity;</w:t>
      </w:r>
    </w:p>
    <w:p>
      <w:pPr>
        <w:pStyle w:val="ListBullet"/>
      </w:pPr>
      <w:r>
        <w:t>volatility;</w:t>
      </w:r>
    </w:p>
    <w:p>
      <w:pPr>
        <w:pStyle w:val="ListBullet"/>
      </w:pPr>
      <w:r>
        <w:t>treasury loss and residual reserve;</w:t>
      </w:r>
    </w:p>
    <w:p>
      <w:pPr>
        <w:pStyle w:val="ListBullet"/>
      </w:pPr>
      <w:r>
        <w:t>intervention cost;</w:t>
      </w:r>
    </w:p>
    <w:p>
      <w:pPr>
        <w:pStyle w:val="ListBullet"/>
      </w:pPr>
      <w:r>
        <w:t>cost per unit of prevented systemic loss;</w:t>
      </w:r>
    </w:p>
    <w:p>
      <w:pPr>
        <w:pStyle w:val="ListBullet"/>
      </w:pPr>
      <w:r>
        <w:t>frequency of regime switching;</w:t>
      </w:r>
    </w:p>
    <w:p>
      <w:pPr>
        <w:pStyle w:val="ListBullet"/>
      </w:pPr>
      <w:r>
        <w:t>false-positive/false-negative crisis signals.</w:t>
      </w:r>
    </w:p>
    <w:p>
      <w:pPr>
        <w:pStyle w:val="Heading2"/>
      </w:pPr>
      <w:r>
        <w:t>14.4. Primary Success Criterion</w:t>
      </w:r>
    </w:p>
    <w:p>
      <w:r>
        <w:t>A countercyclical policy is considered an improvement if, at a comparable or acceptable reserve expenditure, it statistically reduces expected systemic loss relative to the baseline policies. The result must be evaluated across a range of parameters and random seeds, rather than on a single preselected scenario.</w:t>
      </w:r>
    </w:p>
    <w:p>
      <w:pPr>
        <w:pStyle w:val="Heading1"/>
      </w:pPr>
      <w:r>
        <w:t>15. Falsifiability and Limitations</w:t>
      </w:r>
    </w:p>
    <w:p>
      <w:r>
        <w:t>The theory must allow for a negative result. If simulations and stress tests show that SSI does not outperform simpler indicators, treasury intervention systematically destroys more value than it prevents, or the policy creates new forms of moral hazard, the hypothesis should be considered unsupported.</w:t>
        <w:br/>
        <w:br/>
        <w:t>Model limitations include data quality, the choice of SSI weights, liquidity endogeneity, model representation of agent behavior, and the difference between simulation results and the real market. Therefore, simulation results should not be interpreted as proof of guaranteed on-chain effectiveness.</w:t>
      </w:r>
    </w:p>
    <w:p>
      <w:pPr>
        <w:pStyle w:val="Heading1"/>
      </w:pPr>
      <w:r>
        <w:t>16. Practical Perspective and MVP</w:t>
      </w:r>
    </w:p>
    <w:p>
      <w:r>
        <w:t>The most promising application is not a new algorithmic stablecoin, but a systemic-risk management layer built on top of an existing DeFi protocol or compatible ecosystem.</w:t>
      </w:r>
    </w:p>
    <w:p>
      <w:pPr>
        <w:pStyle w:val="ListBullet"/>
      </w:pPr>
      <w:r>
        <w:t>MVP 1: SSI calculation and telemetry dashboard;</w:t>
      </w:r>
    </w:p>
    <w:p>
      <w:pPr>
        <w:pStyle w:val="ListBullet"/>
      </w:pPr>
      <w:r>
        <w:t>MVP 2: dynamic risk parameters in a simulator;</w:t>
      </w:r>
    </w:p>
    <w:p>
      <w:pPr>
        <w:pStyle w:val="ListBullet"/>
      </w:pPr>
      <w:r>
        <w:t>MVP 3: treasury-constrained intervention module;</w:t>
      </w:r>
    </w:p>
    <w:p>
      <w:pPr>
        <w:pStyle w:val="ListBullet"/>
      </w:pPr>
      <w:r>
        <w:t>MVP 4: Ethereum-compatible testnet prototype;</w:t>
      </w:r>
    </w:p>
    <w:p>
      <w:pPr>
        <w:pStyle w:val="ListBullet"/>
      </w:pPr>
      <w:r>
        <w:t>after validation — an insurance layer, inter-protocol treasury, and more advanced optimization.</w:t>
      </w:r>
    </w:p>
    <w:p>
      <w:r>
        <w:t>Rebase and aggressive buyback should not be included in the first experiment: they introduce new economic mechanisms and make causal identification of the effect more difficult.</w:t>
      </w:r>
    </w:p>
    <w:p>
      <w:pPr>
        <w:pStyle w:val="Heading1"/>
      </w:pPr>
      <w:r>
        <w:t>17. Scientific Contribution</w:t>
      </w:r>
    </w:p>
    <w:p>
      <w:pPr>
        <w:pStyle w:val="ListBullet"/>
      </w:pPr>
      <w:r>
        <w:t>formalization of DeFi systemic-risk management as a constrained control problem;</w:t>
      </w:r>
    </w:p>
    <w:p>
      <w:pPr>
        <w:pStyle w:val="ListBullet"/>
      </w:pPr>
      <w:r>
        <w:t>multidimensional SSI instead of a single-metric risk trigger;</w:t>
      </w:r>
    </w:p>
    <w:p>
      <w:pPr>
        <w:pStyle w:val="ListBullet"/>
      </w:pPr>
      <w:r>
        <w:t>linkage between state-dependent risk parameters and limited treasury intervention;</w:t>
      </w:r>
    </w:p>
    <w:p>
      <w:pPr>
        <w:pStyle w:val="ListBullet"/>
      </w:pPr>
      <w:r>
        <w:t>explicit separation of liquidity amplification and economic activity;</w:t>
      </w:r>
    </w:p>
    <w:p>
      <w:pPr>
        <w:pStyle w:val="ListBullet"/>
      </w:pPr>
      <w:r>
        <w:t>hysteresis and a regime-based state machine for on-chain policy;</w:t>
      </w:r>
    </w:p>
    <w:p>
      <w:pPr>
        <w:pStyle w:val="ListBullet"/>
      </w:pPr>
      <w:r>
        <w:t>formalized evaluation of the trade-off between prevented damage and treasury expenditure.</w:t>
      </w:r>
    </w:p>
    <w:p>
      <w:r>
        <w:t>Key point: the work does not claim to provide a universal DeFi stabilizer. It proposes a testable framework in which stabilization effectiveness is an empirical question.</w:t>
      </w:r>
    </w:p>
    <w:p>
      <w:pPr>
        <w:pStyle w:val="Heading1"/>
      </w:pPr>
      <w:r>
        <w:t>18. Conclusion</w:t>
      </w:r>
    </w:p>
    <w:p>
      <w:r>
        <w:t>The proposed architecture is a synthesis of countercyclical policy, risk management, control theory, and DeFi mechanisms. Its central idea is to conserve resources during favorable conditions, measure systemic stress, intervene in a limited and timely manner, and then return to normal operations only after confirmed recovery.</w:t>
        <w:br/>
        <w:br/>
        <w:t>The primary success criterion is not token price growth, TVL maximization, or the volume of interventions performed. Success means reducing the expected cost of systemic shocks while preserving solvency and the minimum reserve.</w:t>
        <w:br/>
        <w:br/>
        <w:t>Thus, the “Keynesian engine of Web3” is better viewed as an initial conceptual metaphor, whereas the project’s rigorous research formulation is Countercyclical DeFi: A Treasury-Constrained Control Framework for Systemic Risk.</w:t>
      </w:r>
    </w:p>
    <w:p>
      <w:pPr>
        <w:pStyle w:val="Heading1"/>
      </w:pPr>
      <w:r>
        <w:t>Appendix A. Minimal Formalization of the Policy Function</w:t>
      </w:r>
    </w:p>
    <w:p>
      <w:r>
        <w:t>π: X_t → A_t</w:t>
      </w:r>
    </w:p>
    <w:p>
      <w:r>
        <w:t>A_t = π(X_t, SSI_t, Regime_t, Treasury_t)</w:t>
      </w:r>
    </w:p>
    <w:p>
      <w:r>
        <w:t>The policy must satisfy safety constraints and budget constraints. Policy optimization is performed in the simulation/research layer; on-chain execution is restricted to a predefined set of permitted actions.</w:t>
      </w:r>
    </w:p>
    <w:p>
      <w:pPr>
        <w:pStyle w:val="Heading1"/>
      </w:pPr>
      <w:r>
        <w:t>Appendix B. Next Stage of Research</w:t>
      </w:r>
    </w:p>
    <w:p>
      <w:pPr>
        <w:pStyle w:val="ListBullet"/>
      </w:pPr>
      <w:r>
        <w:t>define exact normalization formulas for all SSI components;</w:t>
      </w:r>
    </w:p>
    <w:p>
      <w:pPr>
        <w:pStyle w:val="ListBullet"/>
      </w:pPr>
      <w:r>
        <w:t>select a method for calibrating the weights wᵢ and conduct sensitivity analysis;</w:t>
      </w:r>
    </w:p>
    <w:p>
      <w:pPr>
        <w:pStyle w:val="ListBullet"/>
      </w:pPr>
      <w:r>
        <w:t>build a stochastic/agent-based simulator;</w:t>
      </w:r>
    </w:p>
    <w:p>
      <w:pPr>
        <w:pStyle w:val="ListBullet"/>
      </w:pPr>
      <w:r>
        <w:t>reproduce historical DeFi stress episodes or synthetic shocks;</w:t>
      </w:r>
    </w:p>
    <w:p>
      <w:pPr>
        <w:pStyle w:val="ListBullet"/>
      </w:pPr>
      <w:r>
        <w:t>compare Baselines A–B and Policies C–E;</w:t>
      </w:r>
    </w:p>
    <w:p>
      <w:pPr>
        <w:pStyle w:val="ListBullet"/>
      </w:pPr>
      <w:r>
        <w:t>implement a minimal Ethereum-compatible prototype;</w:t>
      </w:r>
    </w:p>
    <w:p>
      <w:pPr>
        <w:pStyle w:val="ListBullet"/>
      </w:pPr>
      <w:r>
        <w:t>publish the code, experiment parameters, and results for reproducibility.</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Countercyclical DeFi — Research/Grant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