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/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/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/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adv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72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/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adv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schooldanger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72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72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/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дистанционная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/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/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безопасности жизнедеятельности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первичные умения по оказанию первой доврачебной помощи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правильному поведению в чрезвычайных ситуациях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безопасности жизнедеятельности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Сформировать первичные умения по оказанию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3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правильному поведению в чрезвычайных ситуациях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4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Сформировать начальные умения в проектной деятельности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72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Окружающая среда и опасности повседневной жизни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Понятия об опасных и вредных факторах окружающей среды. Источники опасных и вредных факторов на улице, дома, в природе. Пожары в жилых помещениях, причины их возникновения. Опасные факторы горения. Особенности горения синтетических материалов. Способы прекращения горения веществ и материалов. Подручные (первичные) средства пожаротушения и порядок их применения. Правила поведения и действия при возникновении загораний и пожара. Меры предохранения от получения ожогов, отравлений газом и дымом. Оказание первой помощи пострадавшим при пожаре.  Электробезопасность при пользовании электроэнергией в бытовых помещениях. Средства бытовой химии и меры предосторожности при их использовании. Правила поведения в общении с природой и животным миром.. Меры предосторожности во время грозы. Ядовитые растения, опасные животные и насекомые. Правила безопасного поведения на воде. 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Применение подручных средств пожаротушения, практика пользования техническими средствами пожаротушения, профилактика и оказание помощи при поражении электротоком, оказание помощи при отравлениях, оказание первой помощи утопающему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Первая доврачебная помощь.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Оказание первой помощи при кровотечениях, переломах, травмах головы, ушибах. Виды повязок. Наложение шин. Транспортировка пострадавшего, изготовление носилок из подручных средств. Транспортировка при травмах головы. Сердечно-легочная реанимация. Непрямой массаж сердца и искусственное дыхание. Оказание помощи при: отравлениях и ожогах средствами бытовой химии; при отравлении, укусе змеи, насекомого, утоплении, пострадавшему от электрического тока, переохлаждении. Аптечка для похода: состав, назначение, применение.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отработка правильного наложения повязок жгутов, шин;отработка сердечно-легочной реанимации;подготовка аптечки для похода;отработка транспортировки пострадавшего с изготовлением носилок разным способом.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Чрезвычайные ситуации природного и техногенного характера.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Краткая характеристика стихийных бедствий, наиболее опасных для Дальнего Востока, их физическая сущность, причины возникновения, характер и стадии развития Первичные и вторичные опасные факторы стихийных бедствий. Способы обеспечения безопасности человека, правила поведения и действия при стихийных бедствиях. Аварии и катастрофы на промышленных предприятиях, гидротехнических сооружениях, транспорте и их возможные последствия (химическое заражение, затопление, массовые пожары). Потенциальные опасности аварий и катастроф местных предприятий и других объектов народного хозяйства. Система международных сигналов бедствия. Знаки-сигналы на местности для воздушных поисковых спасательных служб.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Отработка способов химической защиты. Очистка воды подручными средствами. Изготовление и применение плавсредств для эвакуации.  Отработка эвакуации пострадавших с различных видов объектов (многоэтажный дом, колодец, машина после ДТП, с дерева и т.п.) 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знает причины пожаров и способы их предотвращения;знает и соблюдает правила обращения с огнѐм;знает порядок действий при возникновении загораний и пожара;знает особенности горения синтетических материалов и способы прекращения горения;знает и может применять первичные средства пожаротушения;знает ядовитые растения, опасных животных и насекомых обитающих на территории Дальнего Востоказнает правила безопасного поведения на воде, при грозе.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будет знать правила оказания помощи при различных травмах. сможет наложить повязку, шину на перелом, остановить кровотечение;может изготовить носилки разным способом;будет знать необходимый минимальный состав аптечки;будет знать правила применения лекарственных средств первой необходимости.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знает правила оптимального поведения при различных видах ЧС;может обеспечить эвакуацию пострадавших в ЧС;знает и может применить навыки выживания в ЧС;знает и может подать сигналы бедствия различным путем.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общается с большинством обучающихся в группе;- проявляет уважение к другим обучающимся, к педагогу;- может вербализовать свои вопросы, пожелания, задает вопросы и просит помощи в затруднительных ситуциях;- способен делиться (материалами, инструментами, знаниями, и т.д.);- проявляет эмпатию по отношению к другим обучающимся в группе;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/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/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/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/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/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/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/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