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>(СПбГУТ)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Факультет информационных технологий и программной инженерии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Кафедра программной инженерии и вычислительной техники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Курсовая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«Проектирование и архитектура программных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«Разработка HAL для микроконтроллера Mik32 Amur»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ind w:hanging="0" w:left="4956" w:righ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ind w:hanging="0" w:left="0" w:right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spacing w:lineRule="auto" w:line="240" w:before="0" w:after="0"/>
        <w:ind w:hanging="0" w:left="0" w:right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spacing w:lineRule="auto" w:line="240" w:before="0" w:after="0"/>
        <w:ind w:hanging="0" w:left="0" w:right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spacing w:lineRule="auto" w:line="240" w:before="0" w:after="0"/>
        <w:ind w:firstLine="708" w:left="4248" w:righ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Смирнов. К.А.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Cs w:val="false"/>
          <w:color w:val="auto"/>
          <w:sz w:val="28"/>
        </w:rPr>
      </w:pPr>
      <w:r>
        <w:rPr>
          <w:rFonts w:ascii="Times New Roman" w:hAnsi="Times New Roman"/>
          <w:b w:val="false"/>
          <w:bCs w:val="false"/>
          <w:color w:val="auto"/>
          <w:sz w:val="32"/>
          <w:szCs w:val="32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  <w:highlight w:val="none"/>
              <w:shd w:fill="auto" w:val="clear"/>
            </w:rPr>
          </w:pPr>
          <w:r>
            <w:rPr>
              <w:rFonts w:ascii="Times New Roman" w:hAnsi="Times New Roman"/>
              <w:b/>
              <w:bCs/>
              <w:color w:val="000000"/>
              <w:sz w:val="28"/>
              <w:szCs w:val="28"/>
              <w:shd w:fill="auto" w:val="clear"/>
            </w:rPr>
            <w:t>Оглавление</w:t>
          </w:r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hd w:fill="auto" w:val="clear"/>
              <w:szCs w:val="28"/>
              <w:rFonts w:ascii="Times New Roman" w:hAnsi="Times New Roman"/>
              <w:color w:val="000000"/>
            </w:rPr>
            <w:instrText xml:space="preserve"> TOC \f \o "1-9" \h</w:instrText>
          </w:r>
          <w:r>
            <w:rPr>
              <w:rStyle w:val="IndexLink"/>
              <w:sz w:val="28"/>
              <w:shd w:fill="auto" w:val="clear"/>
              <w:szCs w:val="28"/>
              <w:rFonts w:ascii="Times New Roman" w:hAnsi="Times New Roman"/>
              <w:color w:val="000000"/>
            </w:rPr>
            <w:fldChar w:fldCharType="separate"/>
          </w:r>
          <w:hyperlink w:anchor="__RefHeading___Toc300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Словарь с терминологией</w:t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02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1. Актуальность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04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2. Общие сведения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06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2.1. Полное наименование системы и ее условное обозначение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08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2.2. Плановые сроки начала и окончания работы по созданию системы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10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3. Назначение и цели создания системы</w:t>
              <w:tab/>
              <w:t>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12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3.1. Назначение системы</w:t>
              <w:tab/>
              <w:t>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14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3.2. Цели создания системы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16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4. Характеристика объекта информатизации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18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4.1. Краткие сведения об объекте информатизации или ссылки на документы, содержащие такую информацию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20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4.2. Сведения об условиях эксплуатации объекта информатизации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22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 Характеристика объекта информатизации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24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5.1. Перечень подсистем, их назначение и основные характеристики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26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5.2. Требования к функциям (задачам), выполняемым системой</w:t>
              <w:tab/>
              <w:t>13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28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5.3. Требования к способам и средствам связи для информационного обмена между компонентами системы</w:t>
              <w:tab/>
              <w:t>15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30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5.4. Требования к эргономике и технической эстетике</w:t>
              <w:tab/>
              <w:t>15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32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5.5. Требования к защите информации от несанкционированного доступа</w:t>
              <w:tab/>
              <w:t>15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34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5.6. Перспективы развития, модернизации системы</w:t>
              <w:tab/>
              <w:t>15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36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6. Требования к видам обеспечения</w:t>
              <w:tab/>
              <w:t>16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38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6.1. Требования к лингвистическому обеспечению</w:t>
              <w:tab/>
              <w:t>16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340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6.2. Требования к программному обеспечению</w:t>
              <w:tab/>
              <w:t>16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42_4009604101">
            <w:r>
              <w:rPr>
                <w:rStyle w:val="IndexLink"/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Заключение</w:t>
              <w:tab/>
              <w:t>17</w:t>
            </w:r>
          </w:hyperlink>
          <w:r>
            <w:rPr>
              <w:rStyle w:val="IndexLink"/>
              <w:sz w:val="28"/>
              <w:shd w:fill="auto" w:val="clear"/>
              <w:szCs w:val="28"/>
              <w:rFonts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2004" w:leader="none"/>
        </w:tabs>
        <w:ind w:right="-1"/>
        <w:jc w:val="center"/>
        <w:rPr>
          <w:rFonts w:cs="Times New Roman"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/>
          <w:b/>
          <w:bCs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 w:cs="NotoSans NF"/>
          <w:sz w:val="28"/>
          <w:szCs w:val="28"/>
        </w:rPr>
      </w:pPr>
      <w:bookmarkStart w:id="0" w:name="__RefHeading___Toc300_4009604101"/>
      <w:bookmarkEnd w:id="0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Словарь с терминологией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Библиотека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— сборник подпрограмм или объектов, используемых для разработки программного обеспечения.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Встраиваемая система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(встроенная система, англ. embedded system) — специализированная микропроцессорная система управления, контроля и мониторинга, концепция разработки которой заключается в том, что такая система будет работать, будучи встроенной непосредственно в устройство, которым она управляет.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Интернет вещей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(англ. Internet of Things, IoT) — концепция сети передачи данных между физическими объектами («вещами»), оснащёнными встроенными средствами и технологиями для взаимодействия друг с другом или с внешней средой.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Интерфейс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(англ. interface) — это устройство или система для взаимодействия между не связанными друг с другом объектами.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Исполнительный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механизм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— устройство в системе автоматического регулирования, дистанционного управления и других систем управления, осуществляющее механическое перемещение регулирующего органа.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Компилируемый язык программирования</w:t>
      </w:r>
      <w:r>
        <w:rPr>
          <w:rFonts w:ascii="Times New Roman" w:hAnsi="Times New Roman"/>
          <w:sz w:val="28"/>
          <w:szCs w:val="28"/>
        </w:rPr>
        <w:t xml:space="preserve"> — язык программирования, исходный код которого преобразуется компилятором в машинный код.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Фреймворк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Язык ассемблера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(англ. assembly language) — это язык программирования низкого уровня, который представляет команды процессора в виде, доступном для чтения человеком.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 xml:space="preserve">HAL </w:t>
      </w:r>
      <w:r>
        <w:rPr>
          <w:rFonts w:cs="Times New Roman" w:ascii="Times New Roman" w:hAnsi="Times New Roman"/>
          <w:b w:val="false"/>
          <w:bCs w:val="false"/>
          <w:color w:val="202122"/>
          <w:sz w:val="28"/>
          <w:szCs w:val="28"/>
          <w:shd w:fill="FFFFFF" w:val="clear"/>
        </w:rPr>
        <w:t>(Hardware Abstraction Layer, слой аппаратных абстракций) — слой абстрагирования, реализованный в программном обеспечении, находящийся между физическим уровнем аппаратного обеспечения и программным обеспечением, запускаемом на этом компьютере.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LCD-дисплей</w:t>
      </w:r>
      <w:r>
        <w:rPr>
          <w:rFonts w:cs="Times New Roman" w:ascii="Times New Roman" w:hAnsi="Times New Roman"/>
          <w:b w:val="false"/>
          <w:bCs w:val="false"/>
          <w:color w:val="202122"/>
          <w:sz w:val="28"/>
          <w:szCs w:val="28"/>
          <w:shd w:fill="FFFFFF" w:val="clear"/>
        </w:rPr>
        <w:t xml:space="preserve"> — экран на основе жидких кристаллов. </w:t>
      </w:r>
      <w:r>
        <w:br w:type="page"/>
      </w:r>
    </w:p>
    <w:p>
      <w:pPr>
        <w:pStyle w:val="Heading2"/>
        <w:numPr>
          <w:ilvl w:val="0"/>
          <w:numId w:val="0"/>
        </w:numPr>
        <w:jc w:val="center"/>
        <w:rPr>
          <w:rFonts w:cs="Times New Roman"/>
          <w:b/>
          <w:bCs/>
        </w:rPr>
      </w:pPr>
      <w:bookmarkStart w:id="1" w:name="__RefHeading___Toc302_4009604101"/>
      <w:bookmarkEnd w:id="1"/>
      <w:r>
        <w:rPr>
          <w:rFonts w:ascii="Times New Roman" w:hAnsi="Times New Roman"/>
          <w:sz w:val="28"/>
          <w:szCs w:val="28"/>
        </w:rPr>
        <w:t>1. Актуальность</w:t>
      </w:r>
    </w:p>
    <w:p>
      <w:pPr>
        <w:pStyle w:val="ListParagraph"/>
        <w:ind w:firstLine="360" w:left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Современные тенденции в области разработки встроенных систем и интернета вещей требуют высокой производительности, надёжности и безопасности программного обеспечения. Микроконтроллеры, такие как Mik32 Amur, становятся все более популярными благодаря своей способности эффективно обрабатывать данные и поддерживать различные протоколы </w:t>
      </w:r>
      <w:r>
        <w:rPr>
          <w:rFonts w:cs="Times New Roman" w:ascii="Times New Roman" w:hAnsi="Times New Roman"/>
          <w:sz w:val="28"/>
          <w:szCs w:val="28"/>
        </w:rPr>
        <w:t>коммуникации</w:t>
      </w:r>
      <w:r>
        <w:rPr>
          <w:rFonts w:cs="Times New Roman" w:ascii="Times New Roman" w:hAnsi="Times New Roman"/>
          <w:sz w:val="28"/>
          <w:szCs w:val="28"/>
        </w:rPr>
        <w:t>. Однако для реализации полного потенциала этих устройств необходимы надёжные программные решения, которые обеспечивают взаимодействие между аппаратным обеспечением и приложениями.</w:t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HAL для микроконтроллера Mik32 Amur актуальна по нескольким причинам: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Безопасность</w:t>
      </w:r>
      <w:r>
        <w:rPr>
          <w:rFonts w:cs="Times New Roman" w:ascii="Times New Roman" w:hAnsi="Times New Roman"/>
          <w:sz w:val="28"/>
          <w:szCs w:val="28"/>
        </w:rPr>
        <w:t>: HAL минимизирует риски, связанные с управлением памятью, что критично для встроенных систем, где сбои могут привести к серьезным последствиям. Это особенно важно для приложений, работающих в условиях реального времени, где стабильность и нёдежность являются приоритетами;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Производительность</w:t>
      </w:r>
      <w:r>
        <w:rPr>
          <w:rFonts w:cs="Times New Roman" w:ascii="Times New Roman" w:hAnsi="Times New Roman"/>
          <w:sz w:val="28"/>
          <w:szCs w:val="28"/>
        </w:rPr>
        <w:t xml:space="preserve">: Высокая производительность </w:t>
      </w:r>
      <w:r>
        <w:rPr>
          <w:rFonts w:cs="Times New Roman" w:ascii="Times New Roman" w:hAnsi="Times New Roman"/>
          <w:sz w:val="28"/>
          <w:szCs w:val="28"/>
        </w:rPr>
        <w:t>компилируемых</w:t>
      </w:r>
      <w:r>
        <w:rPr>
          <w:rFonts w:cs="Times New Roman" w:ascii="Times New Roman" w:hAnsi="Times New Roman"/>
          <w:sz w:val="28"/>
          <w:szCs w:val="28"/>
        </w:rPr>
        <w:t xml:space="preserve"> языков позволяет эффективно использовать ресурсы микроконтроллера Mik32 Amur, что особенно важно для задач, требующих быстрой обработки данных и минимальной задержки;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Совместимость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гибкость</w:t>
      </w:r>
      <w:r>
        <w:rPr>
          <w:rFonts w:cs="Times New Roman" w:ascii="Times New Roman" w:hAnsi="Times New Roman"/>
          <w:sz w:val="28"/>
          <w:szCs w:val="28"/>
        </w:rPr>
        <w:t>: Mik32 Amur поддерживает множество интерфейсов и протоколов, что делает HAL легко интегрируемым с существующими решениями и позволяющим разработчикам быстро адаптировать свои приложения под новые требования;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Поддержка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сообщества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экосистемы</w:t>
      </w:r>
      <w:r>
        <w:rPr>
          <w:rFonts w:cs="Times New Roman" w:ascii="Times New Roman" w:hAnsi="Times New Roman"/>
          <w:sz w:val="28"/>
          <w:szCs w:val="28"/>
        </w:rPr>
        <w:t>: Активное сообщество и растущая библиотека готовых решений создают благоприятные условия для разработки новых инструментов и библиотек, что способствует ускорению процесса разработки и повышению качества программных продуктов.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 w:eastAsia="Noto Sans CJK SC" w:cs="NotoSans NF"/>
          <w:color w:val="auto"/>
          <w:kern w:val="0"/>
          <w:sz w:val="28"/>
          <w:szCs w:val="28"/>
          <w:lang w:val="ru-RU" w:eastAsia="en-US" w:bidi="ar-SA"/>
        </w:rPr>
      </w:pPr>
      <w:bookmarkStart w:id="2" w:name="__RefHeading___Toc304_4009604101"/>
      <w:bookmarkEnd w:id="2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2. Общие сведения</w:t>
      </w:r>
    </w:p>
    <w:p>
      <w:pPr>
        <w:pStyle w:val="Heading3"/>
        <w:rPr>
          <w:rFonts w:cs="Times New Roman"/>
        </w:rPr>
      </w:pPr>
      <w:bookmarkStart w:id="3" w:name="__RefHeading___Toc306_4009604101"/>
      <w:bookmarkEnd w:id="3"/>
      <w:r>
        <w:rPr>
          <w:rFonts w:ascii="Times New Roman" w:hAnsi="Times New Roman"/>
          <w:b/>
          <w:bCs/>
          <w:color w:val="auto"/>
          <w:sz w:val="28"/>
          <w:szCs w:val="28"/>
        </w:rPr>
        <w:t>2.1. Полное наименование системы и ее условное обозначение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Полное наименование: </w:t>
      </w:r>
      <w:r>
        <w:rPr>
          <w:rFonts w:cs="Times New Roman" w:ascii="Times New Roman" w:hAnsi="Times New Roman"/>
          <w:sz w:val="28"/>
          <w:szCs w:val="28"/>
        </w:rPr>
        <w:t>“Слой аппаратных абстракций для микроконтроллера Mik32 Amur” – библиотека для написания пользовательских программ. Она позволяет разработчикам программного обеспечения получать доступ к внутренним ресурсам и интерфейсам коммуникации микроконтроллера. Также, при надобности, с помощью функционала библиотеки возможна огранизация работы с подключенными к микроконтроллеру устройствами периферии.</w:t>
      </w:r>
    </w:p>
    <w:p>
      <w:pPr>
        <w:pStyle w:val="Normal"/>
        <w:ind w:left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Условное обозначение:</w:t>
      </w:r>
      <w:r>
        <w:rPr>
          <w:rFonts w:cs="Times New Roman" w:ascii="Times New Roman" w:hAnsi="Times New Roman"/>
          <w:sz w:val="28"/>
          <w:szCs w:val="28"/>
        </w:rPr>
        <w:t xml:space="preserve"> Mik32 Amur HAL.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4" w:name="__RefHeading___Toc308_4009604101"/>
      <w:bookmarkEnd w:id="4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2.2. Плановые сроки начала и окончания работы по созданию системы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начала: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11.01</w:t>
      </w:r>
      <w:r>
        <w:rPr>
          <w:rFonts w:cs="Times New Roman" w:ascii="Times New Roman" w:hAnsi="Times New Roman"/>
          <w:sz w:val="28"/>
          <w:szCs w:val="28"/>
        </w:rPr>
        <w:t xml:space="preserve">.2024 г.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окончания: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01</w:t>
      </w:r>
      <w:r>
        <w:rPr>
          <w:rFonts w:cs="Times New Roman" w:ascii="Times New Roman" w:hAnsi="Times New Roman"/>
          <w:sz w:val="28"/>
          <w:szCs w:val="28"/>
        </w:rPr>
        <w:t>.05.2025 г.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 w:eastAsia="Noto Sans CJK SC" w:cs="NotoSans NF"/>
          <w:color w:val="auto"/>
          <w:kern w:val="0"/>
          <w:sz w:val="28"/>
          <w:szCs w:val="28"/>
          <w:lang w:val="ru-RU" w:eastAsia="en-US" w:bidi="ar-SA"/>
        </w:rPr>
      </w:pPr>
      <w:bookmarkStart w:id="5" w:name="__RefHeading___Toc310_4009604101"/>
      <w:bookmarkEnd w:id="5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3. Назначение и цели создания системы</w:t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6" w:name="__RefHeading___Toc312_4009604101"/>
      <w:bookmarkEnd w:id="6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3.1. Назначение системы</w:t>
      </w:r>
    </w:p>
    <w:p>
      <w:pPr>
        <w:pStyle w:val="ListParagraph"/>
        <w:ind w:firstLine="708" w:left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HAL для микроконтроллера Mik32 Amur предназначен для упрощения разработки и взаимодействия с аппаратными компонентами. Он ориентирован как на индивидуальных разработчиков, так и на команды, работающие над проектами в области встроенных систем.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HAL обеспечивает разработчиков высокоуровневым интерфейсом, который позволяет легко и эффективно взаимодействовать с различными аппаратными модулями, такими как датчики, исполнительные механизмы и интерфейсы </w:t>
      </w:r>
      <w:r>
        <w:rPr>
          <w:rFonts w:cs="Times New Roman" w:ascii="Times New Roman" w:hAnsi="Times New Roman"/>
          <w:sz w:val="28"/>
          <w:szCs w:val="28"/>
        </w:rPr>
        <w:t>коммуникаций</w:t>
      </w:r>
      <w:r>
        <w:rPr>
          <w:rFonts w:cs="Times New Roman" w:ascii="Times New Roman" w:hAnsi="Times New Roman"/>
          <w:sz w:val="28"/>
          <w:szCs w:val="28"/>
        </w:rPr>
        <w:t>, что позволяет разработчикам сосредоточиться на логике приложения, а не на низкоуровневых деталях работы оборудования.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Кроме того, HAL предоставляет инструменты для анализа и оптимизации работы микроконтроллера, позволяя разработчикам адаптировать свои решения с учетом целевых требований производительности и энергопотребления.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HAL включает в себя широкий спектр инструментов для мониторинга и отладки, таких как вывод информации в консоль разработчика, средства тестирования и профилирования, что позволяет разработчикам проводить глубокий анализ производительности и выявлять потенциальные проблемы на ранних стадиях разработки.</w:t>
      </w:r>
    </w:p>
    <w:p>
      <w:pPr>
        <w:pStyle w:val="ListParagraph"/>
        <w:ind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708" w:left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Суммируя вышеизложенное, система HAL для микроконтроллера Mik32 Amur стремится предоставить высокотехнологичное решение для разработки встроенных приложений, учитывая сложные аспекты работы с аппаратными компонентами и предоставляя разработчикам инструменты для достижения оптимальной производительности и над</w:t>
      </w:r>
      <w:r>
        <w:rPr>
          <w:rFonts w:cs="Times New Roman" w:ascii="Times New Roman" w:hAnsi="Times New Roman"/>
          <w:sz w:val="28"/>
          <w:szCs w:val="28"/>
        </w:rPr>
        <w:t>ё</w:t>
      </w:r>
      <w:r>
        <w:rPr>
          <w:rFonts w:cs="Times New Roman" w:ascii="Times New Roman" w:hAnsi="Times New Roman"/>
          <w:sz w:val="28"/>
          <w:szCs w:val="28"/>
        </w:rPr>
        <w:t xml:space="preserve">жности своих решений. Аналогами Mik32 Amur HAL являются различные </w:t>
      </w:r>
      <w:r>
        <w:rPr>
          <w:rFonts w:cs="Times New Roman" w:ascii="Times New Roman" w:hAnsi="Times New Roman"/>
          <w:color w:val="auto"/>
          <w:sz w:val="28"/>
          <w:szCs w:val="28"/>
        </w:rPr>
        <w:t>библиотеки и фреймворки</w:t>
      </w:r>
      <w:r>
        <w:rPr>
          <w:rFonts w:cs="Times New Roman" w:ascii="Times New Roman" w:hAnsi="Times New Roman"/>
          <w:sz w:val="28"/>
          <w:szCs w:val="28"/>
        </w:rPr>
        <w:t>, такие как ESP IDF и Arduino Core.</w:t>
      </w:r>
      <w:r>
        <w:br w:type="page"/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7" w:name="__RefHeading___Toc314_4009604101"/>
      <w:bookmarkEnd w:id="7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3.2. Цели создания системы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Целями создания Mik32 Amur HAL являются: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высокоуровневого интерфейса: </w:t>
      </w:r>
    </w:p>
    <w:p>
      <w:pPr>
        <w:pStyle w:val="Normal"/>
        <w:ind w:hanging="0" w:left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удобного и интуитивно понятного </w:t>
      </w:r>
      <w:r>
        <w:rPr>
          <w:rFonts w:cs="Times New Roman" w:ascii="Times New Roman" w:hAnsi="Times New Roman"/>
          <w:sz w:val="28"/>
          <w:szCs w:val="28"/>
        </w:rPr>
        <w:t xml:space="preserve">программного </w:t>
      </w:r>
      <w:r>
        <w:rPr>
          <w:rFonts w:cs="Times New Roman" w:ascii="Times New Roman" w:hAnsi="Times New Roman"/>
          <w:sz w:val="28"/>
          <w:szCs w:val="28"/>
        </w:rPr>
        <w:t>интерфейса для взаимодействия с аппаратными компонентами микроконтроллера.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Повышение безопасности программного обеспечения: </w:t>
      </w:r>
    </w:p>
    <w:p>
      <w:pPr>
        <w:pStyle w:val="Normal"/>
        <w:ind w:hanging="0" w:left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языка Rust в разработке HAL для снижения рисков, связанных с ошибками, такими как переполнение буфера и некорректное управление памятью.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Оптимизация производительности: </w:t>
      </w:r>
    </w:p>
    <w:p>
      <w:pPr>
        <w:pStyle w:val="Normal"/>
        <w:ind w:hanging="0" w:left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эффективного использования ресурсов микроконтроллера, включая поддержку многопоточности и асинхронного программирования.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совместимости и расширяемости: </w:t>
      </w:r>
    </w:p>
    <w:p>
      <w:pPr>
        <w:pStyle w:val="Normal"/>
        <w:ind w:hanging="0" w:left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Поддержка множества интерфейсов и протоколов, что обеспечит совместимость с различными устройствами и системами.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Упрощение процесса тестирования и отладки: </w:t>
      </w:r>
    </w:p>
    <w:p>
      <w:pPr>
        <w:pStyle w:val="Normal"/>
        <w:ind w:hanging="0" w:left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инструментов, облегчающих тестирование и отладку программного обеспечения.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цели создания HAL для микроконтроллера Mik32 Amur направлены на разработку надёжной, безопасной и эффективной платформы, позволяющей упростить процесс разработки встроенных приложений.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/>
      </w:pPr>
      <w:bookmarkStart w:id="8" w:name="__RefHeading___Toc316_4009604101"/>
      <w:bookmarkEnd w:id="8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4. Характеристика объекта информатизации</w:t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/>
      </w:pPr>
      <w:bookmarkStart w:id="9" w:name="__RefHeading___Toc318_4009604101"/>
      <w:bookmarkEnd w:id="9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4.1. Краткие сведения об объекте информатизации или ссылки на документы, содержащие такую информацию</w:t>
      </w:r>
    </w:p>
    <w:p>
      <w:pPr>
        <w:pStyle w:val="NoSpacing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76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функции: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Управление внутренними ресурсами микроконтроллера;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Инструменты для оценки эффективности работы микроконтроллера;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Интеграция с различными внешними модулями и протоколами для расширения функциональности.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Технические характеристики: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Обеспечивает высокую производительность и надежность при работе с аппаратными ресурсами;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Поддерживает различные интерфейсы и протоколы для интеграции с внешними устройствами, что позволяет легко расширять функциональность системы;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Использует язык программирования Rust.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эксплуатации: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HAL может быть интегрирован в различные программные среды, что позволяет разработчикам легко адаптировать его к специфическим требованиям проектов;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Система предназначена для работы в условиях, обеспечивающих стабильную и надёжную эксплуатацию микроконтроллера.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Преимущества: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Обеспечение эффективного управления ресурсами и оптимизация работы микроконтроллера;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Интеграция с различными внешними модулями для расширения возможностей системы;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HAL обеспечивает надежное управление памятью, предотвращая переполнение буферов и другие ошибки, что способствует стабильной и безопасной работе приложений на микроконтроллере.</w:t>
      </w:r>
      <w:r>
        <w:br w:type="page"/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0" w:name="__RefHeading___Toc320_4009604101"/>
      <w:bookmarkEnd w:id="10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4.2. Сведения об условиях эксплуатации объекта информатизации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Температурные условия: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Микроконтроллер Mik32 Amur должен функционировать в диапазоне температур, соответствующем спецификациям производителя.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Электропитание: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HAL долж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быть спроектирован с уч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ё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том стабильного и надёжного питания. Микроконтроллер должен работать в условиях, когда напряжение питания находится в пределах допустимых значений, что обеспечивает защиту от перепадов напряжения и минимизирует риск повреждения оборудования.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Электромагнитные помехи: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Должна быть обеспечена защита от электромагнитных помех и других источников интерференции, которые могут повлиять на работу микроконтроллера и его взаимодействие с внешними устройствами.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/>
          <w:color w:val="auto"/>
          <w:kern w:val="0"/>
          <w:sz w:val="28"/>
          <w:szCs w:val="28"/>
          <w:lang w:val="ru-RU" w:eastAsia="en-US" w:bidi="ar-SA"/>
        </w:rPr>
      </w:pPr>
      <w:bookmarkStart w:id="11" w:name="__RefHeading___Toc322_4009604101"/>
      <w:bookmarkEnd w:id="11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5. Характеристика объекта информатизации</w:t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2" w:name="__RefHeading___Toc324_4009604101"/>
      <w:bookmarkEnd w:id="12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5.1. Перечень подсистем, их назначение и основные характеристики</w:t>
      </w:r>
    </w:p>
    <w:p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Подсистема управления вводом/выводом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Подсистема управления часами и таймерами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Подсистема управления памятью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Подсистема управления прерываниями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Подсистема управления внешними устройствами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 рисунках 1, 2, 3 и 4 представлены схемы для теоретической программы, написанной при помощи HAL. Программа реализует небольшую видеоигру, в которой пользователь через нажатие на подключённую к микроконтроллеру кнопку управляет персонажем, уклоняющимся от препятствий. Игровое состояние отображается на LCD-дисплее в реальном времени.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eastAsia="Times New Roman" w:cs="Times New Roman"/>
          <w:i/>
          <w:i/>
          <w:iCs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/>
          <w:i/>
          <w:iCs/>
          <w:color w:val="auto"/>
          <w:spacing w:val="1"/>
          <w:sz w:val="28"/>
          <w:szCs w:val="28"/>
          <w:lang w:eastAsia="zh-CN" w:bidi="hi-I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</w:rPr>
      </w:pPr>
      <w:r>
        <w:rPr>
          <w:i/>
          <w:iCs/>
          <w:sz w:val="28"/>
          <w:szCs w:val="28"/>
        </w:rPr>
        <mc:AlternateContent>
          <mc:Choice Requires="wps">
            <w:drawing>
              <wp:anchor behindDoc="0" distT="0" distB="0" distL="0" distR="635" simplePos="0" locked="0" layoutInCell="0" allowOverlap="1" relativeHeight="2">
                <wp:simplePos x="0" y="0"/>
                <wp:positionH relativeFrom="column">
                  <wp:posOffset>-851535</wp:posOffset>
                </wp:positionH>
                <wp:positionV relativeFrom="paragraph">
                  <wp:posOffset>1384300</wp:posOffset>
                </wp:positionV>
                <wp:extent cx="7585075" cy="5701665"/>
                <wp:effectExtent l="0" t="941705" r="0" b="941705"/>
                <wp:wrapSquare wrapText="largest"/>
                <wp:docPr id="1" name="Image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7585200" cy="570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5" stroked="f" o:allowincell="f" style="position:absolute;margin-left:-67.1pt;margin-top:109pt;width:597.2pt;height:448.9pt;mso-wrap-style:none;v-text-anchor:middle;rotation:90" type="_x0000_t75">
                <v:imagedata r:id="rId3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spacing w:lineRule="auto" w:line="360"/>
        <w:ind w:hanging="0" w:left="0" w:right="0"/>
        <w:jc w:val="center"/>
        <w:rPr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1. Диаграмма взаимодействия между подсистемами</w:t>
      </w:r>
    </w:p>
    <w:p>
      <w:pPr>
        <w:pStyle w:val="Normal"/>
        <w:spacing w:lineRule="auto" w:line="360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96520" distR="99060" simplePos="0" locked="0" layoutInCell="0" allowOverlap="1" relativeHeight="3">
                <wp:simplePos x="0" y="0"/>
                <wp:positionH relativeFrom="column">
                  <wp:posOffset>-1524635</wp:posOffset>
                </wp:positionH>
                <wp:positionV relativeFrom="paragraph">
                  <wp:posOffset>1883410</wp:posOffset>
                </wp:positionV>
                <wp:extent cx="8242935" cy="4741545"/>
                <wp:effectExtent l="0" t="1750695" r="0" b="1750695"/>
                <wp:wrapSquare wrapText="largest"/>
                <wp:docPr id="3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8242920" cy="4741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1" stroked="f" o:allowincell="f" style="position:absolute;margin-left:-120.05pt;margin-top:148.3pt;width:649pt;height:373.3pt;mso-wrap-style:none;v-text-anchor:middle;rotation:90" type="_x0000_t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iCs/>
          <w:color w:val="auto"/>
          <w:spacing w:val="1"/>
          <w:sz w:val="28"/>
          <w:szCs w:val="28"/>
          <w:lang w:eastAsia="zh-CN" w:bidi="hi-IN"/>
        </w:rPr>
        <w:t>Рисунок 2. Диаграмма организации данных в программе</w:t>
      </w:r>
      <w:r>
        <w:br w:type="page"/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3" w:name="__RefHeading___Toc326_4009604101"/>
      <w:bookmarkEnd w:id="13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5.2. Требования к функциям (задачам), выполняемым системой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1270" simplePos="0" locked="0" layoutInCell="0" allowOverlap="1" relativeHeight="4">
                <wp:simplePos x="0" y="0"/>
                <wp:positionH relativeFrom="column">
                  <wp:posOffset>-1184275</wp:posOffset>
                </wp:positionH>
                <wp:positionV relativeFrom="paragraph">
                  <wp:posOffset>1712595</wp:posOffset>
                </wp:positionV>
                <wp:extent cx="8059420" cy="5194300"/>
                <wp:effectExtent l="0" t="1432560" r="0" b="1432560"/>
                <wp:wrapSquare wrapText="largest"/>
                <wp:docPr id="5" name="Imag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8059320" cy="5194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2" stroked="f" o:allowincell="f" style="position:absolute;margin-left:-93.25pt;margin-top:134.85pt;width:634.55pt;height:408.95pt;mso-wrap-style:none;v-text-anchor:middle;rotation:90" type="_x0000_t75">
                <v:imagedata r:id="rId7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keepNext w:val="tru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iCs/>
          <w:color w:val="auto"/>
          <w:spacing w:val="1"/>
          <w:sz w:val="28"/>
          <w:szCs w:val="28"/>
          <w:lang w:eastAsia="zh-CN" w:bidi="hi-IN"/>
        </w:rPr>
        <w:t>Рисунок 3. Схема HIPO для программы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485140</wp:posOffset>
            </wp:positionH>
            <wp:positionV relativeFrom="paragraph">
              <wp:posOffset>635</wp:posOffset>
            </wp:positionV>
            <wp:extent cx="4747895" cy="7642225"/>
            <wp:effectExtent l="0" t="0" r="0" b="0"/>
            <wp:wrapSquare wrapText="largest"/>
            <wp:docPr id="7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59" t="0" r="163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764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iCs/>
          <w:color w:val="auto"/>
          <w:spacing w:val="1"/>
          <w:sz w:val="28"/>
          <w:szCs w:val="28"/>
          <w:lang w:eastAsia="zh-CN" w:bidi="hi-IN"/>
        </w:rPr>
        <w:t>Рисунок 4. Диаграмма Несси-Шнейдермана</w:t>
      </w:r>
      <w:r>
        <w:br w:type="page"/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4" w:name="__RefHeading___Toc328_4009604101"/>
      <w:bookmarkEnd w:id="14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5.3. Требования к способам и средствам связи для информационного обмена между компонентами системы</w:t>
      </w:r>
    </w:p>
    <w:p>
      <w:pPr>
        <w:pStyle w:val="NoSpacing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Поддержка различных интерфейсов коммуникации, таких как UART, SPI и I2C для обеспечения возможности взаимодействия с различными периферийными устройствами.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Разделение HAL на небольшие, автономные модули может облегчить коммуникацию между компонентами и обеспечить гибкость в разработке и масштабировании.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Внедрение механизмов мониторинга и журналирования обмена данными для отслеживания производительности, выявления проблем и обеспечения безопасности.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Способы связи должны быть гибкими и легко адаптируемыми для совместимости с различными технологиями и изменениями в инфраструктуре.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Реализация механизмов обработки ошибок для обеспечения надёжности и целостности обмена информацией.</w:t>
      </w:r>
    </w:p>
    <w:p>
      <w:pPr>
        <w:pStyle w:val="NoSpacing"/>
        <w:jc w:val="both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5" w:name="__RefHeading___Toc330_4009604101"/>
      <w:bookmarkEnd w:id="15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5.4. Требования к эргономике и технической эстетике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HAL должен удовлетворять следующим требованиям: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Информирующие сообщения и сообщения об ошибках в процессе выполнения программы выводятся на русском языке.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Использование стандарта API.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6" w:name="__RefHeading___Toc332_4009604101"/>
      <w:bookmarkEnd w:id="16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5.5. Требования к защите информации от несанкционированного доступа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HAL предназначен для прямого взаимодействия с разработчиками программного обеспечения, вследствие чего не имеет требований к защите информации он несанкционированного доступа.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7" w:name="__RefHeading___Toc334_4009604101"/>
      <w:bookmarkEnd w:id="17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5.6. Перспективы развития, модернизации системы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Увеличение числа поддерживаемых интерфейсов коммуникации;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Оптимизация работы HAL при помощи использования вставок кода на языке ассемблера.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 w:eastAsia="Noto Sans CJK SC" w:cs="NotoSans NF"/>
          <w:color w:val="auto"/>
          <w:kern w:val="0"/>
          <w:sz w:val="28"/>
          <w:szCs w:val="28"/>
          <w:lang w:val="ru-RU" w:eastAsia="en-US" w:bidi="ar-SA"/>
        </w:rPr>
      </w:pPr>
      <w:bookmarkStart w:id="18" w:name="__RefHeading___Toc336_4009604101"/>
      <w:bookmarkEnd w:id="18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6. Требования к видам обеспечения</w:t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19" w:name="__RefHeading___Toc338_4009604101"/>
      <w:bookmarkEnd w:id="19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6.1. Требования к лингвистическому обеспечению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программного обеспечения должна вестись на высокоуровневом языке программирования. 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HAL должен быть написан на языке Rust</w:t>
      </w:r>
      <w:r>
        <w:rPr>
          <w:rFonts w:cs="Times New Roman" w:ascii="Times New Roman" w:hAnsi="Times New Roman"/>
          <w:sz w:val="28"/>
          <w:szCs w:val="28"/>
        </w:rPr>
        <w:t xml:space="preserve">. Использование другого языка снизит производительность и безопасность работы с памятью микроконтроллера. 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Программный интерфейс </w:t>
      </w:r>
      <w:r>
        <w:rPr>
          <w:rFonts w:cs="Times New Roman" w:ascii="Times New Roman" w:hAnsi="Times New Roman"/>
          <w:sz w:val="28"/>
          <w:szCs w:val="28"/>
        </w:rPr>
        <w:t>HAL</w:t>
      </w:r>
      <w:r>
        <w:rPr>
          <w:rFonts w:cs="Times New Roman" w:ascii="Times New Roman" w:hAnsi="Times New Roman"/>
          <w:sz w:val="28"/>
          <w:szCs w:val="28"/>
        </w:rPr>
        <w:t xml:space="preserve"> может быть реализован средствами иных языков программирования, но </w:t>
      </w:r>
      <w:r>
        <w:rPr>
          <w:rFonts w:cs="Times New Roman" w:ascii="Times New Roman" w:hAnsi="Times New Roman"/>
          <w:sz w:val="28"/>
          <w:szCs w:val="28"/>
          <w:lang w:val="en-US"/>
        </w:rPr>
        <w:t>Rust</w:t>
      </w:r>
      <w:r>
        <w:rPr>
          <w:rFonts w:cs="Times New Roman" w:ascii="Times New Roman" w:hAnsi="Times New Roman"/>
          <w:sz w:val="28"/>
          <w:szCs w:val="28"/>
        </w:rPr>
        <w:t xml:space="preserve"> является рекомендацией, поскольку благодаря ему есть возможность писать асинхронный код, который может значительно снизить потребление энергии микроконтроллером.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widowControl/>
        <w:suppressAutoHyphens w:val="true"/>
        <w:overflowPunct w:val="false"/>
        <w:bidi w:val="0"/>
        <w:spacing w:lineRule="auto" w:line="259"/>
        <w:jc w:val="left"/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pPr>
      <w:bookmarkStart w:id="20" w:name="__RefHeading___Toc340_4009604101"/>
      <w:bookmarkEnd w:id="20"/>
      <w:r>
        <w:rPr>
          <w:rFonts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6.2. Требования к программному обеспечению</w:t>
      </w:r>
    </w:p>
    <w:p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Язык программирования и фреймворки:</w:t>
      </w:r>
    </w:p>
    <w:p>
      <w:pPr>
        <w:pStyle w:val="Normal"/>
        <w:numPr>
          <w:ilvl w:val="3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Rust 1.82.0+: Использование последней стабильной версии языка Rust.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Коммуникация и API:</w:t>
      </w:r>
    </w:p>
    <w:p>
      <w:pPr>
        <w:pStyle w:val="Normal"/>
        <w:numPr>
          <w:ilvl w:val="3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rust-embedded-hal: Стандартизация API для взаимодействия с ресурсами микроконтроллера и переферией.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Мониторинг и Журналирование:</w:t>
      </w:r>
    </w:p>
    <w:p>
      <w:pPr>
        <w:pStyle w:val="Normal"/>
        <w:numPr>
          <w:ilvl w:val="3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log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crate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Вывод информирующих сообщений и сообщений об ошибках.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Тестирование:</w:t>
      </w:r>
    </w:p>
    <w:p>
      <w:pPr>
        <w:pStyle w:val="Normal"/>
        <w:numPr>
          <w:ilvl w:val="3"/>
          <w:numId w:val="2"/>
        </w:numPr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cargo test: Официальный фреймворк языка Rust для тестирования кода.</w:t>
      </w:r>
    </w:p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Зависимостями и Виртуальные Окружения: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cargo: Официальная система сборки и контроля зависимостей языка Rust.</w:t>
      </w:r>
      <w:r>
        <w:br w:type="page"/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59"/>
        <w:jc w:val="center"/>
        <w:rPr>
          <w:rFonts w:ascii="Times New Roman" w:hAnsi="Times New Roman" w:eastAsia="Noto Sans CJK SC" w:cs="NotoSans NF"/>
          <w:color w:val="auto"/>
          <w:kern w:val="0"/>
          <w:sz w:val="28"/>
          <w:szCs w:val="28"/>
          <w:lang w:val="ru-RU" w:eastAsia="en-US" w:bidi="ar-SA"/>
        </w:rPr>
      </w:pPr>
      <w:bookmarkStart w:id="21" w:name="__RefHeading___Toc342_4009604101"/>
      <w:bookmarkEnd w:id="21"/>
      <w:r>
        <w:rPr>
          <w:rFonts w:eastAsia="Noto Sans CJK SC" w:cs="NotoSans NF" w:ascii="Times New Roman" w:hAnsi="Times New Roman"/>
          <w:color w:val="auto"/>
          <w:kern w:val="0"/>
          <w:sz w:val="28"/>
          <w:szCs w:val="28"/>
          <w:lang w:val="ru-RU" w:eastAsia="en-US" w:bidi="ar-SA"/>
        </w:rPr>
        <w:t>Заключение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HAL для микроконтроллера Mik32 Amur представляет собой важный этап в создании эффективного и современного инструмента для взаимодействия с аппаратным обеспечением. Учитывая растущий интерес к встраиваемым системам и потребность в надежных решениях, HAL для Mik32 Amur является многообещающим проектом.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Формулирование требований к программному обеспечению учитывает современные стандарты безопасности, эффективность взаимодействия компонентов, а также гибкость и расширяемость системы. Выбор языка Rust, известного своей безопасностью и производительностью, обеспечивает надежность разработки и упрощает поддержку кода.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уделяется аспектам безопасности, включая управление памятью и предотвращение ошибок, что критически важно для работы с встраиваемыми системами. Также предусмотрены механизмы тестирования и журналирования, что позволяет быстро обнаруживать и устранять потенциальные проблемы.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HAL для Mik32 Amur нацелен на обеспечение удобства и безопасности при разработке приложений, использующих данный микроконтроллер. Его реализация открывает новые возможности для создания современных и востребованных решений в области встраиваемых систем, соответствующих требованиям стремительно развивающегося рынка.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17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skaydiaCove NFP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skaydiaCove NFP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CaskaydiaCove NFP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CaskaydiaCove NFP"/>
      <w:color w:themeColor="accent1" w:themeShade="7f" w:val="1F3763"/>
      <w:sz w:val="24"/>
      <w:szCs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3">
    <w:name w:val="Заголовок 3 Знак"/>
    <w:basedOn w:val="DefaultParagraphFont"/>
    <w:link w:val="Heading3"/>
    <w:qFormat/>
    <w:rPr>
      <w:rFonts w:ascii="Calibri Light" w:hAnsi="Calibri Light" w:eastAsia="Calibri" w:cs="CaskaydiaCove NFP"/>
      <w:color w:themeColor="accent1" w:themeShade="7f" w:val="1F3763"/>
      <w:sz w:val="24"/>
      <w:szCs w:val="24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CaskaydiaCove NFP"/>
      <w:color w:themeColor="accent1" w:themeShade="bf" w:val="2F5496"/>
      <w:sz w:val="32"/>
      <w:szCs w:val="32"/>
    </w:rPr>
  </w:style>
  <w:style w:type="character" w:styleId="Style10">
    <w:name w:val="Верхний колонтитул Знак"/>
    <w:basedOn w:val="DefaultParagraphFont"/>
    <w:link w:val="Header"/>
    <w:qFormat/>
    <w:rPr/>
  </w:style>
  <w:style w:type="character" w:styleId="Style11">
    <w:name w:val="Нижний колонтитул Знак"/>
    <w:basedOn w:val="DefaultParagraphFont"/>
    <w:link w:val="Footer"/>
    <w:qFormat/>
    <w:rPr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Style12">
    <w:name w:val="Текст примечания Знак"/>
    <w:basedOn w:val="DefaultParagraphFont"/>
    <w:link w:val="CommentText"/>
    <w:qFormat/>
    <w:rPr>
      <w:sz w:val="20"/>
      <w:szCs w:val="20"/>
    </w:rPr>
  </w:style>
  <w:style w:type="character" w:styleId="Style13">
    <w:name w:val="Тема примечания Знак"/>
    <w:basedOn w:val="Style12"/>
    <w:link w:val="annotationsubject"/>
    <w:qFormat/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themeColor="dark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CaskaydiaCove NFP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3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C2">
    <w:name w:val="toc 2"/>
    <w:basedOn w:val="Index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LibreOffice/24.8.3.2$Linux_X86_64 LibreOffice_project/480$Build-2</Application>
  <AppVersion>15.0000</AppVersion>
  <Pages>17</Pages>
  <Words>1784</Words>
  <Characters>13435</Characters>
  <CharactersWithSpaces>15084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2023-12-15T15:02:00Z</dcterms:created>
  <dc:creator>Семён Каурин</dc:creator>
  <dc:description/>
  <dc:language>ru-RU</dc:language>
  <cp:lastModifiedBy/>
  <cp:lastPrinted>2024-12-15T21:44:31Z</cp:lastPrinted>
  <dcterms:modified xsi:type="dcterms:W3CDTF">2024-12-15T22:11:50Z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