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Times New Roman" w:cs="Times New Roman" w:eastAsia="Times New Roman" w:hAnsi="Times New Roman"/>
          <w:b/>
          <w:bCs/>
          <w:sz w:val="32"/>
          <w:szCs w:val="32"/>
        </w:rPr>
        <w:t xml:space="preserve">IV.        MARCO TEÓRICO</w:t>
      </w:r>
    </w:p>
    <w:p>
      <w:pPr>
        <w:spacing w:after="240" w:line="360"/>
        <w:ind w:firstLine="720"/>
        <w:jc w:val="both"/>
      </w:pPr>
      <w:r>
        <w:rPr>
          <w:rFonts w:ascii="Times New Roman" w:cs="Times New Roman" w:eastAsia="Times New Roman" w:hAnsi="Times New Roman"/>
          <w:sz w:val="24"/>
          <w:szCs w:val="24"/>
        </w:rPr>
        <w:t xml:space="preserve">El presente capítulo desarrolla el sustento teórico y conceptual del presente trabajo de graduación, relacionado con la búsqueda y reserva de espacios de parqueo por medio de una aplicación móvil. Con el fin de ofrecer una visión ordenada y coherente, el marco teórico se organiza en cuatro ejes temáticos: el contexto de la movilidad urbana y la gestión de parqueos en Guatemala; el desarrollo de aplicaciones móviles multiplataforma; el almacenamiento y las bases de datos en la nube; y la integración de interfaces de programación de aplicaciones (API) junto con la seguridad digital. Estos cuatro ejes permiten situar el problema de investigación dentro del conjunto de conocimientos técnicos y contextuales que fundamentan el desarrollo del proyecto.</w:t>
      </w:r>
    </w:p>
    <w:p>
      <w:pPr>
        <w:spacing w:after="240" w:before="480"/>
        <w:jc w:val="left"/>
      </w:pPr>
      <w:r>
        <w:rPr>
          <w:rFonts w:ascii="Times New Roman" w:cs="Times New Roman" w:eastAsia="Times New Roman" w:hAnsi="Times New Roman"/>
          <w:b/>
          <w:bCs/>
          <w:sz w:val="28"/>
          <w:szCs w:val="28"/>
        </w:rPr>
        <w:t xml:space="preserve">A.        Movilidad urbana y gestión de parqueos en Guatemala.</w:t>
      </w:r>
    </w:p>
    <w:p>
      <w:pPr>
        <w:spacing w:after="160" w:before="360"/>
        <w:jc w:val="left"/>
      </w:pPr>
      <w:r>
        <w:rPr>
          <w:rFonts w:ascii="Times New Roman" w:cs="Times New Roman" w:eastAsia="Times New Roman" w:hAnsi="Times New Roman"/>
          <w:b/>
          <w:bCs/>
          <w:sz w:val="24"/>
          <w:szCs w:val="24"/>
        </w:rPr>
        <w:t xml:space="preserve">1.        Parque vehicular en Quetzaltenango, Guatemala.</w:t>
      </w:r>
    </w:p>
    <w:p>
      <w:pPr>
        <w:spacing w:after="240" w:line="360"/>
        <w:ind w:firstLine="720"/>
        <w:jc w:val="both"/>
      </w:pPr>
      <w:r>
        <w:rPr>
          <w:rFonts w:ascii="Times New Roman" w:cs="Times New Roman" w:eastAsia="Times New Roman" w:hAnsi="Times New Roman"/>
          <w:sz w:val="24"/>
          <w:szCs w:val="24"/>
        </w:rPr>
        <w:t xml:space="preserve">La Superintendencia de Administración Tributaria (SAT) informa que, a enero de 2024, Guatemala cuenta con un total de 5,317,224 vehículos registrados a nivel nacional. Esta cifra representa un aumento de 50,381 unidades en comparación con diciembre de 2023.</w:t>
      </w:r>
    </w:p>
    <w:p>
      <w:pPr>
        <w:spacing w:after="240" w:line="360"/>
        <w:ind w:firstLine="720"/>
        <w:jc w:val="both"/>
      </w:pPr>
      <w:r>
        <w:rPr>
          <w:rFonts w:ascii="Times New Roman" w:cs="Times New Roman" w:eastAsia="Times New Roman" w:hAnsi="Times New Roman"/>
          <w:sz w:val="24"/>
          <w:szCs w:val="24"/>
        </w:rPr>
        <w:t xml:space="preserve">La región central concentra la mayor cantidad de vehículos, con 2,634,922 unidades en circulación. Esta alta concentración vehicular genera congestiones de tráfico que afectan tanto a conductores como a peatones, no solo en la Ciudad de Guatemala, sino también en otros departamentos que han experimentado un crecimiento desmedido en el número de automóviles.</w:t>
      </w:r>
    </w:p>
    <w:p>
      <w:pPr>
        <w:spacing w:after="240" w:line="360"/>
        <w:ind w:firstLine="720"/>
        <w:jc w:val="both"/>
      </w:pPr>
      <w:r>
        <w:rPr>
          <w:rFonts w:ascii="Times New Roman" w:cs="Times New Roman" w:eastAsia="Times New Roman" w:hAnsi="Times New Roman"/>
          <w:sz w:val="24"/>
          <w:szCs w:val="24"/>
        </w:rPr>
        <w:t xml:space="preserve">El incremento del parque automotor plantea desafíos en materia de movilidad urbana y seguridad vial. Se hace necesario implementar medidas estratégicas para mejorar la fluidez del tráfico, promover el uso de transporte alternativo y garantizar la seguridad de todos los usuarios de las vías públicas.</w:t>
      </w:r>
    </w:p>
    <w:p>
      <w:pPr>
        <w:spacing w:after="240" w:line="360"/>
        <w:ind w:firstLine="720"/>
        <w:jc w:val="both"/>
      </w:pPr>
      <w:r>
        <w:rPr>
          <w:rFonts w:ascii="Times New Roman" w:cs="Times New Roman" w:eastAsia="Times New Roman" w:hAnsi="Times New Roman"/>
          <w:sz w:val="24"/>
          <w:szCs w:val="24"/>
        </w:rPr>
        <w:t xml:space="preserve">Según Larios (2024), «la SAT indica que son cinco los departamentos en donde se concentra la mayor cantidad de vehículos registrados, siendo para Quetzaltenango 355,732 vehículos».</w:t>
      </w:r>
    </w:p>
    <w:p>
      <w:pPr>
        <w:spacing w:after="240" w:line="360"/>
        <w:ind w:firstLine="720"/>
        <w:jc w:val="both"/>
      </w:pPr>
      <w:r>
        <w:rPr>
          <w:rFonts w:ascii="Times New Roman" w:cs="Times New Roman" w:eastAsia="Times New Roman" w:hAnsi="Times New Roman"/>
          <w:sz w:val="24"/>
          <w:szCs w:val="24"/>
        </w:rPr>
        <w:t xml:space="preserve">El retorno a clases presenciales, las obras en varios puntos de la ciudad de Quetzaltenango y el incremento de vehículos han generado graves problemas de movilidad, por lo que las autoridades han estado buscando maneras de mitigar el impacto negativo. En los accesos a Quetzaltenango, la carga vehicular se ha triplicado en comparación con 2022, y la población ha expresado su descontento en redes sociales por las dificultades para movilizarse y el tiempo adicional que ahora requiere desplazarse dentro de la ciudad.</w:t>
      </w:r>
    </w:p>
    <w:p>
      <w:pPr>
        <w:spacing w:after="240" w:line="360"/>
        <w:ind w:firstLine="720"/>
        <w:jc w:val="both"/>
      </w:pPr>
      <w:r>
        <w:rPr>
          <w:rFonts w:ascii="Times New Roman" w:cs="Times New Roman" w:eastAsia="Times New Roman" w:hAnsi="Times New Roman"/>
          <w:sz w:val="24"/>
          <w:szCs w:val="24"/>
        </w:rPr>
        <w:t xml:space="preserve">Respecto al parque vehicular del municipio, Sarat (2023) reporta «102,036 vehículos en el municipio de Quetzaltenango: 65,600 vehículos particulares, 30,645 motocicletas y 5,791 comerciales». De tal forma que la congestión vehicular incrementa, generando un impacto negativo en la ciudad.</w:t>
      </w:r>
    </w:p>
    <w:p>
      <w:pPr>
        <w:spacing w:after="160" w:before="360"/>
        <w:jc w:val="left"/>
      </w:pPr>
      <w:r>
        <w:rPr>
          <w:rFonts w:ascii="Times New Roman" w:cs="Times New Roman" w:eastAsia="Times New Roman" w:hAnsi="Times New Roman"/>
          <w:b/>
          <w:bCs/>
          <w:sz w:val="24"/>
          <w:szCs w:val="24"/>
        </w:rPr>
        <w:t xml:space="preserve">2.        Tasa de motorización y proyección del parque vehicular.</w:t>
      </w:r>
    </w:p>
    <w:p>
      <w:pPr>
        <w:spacing w:after="240" w:line="360"/>
        <w:ind w:firstLine="720"/>
        <w:jc w:val="both"/>
      </w:pPr>
      <w:r>
        <w:rPr>
          <w:rFonts w:ascii="Times New Roman" w:cs="Times New Roman" w:eastAsia="Times New Roman" w:hAnsi="Times New Roman"/>
          <w:sz w:val="24"/>
          <w:szCs w:val="24"/>
        </w:rPr>
        <w:t xml:space="preserve">A partir de las cifras citadas en los párrafos anteriores —355,732 vehículos registrados en el departamento de Quetzaltenango (Larios, 2024) y una población departamental de 799,101 habitantes (Instituto Nacional de Estadística [INE])— es posible estimar una tasa de motorización de aproximadamente 445 vehículos por cada 1,000 habitantes. Esta tasa evidencia una densidad vehicular considerable en relación con la población total, lo que respalda la necesidad de soluciones tecnológicas orientadas a optimizar el uso del espacio de estacionamiento disponible.</w:t>
      </w:r>
    </w:p>
    <w:p>
      <w:pPr>
        <w:spacing w:after="240" w:line="360"/>
        <w:ind w:firstLine="720"/>
        <w:jc w:val="both"/>
      </w:pPr>
      <w:r>
        <w:rPr>
          <w:rFonts w:ascii="Times New Roman" w:cs="Times New Roman" w:eastAsia="Times New Roman" w:hAnsi="Times New Roman"/>
          <w:sz w:val="24"/>
          <w:szCs w:val="24"/>
        </w:rPr>
        <w:t xml:space="preserve">Considerando el crecimiento poblacional anual estimado de 1.55% para el departamento (INE, citado anteriormente), la Tabla 1 presenta una proyección de la población departamental para el periodo 2024-2029, elaborada con fines de referencia para estimar la demanda futura de espacios de estacionamiento.</w:t>
      </w:r>
    </w:p>
    <w:p>
      <w:pPr>
        <w:spacing w:after="80" w:before="240"/>
        <w:jc w:val="center"/>
      </w:pPr>
      <w:r>
        <w:rPr>
          <w:rFonts w:ascii="Times New Roman" w:cs="Times New Roman" w:eastAsia="Times New Roman" w:hAnsi="Times New Roman"/>
          <w:b/>
          <w:bCs/>
          <w:sz w:val="24"/>
          <w:szCs w:val="24"/>
        </w:rPr>
        <w:t xml:space="preserve">Tabla 1. Proyección de la población del departamento de Quetzaltenango, 2024-2029 (crecimiento anual estimado de 1.55%).</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shd w:fill="D9D9D9" w:val="clear"/>
          </w:tcPr>
          <w:p>
            <w:pPr>
              <w:jc w:val="center"/>
            </w:pPr>
            <w:r>
              <w:rPr>
                <w:rFonts w:ascii="Times New Roman" w:cs="Times New Roman" w:eastAsia="Times New Roman" w:hAnsi="Times New Roman"/>
                <w:b/>
                <w:bCs/>
                <w:sz w:val="24"/>
                <w:szCs w:val="24"/>
              </w:rPr>
              <w:t xml:space="preserve">Año</w:t>
            </w:r>
          </w:p>
        </w:tc>
        <w:tc>
          <w:tcPr>
            <w:tcW w:type="dxa" w:w="4320"/>
            <w:shd w:fill="D9D9D9" w:val="clear"/>
          </w:tcPr>
          <w:p>
            <w:pPr>
              <w:jc w:val="center"/>
            </w:pPr>
            <w:r>
              <w:rPr>
                <w:rFonts w:ascii="Times New Roman" w:cs="Times New Roman" w:eastAsia="Times New Roman" w:hAnsi="Times New Roman"/>
                <w:b/>
                <w:bCs/>
                <w:sz w:val="24"/>
                <w:szCs w:val="24"/>
              </w:rPr>
              <w:t xml:space="preserve">Población proyectada (habitantes)</w:t>
            </w:r>
          </w:p>
        </w:tc>
      </w:tr>
      <w:tr>
        <w:tc>
          <w:tcPr>
            <w:tcW w:type="dxa" w:w="4320"/>
          </w:tcPr>
          <w:p>
            <w:pPr>
              <w:jc w:val="center"/>
            </w:pPr>
            <w:r>
              <w:rPr>
                <w:rFonts w:ascii="Times New Roman" w:cs="Times New Roman" w:eastAsia="Times New Roman" w:hAnsi="Times New Roman"/>
                <w:sz w:val="24"/>
                <w:szCs w:val="24"/>
              </w:rPr>
              <w:t xml:space="preserve">2024</w:t>
            </w:r>
          </w:p>
        </w:tc>
        <w:tc>
          <w:tcPr>
            <w:tcW w:type="dxa" w:w="4320"/>
          </w:tcPr>
          <w:p>
            <w:pPr>
              <w:jc w:val="center"/>
            </w:pPr>
            <w:r>
              <w:rPr>
                <w:rFonts w:ascii="Times New Roman" w:cs="Times New Roman" w:eastAsia="Times New Roman" w:hAnsi="Times New Roman"/>
                <w:sz w:val="24"/>
                <w:szCs w:val="24"/>
              </w:rPr>
              <w:t xml:space="preserve">799,101</w:t>
            </w:r>
          </w:p>
        </w:tc>
      </w:tr>
      <w:tr>
        <w:tc>
          <w:tcPr>
            <w:tcW w:type="dxa" w:w="4320"/>
          </w:tcPr>
          <w:p>
            <w:pPr>
              <w:jc w:val="center"/>
            </w:pPr>
            <w:r>
              <w:rPr>
                <w:rFonts w:ascii="Times New Roman" w:cs="Times New Roman" w:eastAsia="Times New Roman" w:hAnsi="Times New Roman"/>
                <w:sz w:val="24"/>
                <w:szCs w:val="24"/>
              </w:rPr>
              <w:t xml:space="preserve">2025</w:t>
            </w:r>
          </w:p>
        </w:tc>
        <w:tc>
          <w:tcPr>
            <w:tcW w:type="dxa" w:w="4320"/>
          </w:tcPr>
          <w:p>
            <w:pPr>
              <w:jc w:val="center"/>
            </w:pPr>
            <w:r>
              <w:rPr>
                <w:rFonts w:ascii="Times New Roman" w:cs="Times New Roman" w:eastAsia="Times New Roman" w:hAnsi="Times New Roman"/>
                <w:sz w:val="24"/>
                <w:szCs w:val="24"/>
              </w:rPr>
              <w:t xml:space="preserve">811,487</w:t>
            </w:r>
          </w:p>
        </w:tc>
      </w:tr>
      <w:tr>
        <w:tc>
          <w:tcPr>
            <w:tcW w:type="dxa" w:w="4320"/>
          </w:tcPr>
          <w:p>
            <w:pPr>
              <w:jc w:val="center"/>
            </w:pPr>
            <w:r>
              <w:rPr>
                <w:rFonts w:ascii="Times New Roman" w:cs="Times New Roman" w:eastAsia="Times New Roman" w:hAnsi="Times New Roman"/>
                <w:sz w:val="24"/>
                <w:szCs w:val="24"/>
              </w:rPr>
              <w:t xml:space="preserve">2026</w:t>
            </w:r>
          </w:p>
        </w:tc>
        <w:tc>
          <w:tcPr>
            <w:tcW w:type="dxa" w:w="4320"/>
          </w:tcPr>
          <w:p>
            <w:pPr>
              <w:jc w:val="center"/>
            </w:pPr>
            <w:r>
              <w:rPr>
                <w:rFonts w:ascii="Times New Roman" w:cs="Times New Roman" w:eastAsia="Times New Roman" w:hAnsi="Times New Roman"/>
                <w:sz w:val="24"/>
                <w:szCs w:val="24"/>
              </w:rPr>
              <w:t xml:space="preserve">824,065</w:t>
            </w:r>
          </w:p>
        </w:tc>
      </w:tr>
      <w:tr>
        <w:tc>
          <w:tcPr>
            <w:tcW w:type="dxa" w:w="4320"/>
          </w:tcPr>
          <w:p>
            <w:pPr>
              <w:jc w:val="center"/>
            </w:pPr>
            <w:r>
              <w:rPr>
                <w:rFonts w:ascii="Times New Roman" w:cs="Times New Roman" w:eastAsia="Times New Roman" w:hAnsi="Times New Roman"/>
                <w:sz w:val="24"/>
                <w:szCs w:val="24"/>
              </w:rPr>
              <w:t xml:space="preserve">2027</w:t>
            </w:r>
          </w:p>
        </w:tc>
        <w:tc>
          <w:tcPr>
            <w:tcW w:type="dxa" w:w="4320"/>
          </w:tcPr>
          <w:p>
            <w:pPr>
              <w:jc w:val="center"/>
            </w:pPr>
            <w:r>
              <w:rPr>
                <w:rFonts w:ascii="Times New Roman" w:cs="Times New Roman" w:eastAsia="Times New Roman" w:hAnsi="Times New Roman"/>
                <w:sz w:val="24"/>
                <w:szCs w:val="24"/>
              </w:rPr>
              <w:t xml:space="preserve">836,838</w:t>
            </w:r>
          </w:p>
        </w:tc>
      </w:tr>
      <w:tr>
        <w:tc>
          <w:tcPr>
            <w:tcW w:type="dxa" w:w="4320"/>
          </w:tcPr>
          <w:p>
            <w:pPr>
              <w:jc w:val="center"/>
            </w:pPr>
            <w:r>
              <w:rPr>
                <w:rFonts w:ascii="Times New Roman" w:cs="Times New Roman" w:eastAsia="Times New Roman" w:hAnsi="Times New Roman"/>
                <w:sz w:val="24"/>
                <w:szCs w:val="24"/>
              </w:rPr>
              <w:t xml:space="preserve">2028</w:t>
            </w:r>
          </w:p>
        </w:tc>
        <w:tc>
          <w:tcPr>
            <w:tcW w:type="dxa" w:w="4320"/>
          </w:tcPr>
          <w:p>
            <w:pPr>
              <w:jc w:val="center"/>
            </w:pPr>
            <w:r>
              <w:rPr>
                <w:rFonts w:ascii="Times New Roman" w:cs="Times New Roman" w:eastAsia="Times New Roman" w:hAnsi="Times New Roman"/>
                <w:sz w:val="24"/>
                <w:szCs w:val="24"/>
              </w:rPr>
              <w:t xml:space="preserve">849,809</w:t>
            </w:r>
          </w:p>
        </w:tc>
      </w:tr>
      <w:tr>
        <w:tc>
          <w:tcPr>
            <w:tcW w:type="dxa" w:w="4320"/>
          </w:tcPr>
          <w:p>
            <w:pPr>
              <w:jc w:val="center"/>
            </w:pPr>
            <w:r>
              <w:rPr>
                <w:rFonts w:ascii="Times New Roman" w:cs="Times New Roman" w:eastAsia="Times New Roman" w:hAnsi="Times New Roman"/>
                <w:sz w:val="24"/>
                <w:szCs w:val="24"/>
              </w:rPr>
              <w:t xml:space="preserve">2029</w:t>
            </w:r>
          </w:p>
        </w:tc>
        <w:tc>
          <w:tcPr>
            <w:tcW w:type="dxa" w:w="4320"/>
          </w:tcPr>
          <w:p>
            <w:pPr>
              <w:jc w:val="center"/>
            </w:pPr>
            <w:r>
              <w:rPr>
                <w:rFonts w:ascii="Times New Roman" w:cs="Times New Roman" w:eastAsia="Times New Roman" w:hAnsi="Times New Roman"/>
                <w:sz w:val="24"/>
                <w:szCs w:val="24"/>
              </w:rPr>
              <w:t xml:space="preserve">862,981</w:t>
            </w:r>
          </w:p>
        </w:tc>
      </w:tr>
    </w:tbl>
    <w:p>
      <w:pPr>
        <w:spacing w:after="240" w:before="80"/>
        <w:jc w:val="left"/>
      </w:pPr>
      <w:r>
        <w:rPr>
          <w:rFonts w:ascii="Times New Roman" w:cs="Times New Roman" w:eastAsia="Times New Roman" w:hAnsi="Times New Roman"/>
          <w:i/>
          <w:iCs/>
          <w:sz w:val="20"/>
          <w:szCs w:val="20"/>
        </w:rPr>
        <w:t xml:space="preserve">Fuente: elaboración propia con base en la tasa de crecimiento poblacional reportada por el INE (citada por Larios, 2024).</w:t>
      </w:r>
    </w:p>
    <w:p>
      <w:pPr>
        <w:spacing w:after="240" w:line="360"/>
        <w:ind w:firstLine="720"/>
        <w:jc w:val="both"/>
      </w:pPr>
      <w:r>
        <w:rPr>
          <w:rFonts w:ascii="Times New Roman" w:cs="Times New Roman" w:eastAsia="Times New Roman" w:hAnsi="Times New Roman"/>
          <w:sz w:val="24"/>
          <w:szCs w:val="24"/>
        </w:rPr>
        <w:t xml:space="preserve">Con el propósito de complementar este análisis, se revisó el registro abierto de matriculación vehicular del INE correspondiente al periodo 2007-2025 (INE, 2025). Es importante señalar que el archivo entregado por la fuente contiene 1,048,575 registros, cifra que coincide exactamente con el límite máximo de filas de una hoja de cálculo de Excel; por lo tanto, este conjunto de datos debe interpretarse como una muestra parcial del registro nacional y no como la serie histórica oficial completa. Con esta salvedad, los datos disponibles se utilizan únicamente para observar una tendencia indicativa del comportamiento del parque vehicular, no para establecer cifras oficiales.</w:t>
      </w:r>
    </w:p>
    <w:p>
      <w:pPr>
        <w:spacing w:after="80" w:before="240"/>
        <w:jc w:val="center"/>
      </w:pPr>
      <w:r>
        <w:rPr>
          <w:rFonts w:ascii="Times New Roman" w:cs="Times New Roman" w:eastAsia="Times New Roman" w:hAnsi="Times New Roman"/>
          <w:b/>
          <w:bCs/>
          <w:sz w:val="24"/>
          <w:szCs w:val="24"/>
        </w:rPr>
        <w:t xml:space="preserve">Tabla 2. Nuevas inscripciones vehiculares registradas en el departamento y en el municipio de Quetzaltenango según la muestra disponible del registro del INE, 2015-2025.</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937"/>
        <w:gridCol w:w="2851"/>
        <w:gridCol w:w="2851"/>
      </w:tblGrid>
      <w:tr>
        <w:trPr>
          <w:tblHeader/>
        </w:trPr>
        <w:tc>
          <w:tcPr>
            <w:tcW w:type="dxa" w:w="2937"/>
            <w:shd w:fill="D9D9D9" w:val="clear"/>
          </w:tcPr>
          <w:p>
            <w:pPr>
              <w:jc w:val="center"/>
            </w:pPr>
            <w:r>
              <w:rPr>
                <w:rFonts w:ascii="Times New Roman" w:cs="Times New Roman" w:eastAsia="Times New Roman" w:hAnsi="Times New Roman"/>
                <w:b/>
                <w:bCs/>
                <w:sz w:val="24"/>
                <w:szCs w:val="24"/>
              </w:rPr>
              <w:t xml:space="preserve">Año</w:t>
            </w:r>
          </w:p>
        </w:tc>
        <w:tc>
          <w:tcPr>
            <w:tcW w:type="dxa" w:w="2851"/>
            <w:shd w:fill="D9D9D9" w:val="clear"/>
          </w:tcPr>
          <w:p>
            <w:pPr>
              <w:jc w:val="center"/>
            </w:pPr>
            <w:r>
              <w:rPr>
                <w:rFonts w:ascii="Times New Roman" w:cs="Times New Roman" w:eastAsia="Times New Roman" w:hAnsi="Times New Roman"/>
                <w:b/>
                <w:bCs/>
                <w:sz w:val="24"/>
                <w:szCs w:val="24"/>
              </w:rPr>
              <w:t xml:space="preserve">Departamento de Quetzaltenango</w:t>
            </w:r>
          </w:p>
        </w:tc>
        <w:tc>
          <w:tcPr>
            <w:tcW w:type="dxa" w:w="2851"/>
            <w:shd w:fill="D9D9D9" w:val="clear"/>
          </w:tcPr>
          <w:p>
            <w:pPr>
              <w:jc w:val="center"/>
            </w:pPr>
            <w:r>
              <w:rPr>
                <w:rFonts w:ascii="Times New Roman" w:cs="Times New Roman" w:eastAsia="Times New Roman" w:hAnsi="Times New Roman"/>
                <w:b/>
                <w:bCs/>
                <w:sz w:val="24"/>
                <w:szCs w:val="24"/>
              </w:rPr>
              <w:t xml:space="preserve">Municipio de Quetzaltenango</w:t>
            </w:r>
          </w:p>
        </w:tc>
      </w:tr>
      <w:tr>
        <w:tc>
          <w:tcPr>
            <w:tcW w:type="dxa" w:w="2937"/>
          </w:tcPr>
          <w:p>
            <w:pPr>
              <w:jc w:val="center"/>
            </w:pPr>
            <w:r>
              <w:rPr>
                <w:rFonts w:ascii="Times New Roman" w:cs="Times New Roman" w:eastAsia="Times New Roman" w:hAnsi="Times New Roman"/>
                <w:sz w:val="24"/>
                <w:szCs w:val="24"/>
              </w:rPr>
              <w:t xml:space="preserve">2015</w:t>
            </w:r>
          </w:p>
        </w:tc>
        <w:tc>
          <w:tcPr>
            <w:tcW w:type="dxa" w:w="2851"/>
          </w:tcPr>
          <w:p>
            <w:pPr>
              <w:jc w:val="center"/>
            </w:pPr>
            <w:r>
              <w:rPr>
                <w:rFonts w:ascii="Times New Roman" w:cs="Times New Roman" w:eastAsia="Times New Roman" w:hAnsi="Times New Roman"/>
                <w:sz w:val="24"/>
                <w:szCs w:val="24"/>
              </w:rPr>
              <w:t xml:space="preserve">4,206</w:t>
            </w:r>
          </w:p>
        </w:tc>
        <w:tc>
          <w:tcPr>
            <w:tcW w:type="dxa" w:w="2851"/>
          </w:tcPr>
          <w:p>
            <w:pPr>
              <w:jc w:val="center"/>
            </w:pPr>
            <w:r>
              <w:rPr>
                <w:rFonts w:ascii="Times New Roman" w:cs="Times New Roman" w:eastAsia="Times New Roman" w:hAnsi="Times New Roman"/>
                <w:sz w:val="24"/>
                <w:szCs w:val="24"/>
              </w:rPr>
              <w:t xml:space="preserve">1,503</w:t>
            </w:r>
          </w:p>
        </w:tc>
      </w:tr>
      <w:tr>
        <w:tc>
          <w:tcPr>
            <w:tcW w:type="dxa" w:w="2937"/>
          </w:tcPr>
          <w:p>
            <w:pPr>
              <w:jc w:val="center"/>
            </w:pPr>
            <w:r>
              <w:rPr>
                <w:rFonts w:ascii="Times New Roman" w:cs="Times New Roman" w:eastAsia="Times New Roman" w:hAnsi="Times New Roman"/>
                <w:sz w:val="24"/>
                <w:szCs w:val="24"/>
              </w:rPr>
              <w:t xml:space="preserve">2016</w:t>
            </w:r>
          </w:p>
        </w:tc>
        <w:tc>
          <w:tcPr>
            <w:tcW w:type="dxa" w:w="2851"/>
          </w:tcPr>
          <w:p>
            <w:pPr>
              <w:jc w:val="center"/>
            </w:pPr>
            <w:r>
              <w:rPr>
                <w:rFonts w:ascii="Times New Roman" w:cs="Times New Roman" w:eastAsia="Times New Roman" w:hAnsi="Times New Roman"/>
                <w:sz w:val="24"/>
                <w:szCs w:val="24"/>
              </w:rPr>
              <w:t xml:space="preserve">5,511</w:t>
            </w:r>
          </w:p>
        </w:tc>
        <w:tc>
          <w:tcPr>
            <w:tcW w:type="dxa" w:w="2851"/>
          </w:tcPr>
          <w:p>
            <w:pPr>
              <w:jc w:val="center"/>
            </w:pPr>
            <w:r>
              <w:rPr>
                <w:rFonts w:ascii="Times New Roman" w:cs="Times New Roman" w:eastAsia="Times New Roman" w:hAnsi="Times New Roman"/>
                <w:sz w:val="24"/>
                <w:szCs w:val="24"/>
              </w:rPr>
              <w:t xml:space="preserve">1,816</w:t>
            </w:r>
          </w:p>
        </w:tc>
      </w:tr>
      <w:tr>
        <w:tc>
          <w:tcPr>
            <w:tcW w:type="dxa" w:w="2937"/>
          </w:tcPr>
          <w:p>
            <w:pPr>
              <w:jc w:val="center"/>
            </w:pPr>
            <w:r>
              <w:rPr>
                <w:rFonts w:ascii="Times New Roman" w:cs="Times New Roman" w:eastAsia="Times New Roman" w:hAnsi="Times New Roman"/>
                <w:sz w:val="24"/>
                <w:szCs w:val="24"/>
              </w:rPr>
              <w:t xml:space="preserve">2017</w:t>
            </w:r>
          </w:p>
        </w:tc>
        <w:tc>
          <w:tcPr>
            <w:tcW w:type="dxa" w:w="2851"/>
          </w:tcPr>
          <w:p>
            <w:pPr>
              <w:jc w:val="center"/>
            </w:pPr>
            <w:r>
              <w:rPr>
                <w:rFonts w:ascii="Times New Roman" w:cs="Times New Roman" w:eastAsia="Times New Roman" w:hAnsi="Times New Roman"/>
                <w:sz w:val="24"/>
                <w:szCs w:val="24"/>
              </w:rPr>
              <w:t xml:space="preserve">5,741</w:t>
            </w:r>
          </w:p>
        </w:tc>
        <w:tc>
          <w:tcPr>
            <w:tcW w:type="dxa" w:w="2851"/>
          </w:tcPr>
          <w:p>
            <w:pPr>
              <w:jc w:val="center"/>
            </w:pPr>
            <w:r>
              <w:rPr>
                <w:rFonts w:ascii="Times New Roman" w:cs="Times New Roman" w:eastAsia="Times New Roman" w:hAnsi="Times New Roman"/>
                <w:sz w:val="24"/>
                <w:szCs w:val="24"/>
              </w:rPr>
              <w:t xml:space="preserve">1,855</w:t>
            </w:r>
          </w:p>
        </w:tc>
      </w:tr>
      <w:tr>
        <w:tc>
          <w:tcPr>
            <w:tcW w:type="dxa" w:w="2937"/>
          </w:tcPr>
          <w:p>
            <w:pPr>
              <w:jc w:val="center"/>
            </w:pPr>
            <w:r>
              <w:rPr>
                <w:rFonts w:ascii="Times New Roman" w:cs="Times New Roman" w:eastAsia="Times New Roman" w:hAnsi="Times New Roman"/>
                <w:sz w:val="24"/>
                <w:szCs w:val="24"/>
              </w:rPr>
              <w:t xml:space="preserve">2018</w:t>
            </w:r>
          </w:p>
        </w:tc>
        <w:tc>
          <w:tcPr>
            <w:tcW w:type="dxa" w:w="2851"/>
          </w:tcPr>
          <w:p>
            <w:pPr>
              <w:jc w:val="center"/>
            </w:pPr>
            <w:r>
              <w:rPr>
                <w:rFonts w:ascii="Times New Roman" w:cs="Times New Roman" w:eastAsia="Times New Roman" w:hAnsi="Times New Roman"/>
                <w:sz w:val="24"/>
                <w:szCs w:val="24"/>
              </w:rPr>
              <w:t xml:space="preserve">6,196</w:t>
            </w:r>
          </w:p>
        </w:tc>
        <w:tc>
          <w:tcPr>
            <w:tcW w:type="dxa" w:w="2851"/>
          </w:tcPr>
          <w:p>
            <w:pPr>
              <w:jc w:val="center"/>
            </w:pPr>
            <w:r>
              <w:rPr>
                <w:rFonts w:ascii="Times New Roman" w:cs="Times New Roman" w:eastAsia="Times New Roman" w:hAnsi="Times New Roman"/>
                <w:sz w:val="24"/>
                <w:szCs w:val="24"/>
              </w:rPr>
              <w:t xml:space="preserve">1,987</w:t>
            </w:r>
          </w:p>
        </w:tc>
      </w:tr>
      <w:tr>
        <w:tc>
          <w:tcPr>
            <w:tcW w:type="dxa" w:w="2937"/>
          </w:tcPr>
          <w:p>
            <w:pPr>
              <w:jc w:val="center"/>
            </w:pPr>
            <w:r>
              <w:rPr>
                <w:rFonts w:ascii="Times New Roman" w:cs="Times New Roman" w:eastAsia="Times New Roman" w:hAnsi="Times New Roman"/>
                <w:sz w:val="24"/>
                <w:szCs w:val="24"/>
              </w:rPr>
              <w:t xml:space="preserve">2019</w:t>
            </w:r>
          </w:p>
        </w:tc>
        <w:tc>
          <w:tcPr>
            <w:tcW w:type="dxa" w:w="2851"/>
          </w:tcPr>
          <w:p>
            <w:pPr>
              <w:jc w:val="center"/>
            </w:pPr>
            <w:r>
              <w:rPr>
                <w:rFonts w:ascii="Times New Roman" w:cs="Times New Roman" w:eastAsia="Times New Roman" w:hAnsi="Times New Roman"/>
                <w:sz w:val="24"/>
                <w:szCs w:val="24"/>
              </w:rPr>
              <w:t xml:space="preserve">6,265</w:t>
            </w:r>
          </w:p>
        </w:tc>
        <w:tc>
          <w:tcPr>
            <w:tcW w:type="dxa" w:w="2851"/>
          </w:tcPr>
          <w:p>
            <w:pPr>
              <w:jc w:val="center"/>
            </w:pPr>
            <w:r>
              <w:rPr>
                <w:rFonts w:ascii="Times New Roman" w:cs="Times New Roman" w:eastAsia="Times New Roman" w:hAnsi="Times New Roman"/>
                <w:sz w:val="24"/>
                <w:szCs w:val="24"/>
              </w:rPr>
              <w:t xml:space="preserve">2,079</w:t>
            </w:r>
          </w:p>
        </w:tc>
      </w:tr>
      <w:tr>
        <w:tc>
          <w:tcPr>
            <w:tcW w:type="dxa" w:w="2937"/>
          </w:tcPr>
          <w:p>
            <w:pPr>
              <w:jc w:val="center"/>
            </w:pPr>
            <w:r>
              <w:rPr>
                <w:rFonts w:ascii="Times New Roman" w:cs="Times New Roman" w:eastAsia="Times New Roman" w:hAnsi="Times New Roman"/>
                <w:sz w:val="24"/>
                <w:szCs w:val="24"/>
              </w:rPr>
              <w:t xml:space="preserve">2020</w:t>
            </w:r>
          </w:p>
        </w:tc>
        <w:tc>
          <w:tcPr>
            <w:tcW w:type="dxa" w:w="2851"/>
          </w:tcPr>
          <w:p>
            <w:pPr>
              <w:jc w:val="center"/>
            </w:pPr>
            <w:r>
              <w:rPr>
                <w:rFonts w:ascii="Times New Roman" w:cs="Times New Roman" w:eastAsia="Times New Roman" w:hAnsi="Times New Roman"/>
                <w:sz w:val="24"/>
                <w:szCs w:val="24"/>
              </w:rPr>
              <w:t xml:space="preserve">5,432</w:t>
            </w:r>
          </w:p>
        </w:tc>
        <w:tc>
          <w:tcPr>
            <w:tcW w:type="dxa" w:w="2851"/>
          </w:tcPr>
          <w:p>
            <w:pPr>
              <w:jc w:val="center"/>
            </w:pPr>
            <w:r>
              <w:rPr>
                <w:rFonts w:ascii="Times New Roman" w:cs="Times New Roman" w:eastAsia="Times New Roman" w:hAnsi="Times New Roman"/>
                <w:sz w:val="24"/>
                <w:szCs w:val="24"/>
              </w:rPr>
              <w:t xml:space="preserve">1,861</w:t>
            </w:r>
          </w:p>
        </w:tc>
      </w:tr>
      <w:tr>
        <w:tc>
          <w:tcPr>
            <w:tcW w:type="dxa" w:w="2937"/>
          </w:tcPr>
          <w:p>
            <w:pPr>
              <w:jc w:val="center"/>
            </w:pPr>
            <w:r>
              <w:rPr>
                <w:rFonts w:ascii="Times New Roman" w:cs="Times New Roman" w:eastAsia="Times New Roman" w:hAnsi="Times New Roman"/>
                <w:sz w:val="24"/>
                <w:szCs w:val="24"/>
              </w:rPr>
              <w:t xml:space="preserve">2021</w:t>
            </w:r>
          </w:p>
        </w:tc>
        <w:tc>
          <w:tcPr>
            <w:tcW w:type="dxa" w:w="2851"/>
          </w:tcPr>
          <w:p>
            <w:pPr>
              <w:jc w:val="center"/>
            </w:pPr>
            <w:r>
              <w:rPr>
                <w:rFonts w:ascii="Times New Roman" w:cs="Times New Roman" w:eastAsia="Times New Roman" w:hAnsi="Times New Roman"/>
                <w:sz w:val="24"/>
                <w:szCs w:val="24"/>
              </w:rPr>
              <w:t xml:space="preserve">7,042</w:t>
            </w:r>
          </w:p>
        </w:tc>
        <w:tc>
          <w:tcPr>
            <w:tcW w:type="dxa" w:w="2851"/>
          </w:tcPr>
          <w:p>
            <w:pPr>
              <w:jc w:val="center"/>
            </w:pPr>
            <w:r>
              <w:rPr>
                <w:rFonts w:ascii="Times New Roman" w:cs="Times New Roman" w:eastAsia="Times New Roman" w:hAnsi="Times New Roman"/>
                <w:sz w:val="24"/>
                <w:szCs w:val="24"/>
              </w:rPr>
              <w:t xml:space="preserve">2,271</w:t>
            </w:r>
          </w:p>
        </w:tc>
      </w:tr>
      <w:tr>
        <w:tc>
          <w:tcPr>
            <w:tcW w:type="dxa" w:w="2937"/>
          </w:tcPr>
          <w:p>
            <w:pPr>
              <w:jc w:val="center"/>
            </w:pPr>
            <w:r>
              <w:rPr>
                <w:rFonts w:ascii="Times New Roman" w:cs="Times New Roman" w:eastAsia="Times New Roman" w:hAnsi="Times New Roman"/>
                <w:sz w:val="24"/>
                <w:szCs w:val="24"/>
              </w:rPr>
              <w:t xml:space="preserve">2022</w:t>
            </w:r>
          </w:p>
        </w:tc>
        <w:tc>
          <w:tcPr>
            <w:tcW w:type="dxa" w:w="2851"/>
          </w:tcPr>
          <w:p>
            <w:pPr>
              <w:jc w:val="center"/>
            </w:pPr>
            <w:r>
              <w:rPr>
                <w:rFonts w:ascii="Times New Roman" w:cs="Times New Roman" w:eastAsia="Times New Roman" w:hAnsi="Times New Roman"/>
                <w:sz w:val="24"/>
                <w:szCs w:val="24"/>
              </w:rPr>
              <w:t xml:space="preserve">6,426</w:t>
            </w:r>
          </w:p>
        </w:tc>
        <w:tc>
          <w:tcPr>
            <w:tcW w:type="dxa" w:w="2851"/>
          </w:tcPr>
          <w:p>
            <w:pPr>
              <w:jc w:val="center"/>
            </w:pPr>
            <w:r>
              <w:rPr>
                <w:rFonts w:ascii="Times New Roman" w:cs="Times New Roman" w:eastAsia="Times New Roman" w:hAnsi="Times New Roman"/>
                <w:sz w:val="24"/>
                <w:szCs w:val="24"/>
              </w:rPr>
              <w:t xml:space="preserve">2,148</w:t>
            </w:r>
          </w:p>
        </w:tc>
      </w:tr>
      <w:tr>
        <w:tc>
          <w:tcPr>
            <w:tcW w:type="dxa" w:w="2937"/>
          </w:tcPr>
          <w:p>
            <w:pPr>
              <w:jc w:val="center"/>
            </w:pPr>
            <w:r>
              <w:rPr>
                <w:rFonts w:ascii="Times New Roman" w:cs="Times New Roman" w:eastAsia="Times New Roman" w:hAnsi="Times New Roman"/>
                <w:sz w:val="24"/>
                <w:szCs w:val="24"/>
              </w:rPr>
              <w:t xml:space="preserve">2023</w:t>
            </w:r>
          </w:p>
        </w:tc>
        <w:tc>
          <w:tcPr>
            <w:tcW w:type="dxa" w:w="2851"/>
          </w:tcPr>
          <w:p>
            <w:pPr>
              <w:jc w:val="center"/>
            </w:pPr>
            <w:r>
              <w:rPr>
                <w:rFonts w:ascii="Times New Roman" w:cs="Times New Roman" w:eastAsia="Times New Roman" w:hAnsi="Times New Roman"/>
                <w:sz w:val="24"/>
                <w:szCs w:val="24"/>
              </w:rPr>
              <w:t xml:space="preserve">7,286</w:t>
            </w:r>
          </w:p>
        </w:tc>
        <w:tc>
          <w:tcPr>
            <w:tcW w:type="dxa" w:w="2851"/>
          </w:tcPr>
          <w:p>
            <w:pPr>
              <w:jc w:val="center"/>
            </w:pPr>
            <w:r>
              <w:rPr>
                <w:rFonts w:ascii="Times New Roman" w:cs="Times New Roman" w:eastAsia="Times New Roman" w:hAnsi="Times New Roman"/>
                <w:sz w:val="24"/>
                <w:szCs w:val="24"/>
              </w:rPr>
              <w:t xml:space="preserve">2,303</w:t>
            </w:r>
          </w:p>
        </w:tc>
      </w:tr>
      <w:tr>
        <w:tc>
          <w:tcPr>
            <w:tcW w:type="dxa" w:w="2937"/>
          </w:tcPr>
          <w:p>
            <w:pPr>
              <w:jc w:val="center"/>
            </w:pPr>
            <w:r>
              <w:rPr>
                <w:rFonts w:ascii="Times New Roman" w:cs="Times New Roman" w:eastAsia="Times New Roman" w:hAnsi="Times New Roman"/>
                <w:sz w:val="24"/>
                <w:szCs w:val="24"/>
              </w:rPr>
              <w:t xml:space="preserve">2024</w:t>
            </w:r>
          </w:p>
        </w:tc>
        <w:tc>
          <w:tcPr>
            <w:tcW w:type="dxa" w:w="2851"/>
          </w:tcPr>
          <w:p>
            <w:pPr>
              <w:jc w:val="center"/>
            </w:pPr>
            <w:r>
              <w:rPr>
                <w:rFonts w:ascii="Times New Roman" w:cs="Times New Roman" w:eastAsia="Times New Roman" w:hAnsi="Times New Roman"/>
                <w:sz w:val="24"/>
                <w:szCs w:val="24"/>
              </w:rPr>
              <w:t xml:space="preserve">8,071</w:t>
            </w:r>
          </w:p>
        </w:tc>
        <w:tc>
          <w:tcPr>
            <w:tcW w:type="dxa" w:w="2851"/>
          </w:tcPr>
          <w:p>
            <w:pPr>
              <w:jc w:val="center"/>
            </w:pPr>
            <w:r>
              <w:rPr>
                <w:rFonts w:ascii="Times New Roman" w:cs="Times New Roman" w:eastAsia="Times New Roman" w:hAnsi="Times New Roman"/>
                <w:sz w:val="24"/>
                <w:szCs w:val="24"/>
              </w:rPr>
              <w:t xml:space="preserve">2,498</w:t>
            </w:r>
          </w:p>
        </w:tc>
      </w:tr>
      <w:tr>
        <w:tc>
          <w:tcPr>
            <w:tcW w:type="dxa" w:w="2937"/>
          </w:tcPr>
          <w:p>
            <w:pPr>
              <w:jc w:val="center"/>
            </w:pPr>
            <w:r>
              <w:rPr>
                <w:rFonts w:ascii="Times New Roman" w:cs="Times New Roman" w:eastAsia="Times New Roman" w:hAnsi="Times New Roman"/>
                <w:sz w:val="24"/>
                <w:szCs w:val="24"/>
              </w:rPr>
              <w:t xml:space="preserve">2025</w:t>
            </w:r>
          </w:p>
        </w:tc>
        <w:tc>
          <w:tcPr>
            <w:tcW w:type="dxa" w:w="2851"/>
          </w:tcPr>
          <w:p>
            <w:pPr>
              <w:jc w:val="center"/>
            </w:pPr>
            <w:r>
              <w:rPr>
                <w:rFonts w:ascii="Times New Roman" w:cs="Times New Roman" w:eastAsia="Times New Roman" w:hAnsi="Times New Roman"/>
                <w:sz w:val="24"/>
                <w:szCs w:val="24"/>
              </w:rPr>
              <w:t xml:space="preserve">7,197</w:t>
            </w:r>
          </w:p>
        </w:tc>
        <w:tc>
          <w:tcPr>
            <w:tcW w:type="dxa" w:w="2851"/>
          </w:tcPr>
          <w:p>
            <w:pPr>
              <w:jc w:val="center"/>
            </w:pPr>
            <w:r>
              <w:rPr>
                <w:rFonts w:ascii="Times New Roman" w:cs="Times New Roman" w:eastAsia="Times New Roman" w:hAnsi="Times New Roman"/>
                <w:sz w:val="24"/>
                <w:szCs w:val="24"/>
              </w:rPr>
              <w:t xml:space="preserve">2,099</w:t>
            </w:r>
          </w:p>
        </w:tc>
      </w:tr>
    </w:tbl>
    <w:p>
      <w:pPr>
        <w:spacing w:after="240" w:before="80"/>
        <w:jc w:val="left"/>
      </w:pPr>
      <w:r>
        <w:rPr>
          <w:rFonts w:ascii="Times New Roman" w:cs="Times New Roman" w:eastAsia="Times New Roman" w:hAnsi="Times New Roman"/>
          <w:i/>
          <w:iCs/>
          <w:sz w:val="20"/>
          <w:szCs w:val="20"/>
        </w:rPr>
        <w:t xml:space="preserve">Fuente: elaboración propia con base en una muestra del registro de matriculación vehicular del INE (2025); el año 2025 incluye únicamente los registros disponibles hasta la fecha de extracción del archivo (agosto 2025). Debido a la limitación señalada anteriormente, estas cifras deben interpretarse como una tendencia indicativa y no como el total oficial de inscripciones.</w:t>
      </w:r>
    </w:p>
    <w:p>
      <w:pPr>
        <w:spacing w:after="240" w:line="360"/>
        <w:ind w:firstLine="720"/>
        <w:jc w:val="both"/>
      </w:pPr>
      <w:r>
        <w:rPr>
          <w:rFonts w:ascii="Times New Roman" w:cs="Times New Roman" w:eastAsia="Times New Roman" w:hAnsi="Times New Roman"/>
          <w:sz w:val="24"/>
          <w:szCs w:val="24"/>
        </w:rPr>
        <w:t xml:space="preserve">A partir de esta muestra, la tasa de crecimiento anual compuesta (CAGR, por sus siglas en inglés) de las nuevas inscripciones vehiculares entre 2015 y 2024 —excluyendo 2025 por tratarse de un año incompleto— fue de aproximadamente 7.51% para el departamento y 5.81% para el municipio de Quetzaltenango. Si bien estas tasas corresponden a un flujo de nuevas inscripciones y no al parque vehicular total en circulación, su magnitud —superior a la tasa de crecimiento poblacional (1.55%)— sugiere que el parque vehicular podría estar creciendo a un ritmo considerablemente más acelerado que la población.</w:t>
      </w:r>
    </w:p>
    <w:p>
      <w:pPr>
        <w:spacing w:after="240" w:line="360"/>
        <w:ind w:firstLine="720"/>
        <w:jc w:val="both"/>
      </w:pPr>
      <w:r>
        <w:rPr>
          <w:rFonts w:ascii="Times New Roman" w:cs="Times New Roman" w:eastAsia="Times New Roman" w:hAnsi="Times New Roman"/>
          <w:sz w:val="24"/>
          <w:szCs w:val="24"/>
        </w:rPr>
        <w:t xml:space="preserve">Con base en lo anterior, la Tabla 3 presenta dos escenarios de proyección del parque vehicular departamental para el periodo 2024-2029: un escenario conservador, en el que la tasa de motorización (445 veh./1,000 hab.) permanece constante y el parque crece únicamente en función del crecimiento poblacional; y un escenario de tendencia, en el que la tasa de motorización aumenta a un ritmo moderado de 2.5% anual (equivalente a un tercio de la tasa de crecimiento observada en las nuevas inscripciones departamentales, aplicando un factor de amortiguación para no sobreestimar el crecimiento del parque total a partir de datos de flujo). Ambos escenarios son estimaciones con fines exploratorios y deben leerse como tales, no como cifras oficiales.</w:t>
      </w:r>
    </w:p>
    <w:p>
      <w:pPr>
        <w:spacing w:after="80" w:before="240"/>
        <w:jc w:val="center"/>
      </w:pPr>
      <w:r>
        <w:rPr>
          <w:rFonts w:ascii="Times New Roman" w:cs="Times New Roman" w:eastAsia="Times New Roman" w:hAnsi="Times New Roman"/>
          <w:b/>
          <w:bCs/>
          <w:sz w:val="24"/>
          <w:szCs w:val="24"/>
        </w:rPr>
        <w:t xml:space="preserve">Tabla 3. Escenarios de proyección del parque vehicular del departamento de Quetzaltenango, 2024-2029.</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382"/>
        <w:gridCol w:w="1814"/>
        <w:gridCol w:w="1814"/>
        <w:gridCol w:w="1814"/>
        <w:gridCol w:w="1814"/>
      </w:tblGrid>
      <w:tr>
        <w:trPr>
          <w:tblHeader/>
        </w:trPr>
        <w:tc>
          <w:tcPr>
            <w:tcW w:type="dxa" w:w="1382"/>
            <w:shd w:fill="D9D9D9" w:val="clear"/>
          </w:tcPr>
          <w:p>
            <w:pPr>
              <w:jc w:val="center"/>
            </w:pPr>
            <w:r>
              <w:rPr>
                <w:rFonts w:ascii="Times New Roman" w:cs="Times New Roman" w:eastAsia="Times New Roman" w:hAnsi="Times New Roman"/>
                <w:b/>
                <w:bCs/>
                <w:sz w:val="24"/>
                <w:szCs w:val="24"/>
              </w:rPr>
              <w:t xml:space="preserve">Año</w:t>
            </w:r>
          </w:p>
        </w:tc>
        <w:tc>
          <w:tcPr>
            <w:tcW w:type="dxa" w:w="1814"/>
            <w:shd w:fill="D9D9D9" w:val="clear"/>
          </w:tcPr>
          <w:p>
            <w:pPr>
              <w:jc w:val="center"/>
            </w:pPr>
            <w:r>
              <w:rPr>
                <w:rFonts w:ascii="Times New Roman" w:cs="Times New Roman" w:eastAsia="Times New Roman" w:hAnsi="Times New Roman"/>
                <w:b/>
                <w:bCs/>
                <w:sz w:val="24"/>
                <w:szCs w:val="24"/>
              </w:rPr>
              <w:t xml:space="preserve">Población proyectada</w:t>
            </w:r>
          </w:p>
        </w:tc>
        <w:tc>
          <w:tcPr>
            <w:tcW w:type="dxa" w:w="1814"/>
            <w:shd w:fill="D9D9D9" w:val="clear"/>
          </w:tcPr>
          <w:p>
            <w:pPr>
              <w:jc w:val="center"/>
            </w:pPr>
            <w:r>
              <w:rPr>
                <w:rFonts w:ascii="Times New Roman" w:cs="Times New Roman" w:eastAsia="Times New Roman" w:hAnsi="Times New Roman"/>
                <w:b/>
                <w:bCs/>
                <w:sz w:val="24"/>
                <w:szCs w:val="24"/>
              </w:rPr>
              <w:t xml:space="preserve">Parque vehicular (escenario conservador)</w:t>
            </w:r>
          </w:p>
        </w:tc>
        <w:tc>
          <w:tcPr>
            <w:tcW w:type="dxa" w:w="1814"/>
            <w:shd w:fill="D9D9D9" w:val="clear"/>
          </w:tcPr>
          <w:p>
            <w:pPr>
              <w:jc w:val="center"/>
            </w:pPr>
            <w:r>
              <w:rPr>
                <w:rFonts w:ascii="Times New Roman" w:cs="Times New Roman" w:eastAsia="Times New Roman" w:hAnsi="Times New Roman"/>
                <w:b/>
                <w:bCs/>
                <w:sz w:val="24"/>
                <w:szCs w:val="24"/>
              </w:rPr>
              <w:t xml:space="preserve">Tasa de motorización (escenario de tendencia)</w:t>
            </w:r>
          </w:p>
        </w:tc>
        <w:tc>
          <w:tcPr>
            <w:tcW w:type="dxa" w:w="1814"/>
            <w:shd w:fill="D9D9D9" w:val="clear"/>
          </w:tcPr>
          <w:p>
            <w:pPr>
              <w:jc w:val="center"/>
            </w:pPr>
            <w:r>
              <w:rPr>
                <w:rFonts w:ascii="Times New Roman" w:cs="Times New Roman" w:eastAsia="Times New Roman" w:hAnsi="Times New Roman"/>
                <w:b/>
                <w:bCs/>
                <w:sz w:val="24"/>
                <w:szCs w:val="24"/>
              </w:rPr>
              <w:t xml:space="preserve">Parque vehicular (escenario de tendencia)</w:t>
            </w:r>
          </w:p>
        </w:tc>
      </w:tr>
      <w:tr>
        <w:tc>
          <w:tcPr>
            <w:tcW w:type="dxa" w:w="1382"/>
          </w:tcPr>
          <w:p>
            <w:pPr>
              <w:jc w:val="center"/>
            </w:pPr>
            <w:r>
              <w:rPr>
                <w:rFonts w:ascii="Times New Roman" w:cs="Times New Roman" w:eastAsia="Times New Roman" w:hAnsi="Times New Roman"/>
                <w:sz w:val="24"/>
                <w:szCs w:val="24"/>
              </w:rPr>
              <w:t xml:space="preserve">2024</w:t>
            </w:r>
          </w:p>
        </w:tc>
        <w:tc>
          <w:tcPr>
            <w:tcW w:type="dxa" w:w="1814"/>
          </w:tcPr>
          <w:p>
            <w:pPr>
              <w:jc w:val="center"/>
            </w:pPr>
            <w:r>
              <w:rPr>
                <w:rFonts w:ascii="Times New Roman" w:cs="Times New Roman" w:eastAsia="Times New Roman" w:hAnsi="Times New Roman"/>
                <w:sz w:val="24"/>
                <w:szCs w:val="24"/>
              </w:rPr>
              <w:t xml:space="preserve">799,101</w:t>
            </w:r>
          </w:p>
        </w:tc>
        <w:tc>
          <w:tcPr>
            <w:tcW w:type="dxa" w:w="1814"/>
          </w:tcPr>
          <w:p>
            <w:pPr>
              <w:jc w:val="center"/>
            </w:pPr>
            <w:r>
              <w:rPr>
                <w:rFonts w:ascii="Times New Roman" w:cs="Times New Roman" w:eastAsia="Times New Roman" w:hAnsi="Times New Roman"/>
                <w:sz w:val="24"/>
                <w:szCs w:val="24"/>
              </w:rPr>
              <w:t xml:space="preserve">355,760</w:t>
            </w:r>
          </w:p>
        </w:tc>
        <w:tc>
          <w:tcPr>
            <w:tcW w:type="dxa" w:w="1814"/>
          </w:tcPr>
          <w:p>
            <w:pPr>
              <w:jc w:val="center"/>
            </w:pPr>
            <w:r>
              <w:rPr>
                <w:rFonts w:ascii="Times New Roman" w:cs="Times New Roman" w:eastAsia="Times New Roman" w:hAnsi="Times New Roman"/>
                <w:sz w:val="24"/>
                <w:szCs w:val="24"/>
              </w:rPr>
              <w:t xml:space="preserve">445.2</w:t>
            </w:r>
          </w:p>
        </w:tc>
        <w:tc>
          <w:tcPr>
            <w:tcW w:type="dxa" w:w="1814"/>
          </w:tcPr>
          <w:p>
            <w:pPr>
              <w:jc w:val="center"/>
            </w:pPr>
            <w:r>
              <w:rPr>
                <w:rFonts w:ascii="Times New Roman" w:cs="Times New Roman" w:eastAsia="Times New Roman" w:hAnsi="Times New Roman"/>
                <w:sz w:val="24"/>
                <w:szCs w:val="24"/>
              </w:rPr>
              <w:t xml:space="preserve">355,760</w:t>
            </w:r>
          </w:p>
        </w:tc>
      </w:tr>
      <w:tr>
        <w:tc>
          <w:tcPr>
            <w:tcW w:type="dxa" w:w="1382"/>
          </w:tcPr>
          <w:p>
            <w:pPr>
              <w:jc w:val="center"/>
            </w:pPr>
            <w:r>
              <w:rPr>
                <w:rFonts w:ascii="Times New Roman" w:cs="Times New Roman" w:eastAsia="Times New Roman" w:hAnsi="Times New Roman"/>
                <w:sz w:val="24"/>
                <w:szCs w:val="24"/>
              </w:rPr>
              <w:t xml:space="preserve">2025</w:t>
            </w:r>
          </w:p>
        </w:tc>
        <w:tc>
          <w:tcPr>
            <w:tcW w:type="dxa" w:w="1814"/>
          </w:tcPr>
          <w:p>
            <w:pPr>
              <w:jc w:val="center"/>
            </w:pPr>
            <w:r>
              <w:rPr>
                <w:rFonts w:ascii="Times New Roman" w:cs="Times New Roman" w:eastAsia="Times New Roman" w:hAnsi="Times New Roman"/>
                <w:sz w:val="24"/>
                <w:szCs w:val="24"/>
              </w:rPr>
              <w:t xml:space="preserve">811,487</w:t>
            </w:r>
          </w:p>
        </w:tc>
        <w:tc>
          <w:tcPr>
            <w:tcW w:type="dxa" w:w="1814"/>
          </w:tcPr>
          <w:p>
            <w:pPr>
              <w:jc w:val="center"/>
            </w:pPr>
            <w:r>
              <w:rPr>
                <w:rFonts w:ascii="Times New Roman" w:cs="Times New Roman" w:eastAsia="Times New Roman" w:hAnsi="Times New Roman"/>
                <w:sz w:val="24"/>
                <w:szCs w:val="24"/>
              </w:rPr>
              <w:t xml:space="preserve">361,274</w:t>
            </w:r>
          </w:p>
        </w:tc>
        <w:tc>
          <w:tcPr>
            <w:tcW w:type="dxa" w:w="1814"/>
          </w:tcPr>
          <w:p>
            <w:pPr>
              <w:jc w:val="center"/>
            </w:pPr>
            <w:r>
              <w:rPr>
                <w:rFonts w:ascii="Times New Roman" w:cs="Times New Roman" w:eastAsia="Times New Roman" w:hAnsi="Times New Roman"/>
                <w:sz w:val="24"/>
                <w:szCs w:val="24"/>
              </w:rPr>
              <w:t xml:space="preserve">456.3</w:t>
            </w:r>
          </w:p>
        </w:tc>
        <w:tc>
          <w:tcPr>
            <w:tcW w:type="dxa" w:w="1814"/>
          </w:tcPr>
          <w:p>
            <w:pPr>
              <w:jc w:val="center"/>
            </w:pPr>
            <w:r>
              <w:rPr>
                <w:rFonts w:ascii="Times New Roman" w:cs="Times New Roman" w:eastAsia="Times New Roman" w:hAnsi="Times New Roman"/>
                <w:sz w:val="24"/>
                <w:szCs w:val="24"/>
              </w:rPr>
              <w:t xml:space="preserve">370,318</w:t>
            </w:r>
          </w:p>
        </w:tc>
      </w:tr>
      <w:tr>
        <w:tc>
          <w:tcPr>
            <w:tcW w:type="dxa" w:w="1382"/>
          </w:tcPr>
          <w:p>
            <w:pPr>
              <w:jc w:val="center"/>
            </w:pPr>
            <w:r>
              <w:rPr>
                <w:rFonts w:ascii="Times New Roman" w:cs="Times New Roman" w:eastAsia="Times New Roman" w:hAnsi="Times New Roman"/>
                <w:sz w:val="24"/>
                <w:szCs w:val="24"/>
              </w:rPr>
              <w:t xml:space="preserve">2026</w:t>
            </w:r>
          </w:p>
        </w:tc>
        <w:tc>
          <w:tcPr>
            <w:tcW w:type="dxa" w:w="1814"/>
          </w:tcPr>
          <w:p>
            <w:pPr>
              <w:jc w:val="center"/>
            </w:pPr>
            <w:r>
              <w:rPr>
                <w:rFonts w:ascii="Times New Roman" w:cs="Times New Roman" w:eastAsia="Times New Roman" w:hAnsi="Times New Roman"/>
                <w:sz w:val="24"/>
                <w:szCs w:val="24"/>
              </w:rPr>
              <w:t xml:space="preserve">824,065</w:t>
            </w:r>
          </w:p>
        </w:tc>
        <w:tc>
          <w:tcPr>
            <w:tcW w:type="dxa" w:w="1814"/>
          </w:tcPr>
          <w:p>
            <w:pPr>
              <w:jc w:val="center"/>
            </w:pPr>
            <w:r>
              <w:rPr>
                <w:rFonts w:ascii="Times New Roman" w:cs="Times New Roman" w:eastAsia="Times New Roman" w:hAnsi="Times New Roman"/>
                <w:sz w:val="24"/>
                <w:szCs w:val="24"/>
              </w:rPr>
              <w:t xml:space="preserve">366,874</w:t>
            </w:r>
          </w:p>
        </w:tc>
        <w:tc>
          <w:tcPr>
            <w:tcW w:type="dxa" w:w="1814"/>
          </w:tcPr>
          <w:p>
            <w:pPr>
              <w:jc w:val="center"/>
            </w:pPr>
            <w:r>
              <w:rPr>
                <w:rFonts w:ascii="Times New Roman" w:cs="Times New Roman" w:eastAsia="Times New Roman" w:hAnsi="Times New Roman"/>
                <w:sz w:val="24"/>
                <w:szCs w:val="24"/>
              </w:rPr>
              <w:t xml:space="preserve">467.8</w:t>
            </w:r>
          </w:p>
        </w:tc>
        <w:tc>
          <w:tcPr>
            <w:tcW w:type="dxa" w:w="1814"/>
          </w:tcPr>
          <w:p>
            <w:pPr>
              <w:jc w:val="center"/>
            </w:pPr>
            <w:r>
              <w:rPr>
                <w:rFonts w:ascii="Times New Roman" w:cs="Times New Roman" w:eastAsia="Times New Roman" w:hAnsi="Times New Roman"/>
                <w:sz w:val="24"/>
                <w:szCs w:val="24"/>
              </w:rPr>
              <w:t xml:space="preserve">385,472</w:t>
            </w:r>
          </w:p>
        </w:tc>
      </w:tr>
      <w:tr>
        <w:tc>
          <w:tcPr>
            <w:tcW w:type="dxa" w:w="1382"/>
          </w:tcPr>
          <w:p>
            <w:pPr>
              <w:jc w:val="center"/>
            </w:pPr>
            <w:r>
              <w:rPr>
                <w:rFonts w:ascii="Times New Roman" w:cs="Times New Roman" w:eastAsia="Times New Roman" w:hAnsi="Times New Roman"/>
                <w:sz w:val="24"/>
                <w:szCs w:val="24"/>
              </w:rPr>
              <w:t xml:space="preserve">2027</w:t>
            </w:r>
          </w:p>
        </w:tc>
        <w:tc>
          <w:tcPr>
            <w:tcW w:type="dxa" w:w="1814"/>
          </w:tcPr>
          <w:p>
            <w:pPr>
              <w:jc w:val="center"/>
            </w:pPr>
            <w:r>
              <w:rPr>
                <w:rFonts w:ascii="Times New Roman" w:cs="Times New Roman" w:eastAsia="Times New Roman" w:hAnsi="Times New Roman"/>
                <w:sz w:val="24"/>
                <w:szCs w:val="24"/>
              </w:rPr>
              <w:t xml:space="preserve">836,838</w:t>
            </w:r>
          </w:p>
        </w:tc>
        <w:tc>
          <w:tcPr>
            <w:tcW w:type="dxa" w:w="1814"/>
          </w:tcPr>
          <w:p>
            <w:pPr>
              <w:jc w:val="center"/>
            </w:pPr>
            <w:r>
              <w:rPr>
                <w:rFonts w:ascii="Times New Roman" w:cs="Times New Roman" w:eastAsia="Times New Roman" w:hAnsi="Times New Roman"/>
                <w:sz w:val="24"/>
                <w:szCs w:val="24"/>
              </w:rPr>
              <w:t xml:space="preserve">372,560</w:t>
            </w:r>
          </w:p>
        </w:tc>
        <w:tc>
          <w:tcPr>
            <w:tcW w:type="dxa" w:w="1814"/>
          </w:tcPr>
          <w:p>
            <w:pPr>
              <w:jc w:val="center"/>
            </w:pPr>
            <w:r>
              <w:rPr>
                <w:rFonts w:ascii="Times New Roman" w:cs="Times New Roman" w:eastAsia="Times New Roman" w:hAnsi="Times New Roman"/>
                <w:sz w:val="24"/>
                <w:szCs w:val="24"/>
              </w:rPr>
              <w:t xml:space="preserve">479.5</w:t>
            </w:r>
          </w:p>
        </w:tc>
        <w:tc>
          <w:tcPr>
            <w:tcW w:type="dxa" w:w="1814"/>
          </w:tcPr>
          <w:p>
            <w:pPr>
              <w:jc w:val="center"/>
            </w:pPr>
            <w:r>
              <w:rPr>
                <w:rFonts w:ascii="Times New Roman" w:cs="Times New Roman" w:eastAsia="Times New Roman" w:hAnsi="Times New Roman"/>
                <w:sz w:val="24"/>
                <w:szCs w:val="24"/>
              </w:rPr>
              <w:t xml:space="preserve">401,246</w:t>
            </w:r>
          </w:p>
        </w:tc>
      </w:tr>
      <w:tr>
        <w:tc>
          <w:tcPr>
            <w:tcW w:type="dxa" w:w="1382"/>
          </w:tcPr>
          <w:p>
            <w:pPr>
              <w:jc w:val="center"/>
            </w:pPr>
            <w:r>
              <w:rPr>
                <w:rFonts w:ascii="Times New Roman" w:cs="Times New Roman" w:eastAsia="Times New Roman" w:hAnsi="Times New Roman"/>
                <w:sz w:val="24"/>
                <w:szCs w:val="24"/>
              </w:rPr>
              <w:t xml:space="preserve">2028</w:t>
            </w:r>
          </w:p>
        </w:tc>
        <w:tc>
          <w:tcPr>
            <w:tcW w:type="dxa" w:w="1814"/>
          </w:tcPr>
          <w:p>
            <w:pPr>
              <w:jc w:val="center"/>
            </w:pPr>
            <w:r>
              <w:rPr>
                <w:rFonts w:ascii="Times New Roman" w:cs="Times New Roman" w:eastAsia="Times New Roman" w:hAnsi="Times New Roman"/>
                <w:sz w:val="24"/>
                <w:szCs w:val="24"/>
              </w:rPr>
              <w:t xml:space="preserve">849,809</w:t>
            </w:r>
          </w:p>
        </w:tc>
        <w:tc>
          <w:tcPr>
            <w:tcW w:type="dxa" w:w="1814"/>
          </w:tcPr>
          <w:p>
            <w:pPr>
              <w:jc w:val="center"/>
            </w:pPr>
            <w:r>
              <w:rPr>
                <w:rFonts w:ascii="Times New Roman" w:cs="Times New Roman" w:eastAsia="Times New Roman" w:hAnsi="Times New Roman"/>
                <w:sz w:val="24"/>
                <w:szCs w:val="24"/>
              </w:rPr>
              <w:t xml:space="preserve">378,335</w:t>
            </w:r>
          </w:p>
        </w:tc>
        <w:tc>
          <w:tcPr>
            <w:tcW w:type="dxa" w:w="1814"/>
          </w:tcPr>
          <w:p>
            <w:pPr>
              <w:jc w:val="center"/>
            </w:pPr>
            <w:r>
              <w:rPr>
                <w:rFonts w:ascii="Times New Roman" w:cs="Times New Roman" w:eastAsia="Times New Roman" w:hAnsi="Times New Roman"/>
                <w:sz w:val="24"/>
                <w:szCs w:val="24"/>
              </w:rPr>
              <w:t xml:space="preserve">491.5</w:t>
            </w:r>
          </w:p>
        </w:tc>
        <w:tc>
          <w:tcPr>
            <w:tcW w:type="dxa" w:w="1814"/>
          </w:tcPr>
          <w:p>
            <w:pPr>
              <w:jc w:val="center"/>
            </w:pPr>
            <w:r>
              <w:rPr>
                <w:rFonts w:ascii="Times New Roman" w:cs="Times New Roman" w:eastAsia="Times New Roman" w:hAnsi="Times New Roman"/>
                <w:sz w:val="24"/>
                <w:szCs w:val="24"/>
              </w:rPr>
              <w:t xml:space="preserve">417,665</w:t>
            </w:r>
          </w:p>
        </w:tc>
      </w:tr>
      <w:tr>
        <w:tc>
          <w:tcPr>
            <w:tcW w:type="dxa" w:w="1382"/>
          </w:tcPr>
          <w:p>
            <w:pPr>
              <w:jc w:val="center"/>
            </w:pPr>
            <w:r>
              <w:rPr>
                <w:rFonts w:ascii="Times New Roman" w:cs="Times New Roman" w:eastAsia="Times New Roman" w:hAnsi="Times New Roman"/>
                <w:sz w:val="24"/>
                <w:szCs w:val="24"/>
              </w:rPr>
              <w:t xml:space="preserve">2029</w:t>
            </w:r>
          </w:p>
        </w:tc>
        <w:tc>
          <w:tcPr>
            <w:tcW w:type="dxa" w:w="1814"/>
          </w:tcPr>
          <w:p>
            <w:pPr>
              <w:jc w:val="center"/>
            </w:pPr>
            <w:r>
              <w:rPr>
                <w:rFonts w:ascii="Times New Roman" w:cs="Times New Roman" w:eastAsia="Times New Roman" w:hAnsi="Times New Roman"/>
                <w:sz w:val="24"/>
                <w:szCs w:val="24"/>
              </w:rPr>
              <w:t xml:space="preserve">862,981</w:t>
            </w:r>
          </w:p>
        </w:tc>
        <w:tc>
          <w:tcPr>
            <w:tcW w:type="dxa" w:w="1814"/>
          </w:tcPr>
          <w:p>
            <w:pPr>
              <w:jc w:val="center"/>
            </w:pPr>
            <w:r>
              <w:rPr>
                <w:rFonts w:ascii="Times New Roman" w:cs="Times New Roman" w:eastAsia="Times New Roman" w:hAnsi="Times New Roman"/>
                <w:sz w:val="24"/>
                <w:szCs w:val="24"/>
              </w:rPr>
              <w:t xml:space="preserve">384,199</w:t>
            </w:r>
          </w:p>
        </w:tc>
        <w:tc>
          <w:tcPr>
            <w:tcW w:type="dxa" w:w="1814"/>
          </w:tcPr>
          <w:p>
            <w:pPr>
              <w:jc w:val="center"/>
            </w:pPr>
            <w:r>
              <w:rPr>
                <w:rFonts w:ascii="Times New Roman" w:cs="Times New Roman" w:eastAsia="Times New Roman" w:hAnsi="Times New Roman"/>
                <w:sz w:val="24"/>
                <w:szCs w:val="24"/>
              </w:rPr>
              <w:t xml:space="preserve">503.8</w:t>
            </w:r>
          </w:p>
        </w:tc>
        <w:tc>
          <w:tcPr>
            <w:tcW w:type="dxa" w:w="1814"/>
          </w:tcPr>
          <w:p>
            <w:pPr>
              <w:jc w:val="center"/>
            </w:pPr>
            <w:r>
              <w:rPr>
                <w:rFonts w:ascii="Times New Roman" w:cs="Times New Roman" w:eastAsia="Times New Roman" w:hAnsi="Times New Roman"/>
                <w:sz w:val="24"/>
                <w:szCs w:val="24"/>
              </w:rPr>
              <w:t xml:space="preserve">434,757</w:t>
            </w:r>
          </w:p>
        </w:tc>
      </w:tr>
    </w:tbl>
    <w:p>
      <w:pPr>
        <w:spacing w:after="240" w:before="80"/>
        <w:jc w:val="left"/>
      </w:pPr>
      <w:r>
        <w:rPr>
          <w:rFonts w:ascii="Times New Roman" w:cs="Times New Roman" w:eastAsia="Times New Roman" w:hAnsi="Times New Roman"/>
          <w:i/>
          <w:iCs/>
          <w:sz w:val="20"/>
          <w:szCs w:val="20"/>
        </w:rPr>
        <w:t xml:space="preserve">Fuente: elaboración propia. Escenario conservador: tasa de motorización constante (445 veh./1,000 hab.). Escenario de tendencia: tasa de motorización creciendo 2.5% anual. Ambos escenarios aplican el crecimiento poblacional estimado de 1.55% anual (INE).</w:t>
      </w:r>
    </w:p>
    <w:p>
      <w:pPr>
        <w:spacing w:after="240" w:line="360"/>
        <w:ind w:firstLine="720"/>
        <w:jc w:val="both"/>
      </w:pPr>
      <w:r>
        <w:rPr>
          <w:rFonts w:ascii="Times New Roman" w:cs="Times New Roman" w:eastAsia="Times New Roman" w:hAnsi="Times New Roman"/>
          <w:sz w:val="24"/>
          <w:szCs w:val="24"/>
        </w:rPr>
        <w:t xml:space="preserve">Independientemente del escenario considerado, ambas proyecciones apuntan en la misma dirección: un incremento sostenido del parque vehicular en el departamento de Quetzaltenango durante los próximos años, lo que intensificará la demanda de espacios de estacionamiento disponibles y gestionados eficientemente.</w:t>
      </w:r>
    </w:p>
    <w:p>
      <w:pPr>
        <w:spacing w:after="160" w:before="360"/>
        <w:jc w:val="left"/>
      </w:pPr>
      <w:r>
        <w:rPr>
          <w:rFonts w:ascii="Times New Roman" w:cs="Times New Roman" w:eastAsia="Times New Roman" w:hAnsi="Times New Roman"/>
          <w:b/>
          <w:bCs/>
          <w:sz w:val="24"/>
          <w:szCs w:val="24"/>
        </w:rPr>
        <w:t xml:space="preserve">3.        Políticas de tránsito y estacionamiento en Guatemala.</w:t>
      </w:r>
    </w:p>
    <w:p>
      <w:pPr>
        <w:spacing w:after="240" w:line="360"/>
        <w:ind w:firstLine="720"/>
        <w:jc w:val="both"/>
      </w:pPr>
      <w:r>
        <w:rPr>
          <w:rFonts w:ascii="Times New Roman" w:cs="Times New Roman" w:eastAsia="Times New Roman" w:hAnsi="Times New Roman"/>
          <w:sz w:val="24"/>
          <w:szCs w:val="24"/>
        </w:rPr>
        <w:t xml:space="preserve">La Ley de Tránsito de Guatemala, Decreto 83-2005, especifica en su artículo 152 los lugares prohibidos para estacionar y parar. Se prohíbe estacionar en múltiples filas, frente a entradas de vehículos —excepto en las residencias particulares—, manteniendo siempre un paso para peatones, y a menos de 30 metros de otro vehículo estacionado en el lado opuesto de una vía de dos carriles. También está prohibido estacionar en zonas con parquímetros sin pagar, frente a hidrantes de bomberos, rampas para personas con discapacidad, cuando se bloquea el paso de otros vehículos o en áreas designadas como plazas, camellones o glorietas, entre otras. Además, se restringe el estacionamiento de vehículos pesados por más de 20 minutos en tramos específicos, especialmente remolques y autobuses.</w:t>
      </w:r>
    </w:p>
    <w:p>
      <w:pPr>
        <w:spacing w:after="240" w:line="360"/>
        <w:ind w:firstLine="720"/>
        <w:jc w:val="both"/>
      </w:pPr>
      <w:r>
        <w:rPr>
          <w:rFonts w:ascii="Times New Roman" w:cs="Times New Roman" w:eastAsia="Times New Roman" w:hAnsi="Times New Roman"/>
          <w:sz w:val="24"/>
          <w:szCs w:val="24"/>
        </w:rPr>
        <w:t xml:space="preserve">Existen múltiples razones por las cuales es conveniente optar por un parqueo autorizado, no solo para evitar multas o sanciones, sino también para agilizar el tránsito vehicular en la ciudad, el cual presenta diversas dificultades para la movilización debido al crecimiento poblacional, vehicular y a otras actividades de desarrollo urbano.</w:t>
      </w:r>
    </w:p>
    <w:p>
      <w:pPr>
        <w:spacing w:after="160" w:before="360"/>
        <w:jc w:val="left"/>
      </w:pPr>
      <w:r>
        <w:rPr>
          <w:rFonts w:ascii="Times New Roman" w:cs="Times New Roman" w:eastAsia="Times New Roman" w:hAnsi="Times New Roman"/>
          <w:b/>
          <w:bCs/>
          <w:sz w:val="24"/>
          <w:szCs w:val="24"/>
        </w:rPr>
        <w:t xml:space="preserve">4.        Tecnologías de la información aplicadas a la movilidad urbana.</w:t>
      </w:r>
    </w:p>
    <w:p>
      <w:pPr>
        <w:spacing w:after="240" w:line="360"/>
        <w:ind w:firstLine="720"/>
        <w:jc w:val="both"/>
      </w:pPr>
      <w:r>
        <w:rPr>
          <w:rFonts w:ascii="Times New Roman" w:cs="Times New Roman" w:eastAsia="Times New Roman" w:hAnsi="Times New Roman"/>
          <w:sz w:val="24"/>
          <w:szCs w:val="24"/>
        </w:rPr>
        <w:t xml:space="preserve">La movilidad urbana constituye uno de los principales retos de las ciudades en crecimiento. Las Tecnologías de la Información y Comunicación (TIC) han permitido implementar soluciones bajo el concepto de </w:t>
      </w:r>
      <w:r>
        <w:rPr>
          <w:rFonts w:ascii="Times New Roman" w:cs="Times New Roman" w:eastAsia="Times New Roman" w:hAnsi="Times New Roman"/>
          <w:i/>
          <w:iCs/>
          <w:sz w:val="24"/>
          <w:szCs w:val="24"/>
        </w:rPr>
        <w:t xml:space="preserve">Smart Cities</w:t>
      </w:r>
      <w:r>
        <w:rPr>
          <w:rFonts w:ascii="Times New Roman" w:cs="Times New Roman" w:eastAsia="Times New Roman" w:hAnsi="Times New Roman"/>
          <w:sz w:val="24"/>
          <w:szCs w:val="24"/>
        </w:rPr>
        <w:t xml:space="preserve">, donde la recopilación y el análisis de datos posibilitan una mejor gestión del tránsito, el transporte público y los estacionamientos (Bibri &amp; Krogstie, 2017).</w:t>
      </w:r>
    </w:p>
    <w:p>
      <w:pPr>
        <w:spacing w:after="240" w:line="360"/>
        <w:ind w:firstLine="720"/>
        <w:jc w:val="both"/>
      </w:pPr>
      <w:r>
        <w:rPr>
          <w:rFonts w:ascii="Times New Roman" w:cs="Times New Roman" w:eastAsia="Times New Roman" w:hAnsi="Times New Roman"/>
          <w:sz w:val="24"/>
          <w:szCs w:val="24"/>
        </w:rPr>
        <w:t xml:space="preserve">En este contexto, los sistemas inteligentes de gestión de parqueos son una de las aplicaciones más relevantes, ya que permiten optimizar el uso de la infraestructura existente y reducir la congestión vial, mejorando así la calidad de vida de los ciudadanos.</w:t>
      </w:r>
    </w:p>
    <w:p>
      <w:pPr>
        <w:spacing w:after="160" w:before="360"/>
        <w:jc w:val="left"/>
      </w:pPr>
      <w:r>
        <w:rPr>
          <w:rFonts w:ascii="Times New Roman" w:cs="Times New Roman" w:eastAsia="Times New Roman" w:hAnsi="Times New Roman"/>
          <w:b/>
          <w:bCs/>
          <w:sz w:val="24"/>
          <w:szCs w:val="24"/>
        </w:rPr>
        <w:t xml:space="preserve">5.        Impacto socioeconómico de la movilidad inteligente.</w:t>
      </w:r>
    </w:p>
    <w:p>
      <w:pPr>
        <w:spacing w:after="240" w:line="360"/>
        <w:ind w:firstLine="720"/>
        <w:jc w:val="both"/>
      </w:pPr>
      <w:r>
        <w:rPr>
          <w:rFonts w:ascii="Times New Roman" w:cs="Times New Roman" w:eastAsia="Times New Roman" w:hAnsi="Times New Roman"/>
          <w:sz w:val="24"/>
          <w:szCs w:val="24"/>
        </w:rPr>
        <w:t xml:space="preserve">El impacto de implementar soluciones tecnológicas en el ámbito del transporte urbano no solo es técnico, sino también económico y social. Según Shaheen y Cohen (2020), los sistemas de movilidad inteligente pueden reducir los costos de transporte, mejorar la productividad y disminuir la huella de carbono.</w:t>
      </w:r>
    </w:p>
    <w:p>
      <w:pPr>
        <w:spacing w:after="240" w:line="360"/>
        <w:ind w:firstLine="720"/>
        <w:jc w:val="both"/>
      </w:pPr>
      <w:r>
        <w:rPr>
          <w:rFonts w:ascii="Times New Roman" w:cs="Times New Roman" w:eastAsia="Times New Roman" w:hAnsi="Times New Roman"/>
          <w:sz w:val="24"/>
          <w:szCs w:val="24"/>
        </w:rPr>
        <w:t xml:space="preserve">En el caso de aplicaciones de gestión de parqueos, los beneficios se reflejan en la reducción de multas, el ahorro de tiempo en la búsqueda de estacionamientos y la dinamización de la economía local mediante la optimización de recursos y la mejora de la experiencia ciudadana. Este hallazgo refuerza la pertinencia y la viabilidad de este tipo de soluciones digitales orientadas a optimizar la búsqueda y reserva de espacios de parqueo, tomando como caso de estudio la red de Parqueos Shaddai.</w:t>
      </w:r>
    </w:p>
    <w:p>
      <w:pPr>
        <w:spacing w:after="240" w:before="480"/>
        <w:jc w:val="left"/>
      </w:pPr>
      <w:r>
        <w:rPr>
          <w:rFonts w:ascii="Times New Roman" w:cs="Times New Roman" w:eastAsia="Times New Roman" w:hAnsi="Times New Roman"/>
          <w:b/>
          <w:bCs/>
          <w:sz w:val="28"/>
          <w:szCs w:val="28"/>
        </w:rPr>
        <w:t xml:space="preserve">B.        Desarrollo de aplicaciones móviles multiplataforma.</w:t>
      </w:r>
    </w:p>
    <w:p>
      <w:pPr>
        <w:spacing w:after="160" w:before="360"/>
        <w:jc w:val="left"/>
      </w:pPr>
      <w:r>
        <w:rPr>
          <w:rFonts w:ascii="Times New Roman" w:cs="Times New Roman" w:eastAsia="Times New Roman" w:hAnsi="Times New Roman"/>
          <w:b/>
          <w:bCs/>
          <w:sz w:val="24"/>
          <w:szCs w:val="24"/>
        </w:rPr>
        <w:t xml:space="preserve">1.        Aplicaciones móviles: generalidades.</w:t>
      </w:r>
    </w:p>
    <w:p>
      <w:pPr>
        <w:spacing w:after="240" w:line="360"/>
        <w:ind w:firstLine="720"/>
        <w:jc w:val="both"/>
      </w:pPr>
      <w:r>
        <w:rPr>
          <w:rFonts w:ascii="Times New Roman" w:cs="Times New Roman" w:eastAsia="Times New Roman" w:hAnsi="Times New Roman"/>
          <w:sz w:val="24"/>
          <w:szCs w:val="24"/>
        </w:rPr>
        <w:t xml:space="preserve">Las aplicaciones móviles son programas diseñados para ejecutarse en dispositivos portátiles como teléfonos inteligentes y tabletas, y representan un pilar en la vida cotidiana moderna. Según Statista (2024), el número de usuarios de teléfonos inteligentes superó los 6,800 millones a nivel mundial, lo que evidencia su penetración global.</w:t>
      </w:r>
    </w:p>
    <w:p>
      <w:pPr>
        <w:spacing w:after="160" w:before="360"/>
        <w:jc w:val="left"/>
      </w:pPr>
      <w:r>
        <w:rPr>
          <w:rFonts w:ascii="Times New Roman" w:cs="Times New Roman" w:eastAsia="Times New Roman" w:hAnsi="Times New Roman"/>
          <w:b/>
          <w:bCs/>
          <w:sz w:val="24"/>
          <w:szCs w:val="24"/>
        </w:rPr>
        <w:t xml:space="preserve">2.        Sistemas operativos para dispositivos móviles.</w:t>
      </w:r>
    </w:p>
    <w:p>
      <w:pPr>
        <w:spacing w:after="240" w:line="360"/>
        <w:ind w:firstLine="720"/>
        <w:jc w:val="both"/>
      </w:pPr>
      <w:r>
        <w:rPr>
          <w:rFonts w:ascii="Times New Roman" w:cs="Times New Roman" w:eastAsia="Times New Roman" w:hAnsi="Times New Roman"/>
          <w:sz w:val="24"/>
          <w:szCs w:val="24"/>
        </w:rPr>
        <w:t xml:space="preserve">El conjunto de programas y herramientas diseñadas para el uso del dispositivo se conoce como sistema operativo. Actualmente existen múltiples fabricantes de teléfonos inteligentes que adaptan los sistemas operativos a sus equipos para lograr un buen funcionamiento y rendimiento, aprovechando las funciones nativas de cada dispositivo. Los dos sistemas operativos más utilizados en la actualidad son iOS, empleado en los dispositivos móviles de Apple, y Android, utilizado por diferentes marcas de telefonía móvil, entre ellas Samsung y Xiaomi.</w:t>
      </w:r>
    </w:p>
    <w:p>
      <w:pPr>
        <w:spacing w:after="120" w:before="240"/>
        <w:ind w:left="360"/>
        <w:jc w:val="left"/>
      </w:pPr>
      <w:r>
        <w:rPr>
          <w:rFonts w:ascii="Times New Roman" w:cs="Times New Roman" w:eastAsia="Times New Roman" w:hAnsi="Times New Roman"/>
          <w:b/>
          <w:bCs/>
          <w:i/>
          <w:iCs/>
          <w:sz w:val="24"/>
          <w:szCs w:val="24"/>
        </w:rPr>
        <w:t xml:space="preserve">Android Studio como entorno de desarrollo.</w:t>
      </w:r>
    </w:p>
    <w:p>
      <w:pPr>
        <w:spacing w:after="240" w:line="360"/>
        <w:ind w:firstLine="720"/>
        <w:jc w:val="both"/>
      </w:pPr>
      <w:r>
        <w:rPr>
          <w:rFonts w:ascii="Times New Roman" w:cs="Times New Roman" w:eastAsia="Times New Roman" w:hAnsi="Times New Roman"/>
          <w:sz w:val="24"/>
          <w:szCs w:val="24"/>
        </w:rPr>
        <w:t xml:space="preserve">Android Studio es el entorno de desarrollo integrado (IDE) oficial para la creación de aplicaciones Android, basado en IntelliJ IDEA. Este IDE proporciona un conjunto completo de herramientas y funcionalidades diseñadas para facilitar el desarrollo, la depuración y la prueba de aplicaciones Android. Entre sus características más destacadas se incluyen un editor de código avanzado que soporta lenguajes como Java, Kotlin y C++, y una herramienta de edición en tiempo real llamada Live Edit, que permite actualizar elementos de la interfaz de usuario directamente en emuladores y dispositivos físicos, minimizando las interrupciones durante el proceso de desarrollo.</w:t>
      </w:r>
    </w:p>
    <w:p>
      <w:pPr>
        <w:spacing w:after="240" w:line="360"/>
        <w:ind w:firstLine="720"/>
        <w:jc w:val="both"/>
      </w:pPr>
      <w:r>
        <w:rPr>
          <w:rFonts w:ascii="Times New Roman" w:cs="Times New Roman" w:eastAsia="Times New Roman" w:hAnsi="Times New Roman"/>
          <w:sz w:val="24"/>
          <w:szCs w:val="24"/>
        </w:rPr>
        <w:t xml:space="preserve">Android Studio utiliza Gradle como sistema de compilación, lo que permite configurar construcciones personalizadas, gestionar dependencias y automatizar procesos complejos. Este sistema flexible es crucial para crear diferentes versiones de una aplicación, como variantes de depuración y de lanzamiento, así como diferentes versiones de producto.</w:t>
      </w:r>
    </w:p>
    <w:p>
      <w:pPr>
        <w:spacing w:after="160" w:before="360"/>
        <w:jc w:val="left"/>
      </w:pPr>
      <w:r>
        <w:rPr>
          <w:rFonts w:ascii="Times New Roman" w:cs="Times New Roman" w:eastAsia="Times New Roman" w:hAnsi="Times New Roman"/>
          <w:b/>
          <w:bCs/>
          <w:sz w:val="24"/>
          <w:szCs w:val="24"/>
        </w:rPr>
        <w:t xml:space="preserve">3.        El lenguaje de programación Dart.</w:t>
      </w:r>
    </w:p>
    <w:p>
      <w:pPr>
        <w:spacing w:after="240" w:line="360"/>
        <w:ind w:firstLine="720"/>
        <w:jc w:val="both"/>
      </w:pPr>
      <w:r>
        <w:rPr>
          <w:rFonts w:ascii="Times New Roman" w:cs="Times New Roman" w:eastAsia="Times New Roman" w:hAnsi="Times New Roman"/>
          <w:sz w:val="24"/>
          <w:szCs w:val="24"/>
        </w:rPr>
        <w:t xml:space="preserve">Dart es un lenguaje de programación creado por Google, pensado para ser fácil de usar y muy eficiente. Tiene una sintaxis similar a la de C y puede transformarse en JavaScript, lo que lo hace ideal para aplicaciones web. Entre sus características se incluyen la capacidad de manejar tipos de datos de manera segura y la posibilidad de observar los cambios en el código al instante mientras se desarrolla la aplicación.</w:t>
      </w:r>
    </w:p>
    <w:p>
      <w:pPr>
        <w:spacing w:after="240" w:line="360"/>
        <w:ind w:firstLine="720"/>
        <w:jc w:val="both"/>
      </w:pPr>
      <w:r>
        <w:rPr>
          <w:rFonts w:ascii="Times New Roman" w:cs="Times New Roman" w:eastAsia="Times New Roman" w:hAnsi="Times New Roman"/>
          <w:sz w:val="24"/>
          <w:szCs w:val="24"/>
        </w:rPr>
        <w:t xml:space="preserve">De acuerdo con Dart (2024), «Dart es un lenguaje optimizado para el cliente para desarrollar aplicaciones rápidas en cualquier plataforma. Su objetivo es ofrecer el lenguaje de programación más productivo para el desarrollo multiplataforma, junto con una plataforma de ejecución flexible para marcos de aplicaciones».</w:t>
      </w:r>
    </w:p>
    <w:p>
      <w:pPr>
        <w:spacing w:after="240" w:line="360"/>
        <w:ind w:firstLine="720"/>
        <w:jc w:val="both"/>
      </w:pPr>
      <w:r>
        <w:rPr>
          <w:rFonts w:ascii="Times New Roman" w:cs="Times New Roman" w:eastAsia="Times New Roman" w:hAnsi="Times New Roman"/>
          <w:sz w:val="24"/>
          <w:szCs w:val="24"/>
        </w:rPr>
        <w:t xml:space="preserve">Dart es especialmente popular para desarrollar aplicaciones móviles con el framework Flutter, permitiendo crear aplicaciones tanto para Android como para iOS con un solo conjunto de código. Su conjunto de herramientas incluye todo lo necesario para crear y empaquetar aplicaciones, y su biblioteca estándar permite desarrollar aplicaciones completas, incluyendo servidores web personalizados.</w:t>
      </w:r>
    </w:p>
    <w:p>
      <w:pPr>
        <w:spacing w:after="160" w:before="360"/>
        <w:jc w:val="left"/>
      </w:pPr>
      <w:r>
        <w:rPr>
          <w:rFonts w:ascii="Times New Roman" w:cs="Times New Roman" w:eastAsia="Times New Roman" w:hAnsi="Times New Roman"/>
          <w:b/>
          <w:bCs/>
          <w:sz w:val="24"/>
          <w:szCs w:val="24"/>
        </w:rPr>
        <w:t xml:space="preserve">4.        El framework Flutter.</w:t>
      </w:r>
    </w:p>
    <w:p>
      <w:pPr>
        <w:spacing w:after="240" w:line="360"/>
        <w:ind w:firstLine="720"/>
        <w:jc w:val="both"/>
      </w:pPr>
      <w:r>
        <w:rPr>
          <w:rFonts w:ascii="Times New Roman" w:cs="Times New Roman" w:eastAsia="Times New Roman" w:hAnsi="Times New Roman"/>
          <w:sz w:val="24"/>
          <w:szCs w:val="24"/>
        </w:rPr>
        <w:t xml:space="preserve">Flutter, una herramienta de Google, simplifica la creación de aplicaciones para varios dispositivos —teléfonos, tabletas y computadoras— usando un solo conjunto de código. Esto significa que el código se escribe una sola vez y funciona en diferentes plataformas, lo que ahorra tiempo y esfuerzo de desarrollo. Una de sus funcionalidades más útiles es la posibilidad de observar los cambios realizados en la aplicación de forma instantánea, sin necesidad de reiniciarla, además de ofrecer amplias opciones de personalización visual.</w:t>
      </w:r>
    </w:p>
    <w:p>
      <w:pPr>
        <w:spacing w:after="240" w:line="360"/>
        <w:ind w:firstLine="720"/>
        <w:jc w:val="both"/>
      </w:pPr>
      <w:r>
        <w:rPr>
          <w:rFonts w:ascii="Times New Roman" w:cs="Times New Roman" w:eastAsia="Times New Roman" w:hAnsi="Times New Roman"/>
          <w:sz w:val="24"/>
          <w:szCs w:val="24"/>
        </w:rPr>
        <w:t xml:space="preserve">Para el desarrollo de aplicaciones multiplataforma, frameworks como Flutter se han consolidado como una alternativa eficiente, al permitir crear aplicaciones nativas tanto para Android como para iOS con un solo código base, reduciendo costos y tiempos de desarrollo (Google, 2024). Usar Flutter tiene además otras ventajas: las aplicaciones creadas funcionan de manera fluida porque el código se convierte directamente en instrucciones que la máquina puede entender fácilmente, cuenta con el respaldo de una comunidad activa de desarrolladores y de Google, y se integra fácilmente con herramientas populares como Android Studio y Visual Studio Code.</w:t>
      </w:r>
    </w:p>
    <w:p>
      <w:pPr>
        <w:spacing w:after="240" w:before="480"/>
        <w:jc w:val="left"/>
      </w:pPr>
      <w:r>
        <w:rPr>
          <w:rFonts w:ascii="Times New Roman" w:cs="Times New Roman" w:eastAsia="Times New Roman" w:hAnsi="Times New Roman"/>
          <w:b/>
          <w:bCs/>
          <w:sz w:val="28"/>
          <w:szCs w:val="28"/>
        </w:rPr>
        <w:t xml:space="preserve">C.        Almacenamiento y bases de datos en la nube.</w:t>
      </w:r>
    </w:p>
    <w:p>
      <w:pPr>
        <w:spacing w:after="160" w:before="360"/>
        <w:jc w:val="left"/>
      </w:pPr>
      <w:r>
        <w:rPr>
          <w:rFonts w:ascii="Times New Roman" w:cs="Times New Roman" w:eastAsia="Times New Roman" w:hAnsi="Times New Roman"/>
          <w:b/>
          <w:bCs/>
          <w:sz w:val="24"/>
          <w:szCs w:val="24"/>
        </w:rPr>
        <w:t xml:space="preserve">1.        Bases de datos en la nube: generalidades.</w:t>
      </w:r>
    </w:p>
    <w:p>
      <w:pPr>
        <w:spacing w:after="240" w:line="360"/>
        <w:ind w:firstLine="720"/>
        <w:jc w:val="both"/>
      </w:pPr>
      <w:r>
        <w:rPr>
          <w:rFonts w:ascii="Times New Roman" w:cs="Times New Roman" w:eastAsia="Times New Roman" w:hAnsi="Times New Roman"/>
          <w:sz w:val="24"/>
          <w:szCs w:val="24"/>
        </w:rPr>
        <w:t xml:space="preserve">El almacenamiento en la nube ha revolucionado la gestión de datos al ofrecer escalabilidad, disponibilidad y seguridad en comparación con las bases de datos locales. En el ámbito de las aplicaciones móviles, Firebase —parte de Google Cloud— se ha convertido en una solución popular, pues proporciona una base de datos en tiempo real, autenticación de usuarios y servicios de backend listos para integrar (Moroney, 2017). Estas características permiten a los desarrolladores concentrarse en la experiencia de usuario y en la lógica de negocio, en lugar de en la administración de infraestructura.</w:t>
      </w:r>
    </w:p>
    <w:p>
      <w:pPr>
        <w:spacing w:after="160" w:before="360"/>
        <w:jc w:val="left"/>
      </w:pPr>
      <w:r>
        <w:rPr>
          <w:rFonts w:ascii="Times New Roman" w:cs="Times New Roman" w:eastAsia="Times New Roman" w:hAnsi="Times New Roman"/>
          <w:b/>
          <w:bCs/>
          <w:sz w:val="24"/>
          <w:szCs w:val="24"/>
        </w:rPr>
        <w:t xml:space="preserve">2.        Firebase como gestor de base de datos.</w:t>
      </w:r>
    </w:p>
    <w:p>
      <w:pPr>
        <w:spacing w:after="240" w:line="360"/>
        <w:ind w:firstLine="720"/>
        <w:jc w:val="both"/>
      </w:pPr>
      <w:r>
        <w:rPr>
          <w:rFonts w:ascii="Times New Roman" w:cs="Times New Roman" w:eastAsia="Times New Roman" w:hAnsi="Times New Roman"/>
          <w:sz w:val="24"/>
          <w:szCs w:val="24"/>
        </w:rPr>
        <w:t xml:space="preserve">Firebase, el servicio desarrollado por Google, emerge como una solución integral y eficiente para la gestión de bases de datos en el desarrollo de aplicaciones. Este servicio no solo ofrece la capacidad de almacenar datos en la nube, sino que también proporciona una amplia gama de herramientas y funcionalidades diseñadas para facilitar y optimizar el desarrollo.</w:t>
      </w:r>
    </w:p>
    <w:p>
      <w:pPr>
        <w:spacing w:after="240" w:line="360"/>
        <w:ind w:firstLine="720"/>
        <w:jc w:val="both"/>
      </w:pPr>
      <w:r>
        <w:rPr>
          <w:rFonts w:ascii="Times New Roman" w:cs="Times New Roman" w:eastAsia="Times New Roman" w:hAnsi="Times New Roman"/>
          <w:sz w:val="24"/>
          <w:szCs w:val="24"/>
        </w:rPr>
        <w:t xml:space="preserve">Según López (2020), «Firebase de Google es una plataforma en la nube para el desarrollo de aplicaciones web y móvil. Está disponible para distintas plataformas (iOS, Android y web), con lo que es más rápido trabajar en el desarrollo».</w:t>
      </w:r>
    </w:p>
    <w:p>
      <w:pPr>
        <w:spacing w:after="240" w:line="360"/>
        <w:ind w:firstLine="720"/>
        <w:jc w:val="both"/>
      </w:pPr>
      <w:r>
        <w:rPr>
          <w:rFonts w:ascii="Times New Roman" w:cs="Times New Roman" w:eastAsia="Times New Roman" w:hAnsi="Times New Roman"/>
          <w:sz w:val="24"/>
          <w:szCs w:val="24"/>
        </w:rPr>
        <w:t xml:space="preserve">Al aprovechar Firebase, los desarrolladores pueden eliminar la complejidad y los costos asociados con la configuración y el mantenimiento de servidores propios, y concentrarse en la creación de aplicaciones dinámicas y atractivas, ya que Firebase se encarga de gestionar la infraestructura subyacente. Una de sus características más destacadas es la sincronización automática de datos entre los distintos dispositivos de los usuarios, lo que garantiza que la información esté siempre actualizada y disponible.</w:t>
      </w:r>
    </w:p>
    <w:p>
      <w:pPr>
        <w:spacing w:after="240" w:before="480"/>
        <w:jc w:val="left"/>
      </w:pPr>
      <w:r>
        <w:rPr>
          <w:rFonts w:ascii="Times New Roman" w:cs="Times New Roman" w:eastAsia="Times New Roman" w:hAnsi="Times New Roman"/>
          <w:b/>
          <w:bCs/>
          <w:sz w:val="28"/>
          <w:szCs w:val="28"/>
        </w:rPr>
        <w:t xml:space="preserve">D.        Integración de APIs y seguridad digital.</w:t>
      </w:r>
    </w:p>
    <w:p>
      <w:pPr>
        <w:spacing w:after="160" w:before="360"/>
        <w:jc w:val="left"/>
      </w:pPr>
      <w:r>
        <w:rPr>
          <w:rFonts w:ascii="Times New Roman" w:cs="Times New Roman" w:eastAsia="Times New Roman" w:hAnsi="Times New Roman"/>
          <w:b/>
          <w:bCs/>
          <w:sz w:val="24"/>
          <w:szCs w:val="24"/>
        </w:rPr>
        <w:t xml:space="preserve">1.        Interfaces de programación de aplicaciones (API): definición y uso.</w:t>
      </w:r>
    </w:p>
    <w:p>
      <w:pPr>
        <w:spacing w:after="240" w:line="360"/>
        <w:ind w:firstLine="720"/>
        <w:jc w:val="both"/>
      </w:pPr>
      <w:r>
        <w:rPr>
          <w:rFonts w:ascii="Times New Roman" w:cs="Times New Roman" w:eastAsia="Times New Roman" w:hAnsi="Times New Roman"/>
          <w:sz w:val="24"/>
          <w:szCs w:val="24"/>
        </w:rPr>
        <w:t xml:space="preserve">Una API, o Interfaz de Programación de Aplicaciones, es un conjunto de reglas y protocolos que permite que diferentes aplicaciones se comuniquen entre sí; puede entenderse como un intermediario que facilita la interacción entre dos aplicaciones o sistemas informáticos distintos. La API define cómo las distintas partes de un software pueden interactuar entre sí, proporcionando funciones y métodos que otros programas pueden utilizar para acceder a sus datos o funcionalidades.</w:t>
      </w:r>
    </w:p>
    <w:p>
      <w:pPr>
        <w:spacing w:after="240" w:line="360"/>
        <w:ind w:firstLine="720"/>
        <w:jc w:val="both"/>
      </w:pPr>
      <w:r>
        <w:rPr>
          <w:rFonts w:ascii="Times New Roman" w:cs="Times New Roman" w:eastAsia="Times New Roman" w:hAnsi="Times New Roman"/>
          <w:sz w:val="24"/>
          <w:szCs w:val="24"/>
        </w:rPr>
        <w:t xml:space="preserve">Según Amazon (2023), «las API son mecanismos que permiten a dos componentes de software comunicarse entre sí mediante un conjunto de definiciones y protocolos. Por ejemplo, el sistema de software del instituto de meteorología contiene datos meteorológicos diarios. La aplicación meteorológica de su teléfono “habla” con este sistema a través de las API y le muestra las actualizaciones meteorológicas diarias en su teléfono».</w:t>
      </w:r>
    </w:p>
    <w:p>
      <w:pPr>
        <w:spacing w:after="240" w:line="360"/>
        <w:ind w:firstLine="720"/>
        <w:jc w:val="both"/>
      </w:pPr>
      <w:r>
        <w:rPr>
          <w:rFonts w:ascii="Times New Roman" w:cs="Times New Roman" w:eastAsia="Times New Roman" w:hAnsi="Times New Roman"/>
          <w:sz w:val="24"/>
          <w:szCs w:val="24"/>
        </w:rPr>
        <w:t xml:space="preserve">El acceso a esta información se logra de manera inmediata mediante la comunicación del sistema desarrollado con una API que ofrece los datos y servicios necesarios para su funcionamiento. Aprovechar estos servicios permite optimizar el tiempo de desarrollo, la confiabilidad de los datos y la compatibilidad entre plataformas. Este tipo de proyectos suele basarse en APIs de Google, como la API de Google Maps y la API de autenticación de Google.</w:t>
      </w:r>
    </w:p>
    <w:p>
      <w:pPr>
        <w:spacing w:after="160" w:before="360"/>
        <w:jc w:val="left"/>
      </w:pPr>
      <w:r>
        <w:rPr>
          <w:rFonts w:ascii="Times New Roman" w:cs="Times New Roman" w:eastAsia="Times New Roman" w:hAnsi="Times New Roman"/>
          <w:b/>
          <w:bCs/>
          <w:sz w:val="24"/>
          <w:szCs w:val="24"/>
        </w:rPr>
        <w:t xml:space="preserve">2.        Geolocalización mediante Google Maps Platform.</w:t>
      </w:r>
    </w:p>
    <w:p>
      <w:pPr>
        <w:spacing w:after="240" w:line="360"/>
        <w:ind w:firstLine="720"/>
        <w:jc w:val="both"/>
      </w:pPr>
      <w:r>
        <w:rPr>
          <w:rFonts w:ascii="Times New Roman" w:cs="Times New Roman" w:eastAsia="Times New Roman" w:hAnsi="Times New Roman"/>
          <w:sz w:val="24"/>
          <w:szCs w:val="24"/>
        </w:rPr>
        <w:t xml:space="preserve">La API de Google Maps es un conjunto de herramientas y servicios proporcionados por Google que permite a los desarrolladores integrar mapas interactivos y funcionalidades relacionadas con la geolocalización en sus propias aplicaciones y sitios web.</w:t>
      </w:r>
    </w:p>
    <w:p>
      <w:pPr>
        <w:spacing w:after="240" w:line="360"/>
        <w:ind w:firstLine="720"/>
        <w:jc w:val="both"/>
      </w:pPr>
      <w:r>
        <w:rPr>
          <w:rFonts w:ascii="Times New Roman" w:cs="Times New Roman" w:eastAsia="Times New Roman" w:hAnsi="Times New Roman"/>
          <w:sz w:val="24"/>
          <w:szCs w:val="24"/>
        </w:rPr>
        <w:t xml:space="preserve">De acuerdo con Información (2024), «las APIs de Google Maps brindan acceso a los datos y funciones de Google Maps. Se pueden utilizar para mostrar mapas, obtener información de ubicación, calcular rutas y más».</w:t>
      </w:r>
    </w:p>
    <w:p>
      <w:pPr>
        <w:spacing w:after="240" w:line="360"/>
        <w:ind w:firstLine="720"/>
        <w:jc w:val="both"/>
      </w:pPr>
      <w:r>
        <w:rPr>
          <w:rFonts w:ascii="Times New Roman" w:cs="Times New Roman" w:eastAsia="Times New Roman" w:hAnsi="Times New Roman"/>
          <w:sz w:val="24"/>
          <w:szCs w:val="24"/>
        </w:rPr>
        <w:t xml:space="preserve">Con la API de Google Maps, los desarrolladores pueden incorporar mapas personalizables en sus aplicaciones, mostrar ubicaciones específicas, trazar rutas entre puntos, calcular distancias y tiempos de viaje, superponer capas de información e integrar Street View, entre otras funcionalidades.</w:t>
      </w:r>
    </w:p>
    <w:p>
      <w:pPr>
        <w:spacing w:after="160" w:before="360"/>
        <w:jc w:val="left"/>
      </w:pPr>
      <w:r>
        <w:rPr>
          <w:rFonts w:ascii="Times New Roman" w:cs="Times New Roman" w:eastAsia="Times New Roman" w:hAnsi="Times New Roman"/>
          <w:b/>
          <w:bCs/>
          <w:sz w:val="24"/>
          <w:szCs w:val="24"/>
        </w:rPr>
        <w:t xml:space="preserve">3.        Autenticación y seguridad digital en aplicaciones móviles.</w:t>
      </w:r>
    </w:p>
    <w:p>
      <w:pPr>
        <w:spacing w:after="240" w:line="360"/>
        <w:ind w:firstLine="720"/>
        <w:jc w:val="both"/>
      </w:pPr>
      <w:r>
        <w:rPr>
          <w:rFonts w:ascii="Times New Roman" w:cs="Times New Roman" w:eastAsia="Times New Roman" w:hAnsi="Times New Roman"/>
          <w:sz w:val="24"/>
          <w:szCs w:val="24"/>
        </w:rPr>
        <w:t xml:space="preserve">La seguridad digital es un aspecto crítico en el desarrollo de aplicaciones que manejan información personal de los usuarios. El cifrado de datos, la autenticación robusta y la gestión de identidades son prácticas necesarias para proteger la integridad de los sistemas (Stallings, 2017).</w:t>
      </w:r>
    </w:p>
    <w:p>
      <w:pPr>
        <w:spacing w:after="240" w:line="360"/>
        <w:ind w:firstLine="720"/>
        <w:jc w:val="both"/>
      </w:pPr>
      <w:r>
        <w:rPr>
          <w:rFonts w:ascii="Times New Roman" w:cs="Times New Roman" w:eastAsia="Times New Roman" w:hAnsi="Times New Roman"/>
          <w:sz w:val="24"/>
          <w:szCs w:val="24"/>
        </w:rPr>
        <w:t xml:space="preserve">La autenticación de dos factores (2FA) añade una capa adicional de seguridad a las cuentas de usuario al requerir, además de un nombre de usuario y contraseña, un segundo factor de verificación, como un código generado temporalmente o una notificación push en un dispositivo móvil. Herramientas como la API de Google Authenticator permiten a los desarrolladores generar códigos de autenticación temporales que aumentan la seguridad de las cuentas al dificultar el acceso de atacantes, y son ampliamente utilizadas en aplicaciones bancarias, de correo electrónico y de redes sociales.</w:t>
      </w:r>
    </w:p>
    <w:p>
      <w:pPr>
        <w:spacing w:after="240" w:line="360"/>
        <w:ind w:firstLine="720"/>
        <w:jc w:val="both"/>
      </w:pPr>
      <w:r>
        <w:rPr>
          <w:rFonts w:ascii="Times New Roman" w:cs="Times New Roman" w:eastAsia="Times New Roman" w:hAnsi="Times New Roman"/>
          <w:sz w:val="24"/>
          <w:szCs w:val="24"/>
        </w:rPr>
        <w:t xml:space="preserve">En este sentido, Firebase Authentication ofrece mecanismos como el inicio de sesión con Google, y con correo electrónico y contraseña, reduciendo el riesgo de accesos no autorizados y fortaleciendo la confianza de los usuarios en la aplicación.</w:t>
      </w:r>
    </w:p>
    <w:sectPr>
      <w:footerReference w:type="default" r:id="rId7"/>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2026-09-11T19:31:33.908Z</dcterms:created>
  <dcterms:modified xsi:type="dcterms:W3CDTF">2026-09-11T19:31:33.908Z</dcterms:modified>
</cp:coreProperties>
</file>

<file path=docProps/custom.xml><?xml version="1.0" encoding="utf-8"?>
<Properties xmlns="http://schemas.openxmlformats.org/officeDocument/2006/custom-properties" xmlns:vt="http://schemas.openxmlformats.org/officeDocument/2006/docPropsVTypes"/>
</file>