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COVID-19 Community Vaccination Awareness Initiative (CCVAI)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 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1/20/21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Finish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4/28/21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Budget: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$4,320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Cameron Clark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weekly Progress </w:t>
              <w:tab/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Coordinate team project activities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Motivate team members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Conflict resolution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Authority: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Allocate resources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request review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budget for specific tasks</w:t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Objectives: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(Define SMART objectives)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80% of target funding from Angel Investors by 28th April,2021.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non-profit organization to educate underserved communities about covid vaccines in New Jersey.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Educate up to 110,000 underserved communities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 Jersey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3 different phases.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70% of campaign attendees be vaccinated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months post-education during phases 1,2 and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Deliverables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Describe the main deliverables and final product/service/result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 all 12 documents asked by professor Leon Herszon.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Raise awareness for the efficacy and safety of the Covid-19 vaccines, with underserved communities being the target audience.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program for non-profit members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program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Education: Vaccine distribution timeline / priority groups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Ethical / equitable approach across various communities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Vaccine safety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Criteria: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measure if the project was successful)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60%-80% funding commitment by April 28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CCVAI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project plan and presentation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Describe the main risks already known at this stage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Resistance from underserved communities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Religious beliefs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Political Influence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barrier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3"/>
              </w:numPr>
              <w:spacing w:after="0" w:line="360" w:lineRule="auto"/>
              <w:ind w:left="720" w:right="-1376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funding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reach the target people 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Sponsor’s name and signature, date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 Smith 01/20/2021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>
        <w:color w:val="666666"/>
      </w:rPr>
    </w:pPr>
    <w:r w:rsidDel="00000000" w:rsidR="00000000" w:rsidRPr="00000000">
      <w:rPr>
        <w:color w:val="666666"/>
        <w:rtl w:val="0"/>
      </w:rPr>
      <w:t xml:space="preserve">Adrian Richards, Cameron Clark, Saumya Agarwal, Sherrise Joseph, Vallabh Sawant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