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STAKEHOLDERS</w:t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795"/>
        <w:gridCol w:w="2445"/>
        <w:tblGridChange w:id="0">
          <w:tblGrid>
            <w:gridCol w:w="3120"/>
            <w:gridCol w:w="3795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Name /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Organization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(+/-/Neutral)</w:t>
            </w:r>
          </w:p>
        </w:tc>
      </w:tr>
      <w:tr>
        <w:trPr>
          <w:cantSplit w:val="0"/>
          <w:trHeight w:val="422.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Health Department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NJ Health Department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 Valor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Campaign Team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Local grassroots organizers / organizations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Campaign volunteers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Location Partners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School officials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Professor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Rutgers Business School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Business Organizations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Marketing Firm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Tech firm for different services(TBD)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Staffing firm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Translation firm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Cleaning Company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Insurance company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Neutral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Investors/Fundraising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Angel Investor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Grant organizations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Neutral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Suppliers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(Education Material)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Moderna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Johnson &amp; Johnson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Pfizer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Medical Organizations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Rutgers Medical Graduate Students (volunteers for education / awareness)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Target Audience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Underserved communities in New Jersey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Neutral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ageBreakBefore w:val="0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  <w:drawing>
          <wp:inline distB="19050" distT="19050" distL="19050" distR="19050">
            <wp:extent cx="6167438" cy="455284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7438" cy="45528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