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The ongoing global panzootic of highly pathogenic avian influenza (HPAI) A(H5N1) represents an unprecedented challenge to animal and public health. Characterized by </w:t>
      </w:r>
      <w:r w:rsidDel="00000000" w:rsidR="00000000" w:rsidRPr="00000000">
        <w:rPr>
          <w:b w:val="1"/>
          <w:bCs w:val="1"/>
          <w:rtl w:val="0"/>
        </w:rPr>
        <w:t xml:space="preserve">extensive geographic dissemination and a rapidly expanding host range</w:t>
      </w:r>
      <w:r w:rsidDel="00000000" w:rsidR="00000000" w:rsidRPr="00000000">
        <w:rPr>
          <w:rtl w:val="0"/>
        </w:rPr>
        <w:t xml:space="preserve"> that now includes multiple mammalian species, this outbreak necessitates robust and accessible genomic surveillance tools. As highlighted by Graziosi et al. (2024), the </w:t>
      </w:r>
      <w:r w:rsidDel="00000000" w:rsidR="00000000" w:rsidRPr="00000000">
        <w:rPr>
          <w:b w:val="1"/>
          <w:bCs w:val="1"/>
          <w:rtl w:val="0"/>
        </w:rPr>
        <w:t xml:space="preserve">current dominance of the H5N1 clade 2.3.4.4b</w:t>
      </w:r>
      <w:r w:rsidDel="00000000" w:rsidR="00000000" w:rsidRPr="00000000">
        <w:rPr>
          <w:rtl w:val="0"/>
        </w:rPr>
        <w:t xml:space="preserve"> lineage (a descendant of the A/goose/Guangdong/1/1996 virus) underscores the urgency of accurate pathogen characterization. Effective response strategies rely heavily on the rapid identification of viral clades, a process that has historically been complicated by the intricate evolutionary dynamics of influenza A viruses.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Traditionally, </w:t>
      </w:r>
      <w:r w:rsidDel="00000000" w:rsidR="00000000" w:rsidRPr="00000000">
        <w:rPr>
          <w:b w:val="1"/>
          <w:bCs w:val="1"/>
          <w:rtl w:val="0"/>
        </w:rPr>
        <w:t xml:space="preserve">influenza classification</w:t>
      </w:r>
      <w:r w:rsidDel="00000000" w:rsidR="00000000" w:rsidRPr="00000000">
        <w:rPr>
          <w:rtl w:val="0"/>
        </w:rPr>
        <w:t xml:space="preserve"> has relied on the surface glycoproteins</w:t>
      </w:r>
      <w:r w:rsidDel="00000000" w:rsidR="00000000" w:rsidRPr="00000000">
        <w:rPr>
          <w:b w:val="1"/>
          <w:bCs w:val="1"/>
          <w:rtl w:val="0"/>
        </w:rPr>
        <w:t xml:space="preserve"> hemagglutinin (HA) and neuraminidase (NA)</w:t>
      </w:r>
      <w:r w:rsidDel="00000000" w:rsidR="00000000" w:rsidRPr="00000000">
        <w:rPr>
          <w:rtl w:val="0"/>
        </w:rPr>
        <w:t xml:space="preserve">. However, this subtype-based taxonomy often fails to capture the full evolutionary history of the virus, particularly regarding internal gene constellations. Recent phylogenetic analyses by Feoktistova et al. (2024) on </w:t>
      </w:r>
      <w:r w:rsidDel="00000000" w:rsidR="00000000" w:rsidRPr="00000000">
        <w:rPr>
          <w:b w:val="1"/>
          <w:bCs w:val="1"/>
          <w:rtl w:val="0"/>
        </w:rPr>
        <w:t xml:space="preserve">H7Nx viruses demonstrate that internal genes</w:t>
      </w:r>
      <w:r w:rsidDel="00000000" w:rsidR="00000000" w:rsidRPr="00000000">
        <w:rPr>
          <w:rtl w:val="0"/>
        </w:rPr>
        <w:t xml:space="preserve">, such as PB2, NP, and M, </w:t>
      </w:r>
      <w:r w:rsidDel="00000000" w:rsidR="00000000" w:rsidRPr="00000000">
        <w:rPr>
          <w:b w:val="1"/>
          <w:bCs w:val="1"/>
          <w:rtl w:val="0"/>
        </w:rPr>
        <w:t xml:space="preserve">are shaped more significantly by geography than by HA subtype</w:t>
      </w:r>
      <w:r w:rsidDel="00000000" w:rsidR="00000000" w:rsidRPr="00000000">
        <w:rPr>
          <w:rtl w:val="0"/>
        </w:rPr>
        <w:t xml:space="preserve">. Their findings indicate that </w:t>
      </w:r>
      <w:r w:rsidDel="00000000" w:rsidR="00000000" w:rsidRPr="00000000">
        <w:rPr>
          <w:b w:val="1"/>
          <w:bCs w:val="1"/>
          <w:rtl w:val="0"/>
        </w:rPr>
        <w:t xml:space="preserve">viruses circulating in the same region frequently share high genetic homology</w:t>
      </w:r>
      <w:r w:rsidDel="00000000" w:rsidR="00000000" w:rsidRPr="00000000">
        <w:rPr>
          <w:rtl w:val="0"/>
        </w:rPr>
        <w:t xml:space="preserve"> in their internal segments despite differing surface proteins, a phenomenon driven by frequent reassortment. This suggests that while HA-based clade assignment is essential for nomenclature, it represents only one dimension of a complex, fluid evolutionary network where gene segments often follow independent trajectories. Highlighting the need of another classification.</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To address the need for streamlined classification, recent bioinformatics developments have focused on user-friendly interfaces. Notably, Ort et al. (2025) recently adapted the </w:t>
      </w:r>
      <w:r w:rsidDel="00000000" w:rsidR="00000000" w:rsidRPr="00000000">
        <w:rPr>
          <w:b w:val="1"/>
          <w:bCs w:val="1"/>
          <w:rtl w:val="0"/>
        </w:rPr>
        <w:t xml:space="preserve">Nextclade</w:t>
      </w:r>
      <w:r w:rsidDel="00000000" w:rsidR="00000000" w:rsidRPr="00000000">
        <w:rPr>
          <w:rtl w:val="0"/>
        </w:rPr>
        <w:t xml:space="preserve"> platform, originally popularized for SARS-CoV-2 surveillance. to support avian influenza A(H5) viruses. By leveraging reference datasets from the </w:t>
      </w:r>
      <w:r w:rsidDel="00000000" w:rsidR="00000000" w:rsidRPr="00000000">
        <w:rPr>
          <w:b w:val="1"/>
          <w:bCs w:val="1"/>
          <w:rtl w:val="0"/>
        </w:rPr>
        <w:t xml:space="preserve">FAO, WHO, and WOAH, they demonstrated that rapid, browser-based clade assignment is feasible and highly accurate for the HA gene</w:t>
      </w:r>
      <w:r w:rsidDel="00000000" w:rsidR="00000000" w:rsidRPr="00000000">
        <w:rPr>
          <w:rtl w:val="0"/>
        </w:rPr>
        <w:t xml:space="preserve">. This mirrors the functionality of established systems like GenoFLU, which classifies H5N1 viruses based on reassortment history, distinguishing between purely Eurasian genotypes and those containing North American gene segments. The adaptability of such open-source frameworks offers a promising foundation for developing specialized pipelines that can handle the sheer volume of sequence data generated during the current outbreak.</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However, the rapid diversification of the virus has led to transient inconsistencies in nomenclature within the scientific literature. For instance, </w:t>
      </w:r>
      <w:r w:rsidDel="00000000" w:rsidR="00000000" w:rsidRPr="00000000">
        <w:rPr>
          <w:b w:val="1"/>
          <w:bCs w:val="1"/>
          <w:rtl w:val="0"/>
        </w:rPr>
        <w:t xml:space="preserve">designations such as "A1," "A2," and "A3" </w:t>
      </w:r>
      <w:r w:rsidDel="00000000" w:rsidR="00000000" w:rsidRPr="00000000">
        <w:rPr>
          <w:rtl w:val="0"/>
        </w:rPr>
        <w:t xml:space="preserve">have been employed to describe the i</w:t>
      </w:r>
      <w:r w:rsidDel="00000000" w:rsidR="00000000" w:rsidRPr="00000000">
        <w:rPr>
          <w:b w:val="1"/>
          <w:bCs w:val="1"/>
          <w:rtl w:val="0"/>
        </w:rPr>
        <w:t xml:space="preserve">nitial introductions of clade 2.3.4.4b into North America</w:t>
      </w:r>
      <w:r w:rsidDel="00000000" w:rsidR="00000000" w:rsidRPr="00000000">
        <w:rPr>
          <w:rtl w:val="0"/>
        </w:rPr>
        <w:t xml:space="preserve">. As clarified by Youk et al. (2023), these labels serve as unofficial genotyping markers rather than formal global lineage names. Consequently, </w:t>
      </w:r>
      <w:r w:rsidDel="00000000" w:rsidR="00000000" w:rsidRPr="00000000">
        <w:rPr>
          <w:b w:val="1"/>
          <w:bCs w:val="1"/>
          <w:rtl w:val="0"/>
        </w:rPr>
        <w:t xml:space="preserve">any new computational tool must adhere strictly to the standardized nomenclature established by the WHO/WOAH/FAO H5 Evolution Working Group</w:t>
      </w:r>
      <w:r w:rsidDel="00000000" w:rsidR="00000000" w:rsidRPr="00000000">
        <w:rPr>
          <w:rtl w:val="0"/>
        </w:rPr>
        <w:t xml:space="preserve">. Aligning with the consensus detailed in the most recent 2025 updates is critical to avoiding ambiguity and ensuring that bioinformatic outputs are actionable for global health authorities. </w:t>
      </w:r>
    </w:p>
    <w:p w:rsidR="00000000" w:rsidDel="00000000" w:rsidP="00000000" w:rsidRDefault="00000000" w:rsidRPr="00000000" w14:paraId="00000006">
      <w:pPr>
        <w:spacing w:after="240" w:before="240" w:lineRule="auto"/>
        <w:jc w:val="both"/>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