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0B2545"/>
          <w:sz w:val="36"/>
        </w:rPr>
        <w:t>Rules: торговые пути и спрос</w:t>
      </w:r>
    </w:p>
    <w:p>
      <w:r>
        <w:t>Документация проекта OSRCGG. Язык: русский. Формат: compact_reference_guide.</w:t>
      </w:r>
    </w:p>
    <w:p>
      <w:pPr>
        <w:pStyle w:val="Heading1"/>
      </w:pPr>
      <w:r>
        <w:t>Карта сущности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Назначение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Правила ACKS, которые должны оставаться тестируемыми отдельно от UI.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Основные файлы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OSRCGG/Rules/AcksRules.cs</w:t>
              <w:br/>
              <w:t>OSRCGG/Rules/AcksDomainRules.cs</w:t>
              <w:br/>
              <w:t>OSRCGG/Services/Trade/MapDemandService.cs</w:t>
            </w:r>
          </w:p>
        </w:tc>
      </w:tr>
      <w:tr>
        <w:tc>
          <w:tcPr>
            <w:tcW w:type="dxa" w:w="1700"/>
            <w:shd w:fill="E8EEF5"/>
          </w:tcPr>
          <w:p>
            <w:pPr>
              <w:spacing w:after="0"/>
            </w:pPr>
            <w:r>
              <w:t>Владелец изменений</w:t>
            </w:r>
          </w:p>
        </w:tc>
        <w:tc>
          <w:tcPr>
            <w:tcW w:type="dxa" w:w="7480"/>
          </w:tcPr>
          <w:p>
            <w:pPr>
              <w:spacing w:after="0"/>
            </w:pPr>
            <w:r>
              <w:t>При изменении указанных файлов обновлять этот документ и релевантные тесты.</w:t>
            </w:r>
          </w:p>
        </w:tc>
      </w:tr>
    </w:tbl>
    <w:p>
      <w:pPr>
        <w:pStyle w:val="Heading1"/>
      </w:pPr>
      <w:r>
        <w:t>Ответственность</w:t>
      </w:r>
    </w:p>
    <w:p>
      <w:pPr>
        <w:pStyle w:val="ListBullet"/>
      </w:pPr>
      <w:r>
        <w:t>AcksRules хранит рыночные классы, дальности торговых путей и влияние рынков друг на друга.</w:t>
      </w:r>
    </w:p>
    <w:p>
      <w:pPr>
        <w:pStyle w:val="ListBullet"/>
      </w:pPr>
      <w:r>
        <w:t>AcksDomainRules хранит доменные расчёты ACKS.</w:t>
      </w:r>
    </w:p>
    <w:p>
      <w:pPr>
        <w:pStyle w:val="ListBullet"/>
      </w:pPr>
      <w:r>
        <w:t>MapDemandService применяет природные модификаторы к demand-массивам карты.</w:t>
      </w:r>
    </w:p>
    <w:p>
      <w:pPr>
        <w:pStyle w:val="Heading1"/>
      </w:pPr>
      <w:r>
        <w:t>Правила сопровождения</w:t>
      </w:r>
    </w:p>
    <w:p>
      <w:pPr>
        <w:pStyle w:val="ListBullet"/>
      </w:pPr>
      <w:r>
        <w:t>Числовые таблицы ACKS менять только с комментарием источника и тестом.</w:t>
      </w:r>
    </w:p>
    <w:p>
      <w:pPr>
        <w:pStyle w:val="ListBullet"/>
      </w:pPr>
      <w:r>
        <w:t>Нормальная длина demand-массива равна AcksRules.DemandCount.</w:t>
      </w:r>
    </w:p>
    <w:p>
      <w:pPr>
        <w:pStyle w:val="ListBullet"/>
      </w:pPr>
      <w:r>
        <w:t>UI не должен мутировать demand-массивы без прохода через сервис нормализации.</w:t>
      </w:r>
    </w:p>
    <w:p>
      <w:pPr>
        <w:pStyle w:val="Heading1"/>
      </w:pPr>
      <w:r>
        <w:t>Что проверять при изменении</w:t>
      </w:r>
    </w:p>
    <w:p>
      <w:pPr>
        <w:pStyle w:val="ListBullet"/>
      </w:pPr>
      <w:r>
        <w:t>Сохраняется ли прежняя внешняя схема файлов и пользовательских данных.</w:t>
      </w:r>
    </w:p>
    <w:p>
      <w:pPr>
        <w:pStyle w:val="ListBullet"/>
      </w:pPr>
      <w:r>
        <w:t>Есть ли тест или ручная проверка для изменённой логики.</w:t>
      </w:r>
    </w:p>
    <w:p>
      <w:pPr>
        <w:pStyle w:val="ListBullet"/>
      </w:pPr>
      <w:r>
        <w:t>Обновлена ли эта документация и память .agents, если меняется архитектурное правило.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OSRCGG Architecture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