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Calibri" w:hAnsi="Calibri"/>
          <w:b/>
          <w:color w:val="0B2545"/>
          <w:sz w:val="36"/>
        </w:rPr>
        <w:t>Tests: автоматическая страховка</w:t>
      </w:r>
    </w:p>
    <w:p>
      <w:r>
        <w:t>Документация проекта OSRCGG. Язык: русский. Формат: compact_reference_guide.</w:t>
      </w:r>
    </w:p>
    <w:p>
      <w:pPr>
        <w:pStyle w:val="Heading1"/>
      </w:pPr>
      <w:r>
        <w:t>Карта сущности</w:t>
      </w:r>
    </w:p>
    <w:tbl>
      <w:tblPr>
        <w:tblStyle w:val="TableGrid"/>
        <w:tblW w:type="auto" w:w="0"/>
        <w:tblLook w:firstColumn="1" w:firstRow="1" w:lastColumn="0" w:lastRow="0" w:noHBand="0" w:noVBand="1" w:val="04A0"/>
      </w:tblPr>
      <w:tblGrid>
        <w:gridCol w:w="4680"/>
        <w:gridCol w:w="4680"/>
      </w:tblGrid>
      <w:tr>
        <w:tc>
          <w:tcPr>
            <w:tcW w:type="dxa" w:w="1700"/>
            <w:shd w:fill="E8EEF5"/>
          </w:tcPr>
          <w:p>
            <w:pPr>
              <w:spacing w:after="0"/>
            </w:pPr>
            <w:r>
              <w:t>Назначение</w:t>
            </w:r>
          </w:p>
        </w:tc>
        <w:tc>
          <w:tcPr>
            <w:tcW w:type="dxa" w:w="7480"/>
          </w:tcPr>
          <w:p>
            <w:pPr>
              <w:spacing w:after="0"/>
            </w:pPr>
            <w:r>
              <w:t>Что сейчас покрыто тестовым runner и как его расширять.</w:t>
            </w:r>
          </w:p>
        </w:tc>
      </w:tr>
      <w:tr>
        <w:tc>
          <w:tcPr>
            <w:tcW w:type="dxa" w:w="1700"/>
            <w:shd w:fill="E8EEF5"/>
          </w:tcPr>
          <w:p>
            <w:pPr>
              <w:spacing w:after="0"/>
            </w:pPr>
            <w:r>
              <w:t>Основные файлы</w:t>
            </w:r>
          </w:p>
        </w:tc>
        <w:tc>
          <w:tcPr>
            <w:tcW w:type="dxa" w:w="7480"/>
          </w:tcPr>
          <w:p>
            <w:pPr>
              <w:spacing w:after="0"/>
            </w:pPr>
            <w:r>
              <w:t>OSRCGG.Tests/OSRCGG.Tests.csproj</w:t>
              <w:br/>
              <w:t>OSRCGG.Tests/Program.cs</w:t>
              <w:br/>
              <w:t>OSRCGG/Properties/AssemblyInfo.cs</w:t>
            </w:r>
          </w:p>
        </w:tc>
      </w:tr>
      <w:tr>
        <w:tc>
          <w:tcPr>
            <w:tcW w:type="dxa" w:w="1700"/>
            <w:shd w:fill="E8EEF5"/>
          </w:tcPr>
          <w:p>
            <w:pPr>
              <w:spacing w:after="0"/>
            </w:pPr>
            <w:r>
              <w:t>Владелец изменений</w:t>
            </w:r>
          </w:p>
        </w:tc>
        <w:tc>
          <w:tcPr>
            <w:tcW w:type="dxa" w:w="7480"/>
          </w:tcPr>
          <w:p>
            <w:pPr>
              <w:spacing w:after="0"/>
            </w:pPr>
            <w:r>
              <w:t>При изменении указанных файлов обновлять этот документ и релевантные тесты.</w:t>
            </w:r>
          </w:p>
        </w:tc>
      </w:tr>
    </w:tbl>
    <w:p>
      <w:pPr>
        <w:pStyle w:val="Heading1"/>
      </w:pPr>
      <w:r>
        <w:t>Ответственность</w:t>
      </w:r>
    </w:p>
    <w:p>
      <w:pPr>
        <w:pStyle w:val="ListBullet"/>
      </w:pPr>
      <w:r>
        <w:t>OSRCGG.Tests запускается как консольная программа без внешнего тестового фреймворка.</w:t>
      </w:r>
    </w:p>
    <w:p>
      <w:pPr>
        <w:pStyle w:val="ListBullet"/>
      </w:pPr>
      <w:r>
        <w:t>Runner печатает маркеры RUN/DONE с временем выполнения для крупных блоков тестов. Это намеренно: региональная генерация и данжи могут работать долго, и по маркерам видно, какой блок сейчас исполняется.</w:t>
      </w:r>
    </w:p>
    <w:p>
      <w:pPr>
        <w:pStyle w:val="ListBullet"/>
      </w:pPr>
      <w:r>
        <w:t>Runner поддерживает выборочный запуск по ключам и тегам: `dungeon`, `hex-features`, `region`, `map`, `excel`, `storage`, `character`, `all`; `--list` печатает доступные блоки. Если аргументов нет, запускаются все тесты.</w:t>
      </w:r>
    </w:p>
    <w:p>
      <w:pPr>
        <w:pStyle w:val="ListBullet"/>
      </w:pPr>
      <w:r>
        <w:t>InternalsVisibleTo открывает тестам внутренние сервисы, не делая их публичным API.</w:t>
      </w:r>
    </w:p>
    <w:p>
      <w:pPr>
        <w:pStyle w:val="ListBullet"/>
      </w:pPr>
      <w:r>
        <w:t>Текущие тесты покрывают ACKS rules, CharacterRulesService, CharacterGenerator, MapDataNormalizer, включая перенумерацию импортированных уровней данжей, MapDemandService, RealmTitleCatalog, клановые имена людей, RegionMapGenerator civilization layers, формы крупной воды, глубокий лес во всех климатах, незаселённые природные pockets цивилизованных карт, резервирование выбранных особых доменов, видимость и разнесение кланхолдов, wild-изоляцию особых дорог, разреженность wild-дорожной сети, отбраковку параллельных дорог, удаление дорожных хвостов, зависимости частичной регенерации, генерацию данжей без пересечения комнат, достижимость комнат уровня, полную ширину входов коридоров в комнаты, привязку автодверей к границам комнат, формы комнат и ширину/двери проходов, правила размещения особенностей гексов, глубокую генерацию титулов, порядок титулов вассалов, XmlRecordStore, TradeDemandWorkbookService и MapWorkbookService с HexFeatures/Dungeons round-trip.</w:t>
      </w:r>
    </w:p>
    <w:p>
      <w:pPr>
        <w:pStyle w:val="ListBullet"/>
      </w:pPr>
      <w:r>
        <w:t>Сидовые тесты данжей специально гоняют разные типы и размеры, чтобы ловить редкие дефекты геометрии: диагональные связи прямоугольных комнат, финальные сегменты вдоль стены, короткие П-образные узлы, самопараллельные проходы, двери внутри комнат и проходы, визуальная ширина которых залезает под связанные или чужие комнаты.</w:t>
      </w:r>
    </w:p>
    <w:p>
      <w:pPr>
        <w:pStyle w:val="Heading1"/>
      </w:pPr>
      <w:r>
        <w:t>Правила сопровождения</w:t>
      </w:r>
    </w:p>
    <w:p>
      <w:pPr>
        <w:pStyle w:val="ListBullet"/>
      </w:pPr>
      <w:r>
        <w:t>Каждая новая вынесенная логика должна получать хотя бы один focused-тест.</w:t>
      </w:r>
    </w:p>
    <w:p>
      <w:pPr>
        <w:pStyle w:val="ListBullet"/>
      </w:pPr>
      <w:r>
        <w:t>Excel/XML round-trip тесты обязательны при изменении внешней схемы.</w:t>
      </w:r>
    </w:p>
    <w:p>
      <w:pPr>
        <w:pStyle w:val="ListBullet"/>
      </w:pPr>
      <w:r>
        <w:t>Для локальной проверки после узкой правки запускать релевантный ключ тестов, а не весь набор без причины. Перед выдачей результата запускать сборку решения и хотя бы релевантные тесты; полный OSRCGG.Tests.exe нужен для широких/сквозных изменений и финальной страховки. Долгие RUN-блоки не считать зависанием без явного тайм-аута или повторяемой остановки на одном и том же seed.</w:t>
      </w:r>
    </w:p>
    <w:p>
      <w:pPr>
        <w:pStyle w:val="Heading1"/>
      </w:pPr>
      <w:r>
        <w:t>Что проверять при изменении</w:t>
      </w:r>
    </w:p>
    <w:p>
      <w:pPr>
        <w:pStyle w:val="ListBullet"/>
      </w:pPr>
      <w:r>
        <w:t>Сохраняется ли прежняя внешняя схема файлов и пользовательских данных.</w:t>
      </w:r>
    </w:p>
    <w:p>
      <w:pPr>
        <w:pStyle w:val="ListBullet"/>
      </w:pPr>
      <w:r>
        <w:t>Есть ли тест или ручная проверка для изменённой логики.</w:t>
      </w:r>
    </w:p>
    <w:p>
      <w:pPr>
        <w:pStyle w:val="ListBullet"/>
      </w:pPr>
      <w:r>
        <w:t>Обновлена ли эта документация и память .agents, если меняется архитектурное правило.</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OSRCGG Architecture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80" w:after="14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