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709"/>
        <w:jc w:val="both"/>
      </w:pPr>
      <w:r>
        <w:t>Введение . . . . . . . . . . . . . . . . . . . 3</w:t>
      </w:r>
    </w:p>
    <w:p>
      <w:pPr>
        <w:spacing w:line="360" w:lineRule="auto" w:after="0" w:before="0"/>
        <w:ind w:firstLine="709"/>
        <w:jc w:val="both"/>
      </w:pPr>
      <w:r>
        <w:t>Глава 1. Анализ предметной области и постановка задачи . . . . . . . . . . . . . . . . . . . 4</w:t>
      </w:r>
    </w:p>
    <w:p>
      <w:pPr>
        <w:spacing w:line="360" w:lineRule="auto" w:after="0" w:before="0"/>
        <w:ind w:firstLine="709"/>
        <w:jc w:val="both"/>
      </w:pPr>
      <w:r>
        <w:t>1.1. Характеристика объекта автоматизации . . . . . . . . . . . . . . . . . . . 4</w:t>
      </w:r>
    </w:p>
    <w:p>
      <w:pPr>
        <w:spacing w:line="360" w:lineRule="auto" w:after="0" w:before="0"/>
        <w:ind w:firstLine="709"/>
        <w:jc w:val="both"/>
      </w:pPr>
      <w:r>
        <w:t>1.2. Функциональные и нефункциональные требования . . . . . . . . . . . . . . . . . . . 5</w:t>
      </w:r>
    </w:p>
    <w:p>
      <w:pPr>
        <w:spacing w:line="360" w:lineRule="auto" w:after="0" w:before="0"/>
        <w:ind w:firstLine="709"/>
        <w:jc w:val="both"/>
      </w:pPr>
      <w:r>
        <w:t>Глава 2. Исследование технологий серверной разработки и хранения данных . . . . . . . . . . . . . . . . . . . 6</w:t>
      </w:r>
    </w:p>
    <w:p>
      <w:pPr>
        <w:spacing w:line="360" w:lineRule="auto" w:after="0" w:before="0"/>
        <w:ind w:firstLine="709"/>
        <w:jc w:val="both"/>
      </w:pPr>
      <w:r>
        <w:t>2.1. Выбор языка программирования и среды исполнения . . . . . . . . . . . . . . . . . . . 6</w:t>
      </w:r>
    </w:p>
    <w:p>
      <w:pPr>
        <w:spacing w:line="360" w:lineRule="auto" w:after="0" w:before="0"/>
        <w:ind w:firstLine="709"/>
        <w:jc w:val="both"/>
      </w:pPr>
      <w:r>
        <w:t>2.2. Архитектурные паттерны бэкенда . . . . . . . . . . . . . . . . . . . 7</w:t>
      </w:r>
    </w:p>
    <w:p>
      <w:pPr>
        <w:spacing w:line="360" w:lineRule="auto" w:after="0" w:before="0"/>
        <w:ind w:firstLine="709"/>
        <w:jc w:val="both"/>
      </w:pPr>
      <w:r>
        <w:t>2.3. Проблемы хранения структурированных данных . . . . . . . . . . . . . . . . . . . 8</w:t>
      </w:r>
    </w:p>
    <w:p>
      <w:pPr>
        <w:spacing w:line="360" w:lineRule="auto" w:after="0" w:before="0"/>
        <w:ind w:firstLine="709"/>
        <w:jc w:val="both"/>
      </w:pPr>
      <w:r>
        <w:t>Глава 3. Теоретические основы и применение блокчейн-технологий для аудита . . . . . . . . . . . . . . . . . . . 9</w:t>
      </w:r>
    </w:p>
    <w:p>
      <w:pPr>
        <w:spacing w:line="360" w:lineRule="auto" w:after="0" w:before="0"/>
        <w:ind w:firstLine="709"/>
        <w:jc w:val="both"/>
      </w:pPr>
      <w:r>
        <w:t>3.1. Основы технологии распределенных реестров (DLT) . . . . . . . . . . . . . . . . . . . 9</w:t>
      </w:r>
    </w:p>
    <w:p>
      <w:pPr>
        <w:spacing w:line="360" w:lineRule="auto" w:after="0" w:before="0"/>
        <w:ind w:firstLine="709"/>
        <w:jc w:val="both"/>
      </w:pPr>
      <w:r>
        <w:t>3.2. Концепция «Аудит-чейна» в централизованной системе . . . . . . . . . . . . . . . . . . . 10</w:t>
      </w:r>
    </w:p>
    <w:p>
      <w:pPr>
        <w:spacing w:line="360" w:lineRule="auto" w:after="0" w:before="0"/>
        <w:ind w:firstLine="709"/>
        <w:jc w:val="both"/>
      </w:pPr>
      <w:r>
        <w:t>3.3. Симуляция якорения (Anchoring) . . . . . . . . . . . . . . . . . . . 11</w:t>
      </w:r>
    </w:p>
    <w:p>
      <w:pPr>
        <w:spacing w:line="360" w:lineRule="auto" w:after="0" w:before="0"/>
        <w:ind w:firstLine="709"/>
        <w:jc w:val="both"/>
      </w:pPr>
      <w:r>
        <w:t>Глава 4. Исследование клиентских технологий и пользовательского опыта . . . . . . . . . . . . . . . . . . . 12</w:t>
      </w:r>
    </w:p>
    <w:p>
      <w:pPr>
        <w:spacing w:line="360" w:lineRule="auto" w:after="0" w:before="0"/>
        <w:ind w:firstLine="709"/>
        <w:jc w:val="both"/>
      </w:pPr>
      <w:r>
        <w:t>4.1. Парадигмы построения пользовательских интерфейсов . . . . . . . . . . . . . . . . . . . 12</w:t>
      </w:r>
    </w:p>
    <w:p>
      <w:pPr>
        <w:spacing w:line="360" w:lineRule="auto" w:after="0" w:before="0"/>
        <w:ind w:firstLine="709"/>
        <w:jc w:val="both"/>
      </w:pPr>
      <w:r>
        <w:t>4.2. Управление состоянием и асинхронностью . . . . . . . . . . . . . . . . . . . 13</w:t>
      </w:r>
    </w:p>
    <w:p>
      <w:pPr>
        <w:spacing w:line="360" w:lineRule="auto" w:after="0" w:before="0"/>
        <w:ind w:firstLine="709"/>
        <w:jc w:val="both"/>
      </w:pPr>
      <w:r>
        <w:t>4.3. Валидация данных и типизация . . . . . . . . . . . . . . . . . . . 13</w:t>
      </w:r>
    </w:p>
    <w:p>
      <w:pPr>
        <w:spacing w:line="360" w:lineRule="auto" w:after="0" w:before="0"/>
        <w:ind w:firstLine="709"/>
        <w:jc w:val="both"/>
      </w:pPr>
      <w:r>
        <w:t>Заключение . . . . . . . . . . . . . . . . . . . 14</w:t>
      </w:r>
    </w:p>
    <w:p>
      <w:pPr>
        <w:spacing w:line="360" w:lineRule="auto" w:after="0" w:before="0"/>
        <w:ind w:firstLine="709"/>
        <w:jc w:val="both"/>
      </w:pPr>
      <w:r>
        <w:t>Список использованных источников . . . . . . . . . . . . . . . . . . . 15</w:t>
      </w:r>
    </w:p>
    <w:p>
      <w:pPr>
        <w:pStyle w:val="Heading2"/>
        <w:jc w:val="center"/>
      </w:pPr>
      <w:r>
        <w:rPr>
          <w:rFonts w:ascii="Times New Roman" w:hAnsi="Times New Roman"/>
          <w:b/>
          <w:sz w:val="28"/>
        </w:rPr>
        <w:t>ВВЕДЕНИЕ</w:t>
      </w:r>
    </w:p>
    <w:p>
      <w:pPr>
        <w:spacing w:line="360" w:lineRule="auto" w:after="0" w:before="0"/>
        <w:ind w:firstLine="709"/>
        <w:jc w:val="both"/>
      </w:pPr>
      <w:r>
        <w:t>В современных условиях цифровизации экономики вопросы эффективного управления материальными активами приобретают критическую значимость. Традиционные системы инвентарного учета, построенные на централизованных базах данных, сталкиваются с рядом фундаментальных проблем: риском человеческой ошибки при вводе данных, возможностью незаметной фальсификации записей администраторами систем, а также сложностью отслеживания полной истории перемещений предметов в распределенной инфраструктуре предприятий.</w:t>
      </w:r>
    </w:p>
    <w:p>
      <w:pPr>
        <w:spacing w:line="360" w:lineRule="auto" w:after="0" w:before="0"/>
        <w:ind w:firstLine="709"/>
        <w:jc w:val="both"/>
      </w:pPr>
      <w:r>
        <w:t>Особую остроту проблема целостности данных приобретает в контексте аудита и отчетности. Стандартные журналы событий (audit logs) в реляционных базах данных могут быть модифицированы пользователем с правами суперпользователя (DBA), что делает их ненадежным источником истины в спорных ситуациях. Это создает потребность в разработке таких архитектурных решений, которые обеспечивали бы гарантированную неизменяемость (immutability) логов без существенного ущерба для производительности системы.</w:t>
      </w:r>
    </w:p>
    <w:p>
      <w:pPr>
        <w:spacing w:line="360" w:lineRule="auto" w:after="0" w:before="0"/>
        <w:ind w:firstLine="709"/>
        <w:jc w:val="both"/>
      </w:pPr>
      <w:r>
        <w:t>Целью данной научно-исследовательской работы является проведение комплексного исследования существующих технологических стеков и архитектурных паттернов для создания высоконагруженной системы инвентарного учета, а также обоснование выбора гибридной архитектуры, сочетающей реляционную базу данных для хранения текущего состояния и блокчейн-подобную структуру для журналирования изменений.</w:t>
      </w:r>
    </w:p>
    <w:p>
      <w:pPr>
        <w:spacing w:line="360" w:lineRule="auto" w:after="0" w:before="0"/>
        <w:ind w:firstLine="709"/>
        <w:jc w:val="both"/>
      </w:pPr>
      <w:r>
        <w:t>Для достижения поставленной цели необходимо решить следующие задачи:</w:t>
      </w:r>
    </w:p>
    <w:p>
      <w:pPr>
        <w:spacing w:line="360" w:lineRule="auto" w:after="0" w:before="0"/>
        <w:ind w:firstLine="709"/>
        <w:jc w:val="both"/>
      </w:pPr>
      <w:r>
        <w:t>• Провести анализ предметной области инвентаризации и выявить ключевые требования к системе.</w:t>
      </w:r>
    </w:p>
    <w:p>
      <w:pPr>
        <w:spacing w:line="360" w:lineRule="auto" w:after="0" w:before="0"/>
        <w:ind w:firstLine="709"/>
        <w:jc w:val="both"/>
      </w:pPr>
      <w:r>
        <w:t>• Выполнить сравнительный анализ современных СУБД и бэкенд-фреймворков.</w:t>
      </w:r>
    </w:p>
    <w:p>
      <w:pPr>
        <w:spacing w:line="360" w:lineRule="auto" w:after="0" w:before="0"/>
        <w:ind w:firstLine="709"/>
        <w:jc w:val="both"/>
      </w:pPr>
      <w:r>
        <w:t>• Исследовать теорию блокчейна и криптографических хеш-цепочек применительно к задачам аудита.</w:t>
      </w:r>
    </w:p>
    <w:p>
      <w:pPr>
        <w:spacing w:line="360" w:lineRule="auto" w:after="0" w:before="0"/>
        <w:ind w:firstLine="709"/>
        <w:jc w:val="both"/>
      </w:pPr>
      <w:r>
        <w:t>• Обосновать выбор средств фронтенд-разработки для обеспечения реактивности интерфейса.</w:t>
      </w:r>
    </w:p>
    <w:p>
      <w:pPr>
        <w:spacing w:line="360" w:lineRule="auto" w:after="0" w:before="0"/>
        <w:ind w:firstLine="709"/>
        <w:jc w:val="both"/>
      </w:pPr>
      <w:r>
        <w:t>• Разработать архитектуру прототипа системы (проекта «Skopidom») как результат исследовательской работы.</w:t>
      </w:r>
    </w:p>
    <w:p>
      <w:pPr>
        <w:pStyle w:val="Heading2"/>
        <w:jc w:val="center"/>
      </w:pPr>
      <w:r>
        <w:rPr>
          <w:rFonts w:ascii="Times New Roman" w:hAnsi="Times New Roman"/>
          <w:b/>
          <w:sz w:val="28"/>
        </w:rPr>
        <w:t>ГЛАВА 1. АНАЛИЗ ПРЕДМЕТНОЙ ОБЛАСТИ И ПОСТАНОВКА ЗАДАЧИ</w:t>
      </w:r>
    </w:p>
    <w:p>
      <w:pPr>
        <w:pStyle w:val="Heading2"/>
        <w:jc w:val="center"/>
      </w:pPr>
      <w:r>
        <w:rPr>
          <w:rFonts w:ascii="Times New Roman" w:hAnsi="Times New Roman"/>
          <w:b/>
          <w:sz w:val="28"/>
        </w:rPr>
        <w:t>1.1. Характеристика объекта автоматизации</w:t>
      </w:r>
    </w:p>
    <w:p>
      <w:pPr>
        <w:spacing w:line="360" w:lineRule="auto" w:after="0" w:before="0"/>
        <w:ind w:firstLine="709"/>
        <w:jc w:val="both"/>
      </w:pPr>
      <w:r>
        <w:t>Объектом автоматизации в рамках данной работы выступает процесс жизненного цикла материальных ценностей организации. Жизненный цикл предмета включает в себя этапы: поступление на баланс, первичная регистрация, перемещение между зданиями и помещениями, техническое обслуживание, ремонт и финальное списание. Каждый из этих этапов сопровождается изменением атрибутов предмета (местоположение, состояние, стоимость, ответственное лицо).</w:t>
      </w:r>
    </w:p>
    <w:p>
      <w:pPr>
        <w:spacing w:line="360" w:lineRule="auto" w:after="0" w:before="0"/>
        <w:ind w:firstLine="709"/>
        <w:jc w:val="both"/>
      </w:pPr>
      <w:r>
        <w:t>Ключевой особенностью предметной области является необходимость строгого контроля доступа и разделения ролей. В системе выделяются следующие основные роли:</w:t>
      </w:r>
    </w:p>
    <w:p>
      <w:pPr>
        <w:spacing w:line="360" w:lineRule="auto" w:after="0" w:before="0"/>
        <w:ind w:firstLine="709"/>
        <w:jc w:val="both"/>
      </w:pPr>
      <w:r>
        <w:t>• Администратор системы: управление пользователями, настройка справочников (здания, категории, типы помещений).</w:t>
      </w:r>
    </w:p>
    <w:p>
      <w:pPr>
        <w:spacing w:line="360" w:lineRule="auto" w:after="0" w:before="0"/>
        <w:ind w:firstLine="709"/>
        <w:jc w:val="both"/>
      </w:pPr>
      <w:r>
        <w:t>• Редактор (Кладовщик): создание и редактирование карточек предметов, фиксация перемещений, проведение инвентаризации.</w:t>
      </w:r>
    </w:p>
    <w:p>
      <w:pPr>
        <w:spacing w:line="360" w:lineRule="auto" w:after="0" w:before="0"/>
        <w:ind w:firstLine="709"/>
        <w:jc w:val="both"/>
      </w:pPr>
      <w:r>
        <w:t>• Аудитор (Наблюдатель): просмотр всей истории операций, формирование отчетов, верификация целостности журнала аудита без права внесения изменений.</w:t>
      </w:r>
    </w:p>
    <w:p>
      <w:pPr>
        <w:pStyle w:val="Heading2"/>
        <w:jc w:val="center"/>
      </w:pPr>
      <w:r>
        <w:rPr>
          <w:rFonts w:ascii="Times New Roman" w:hAnsi="Times New Roman"/>
          <w:b/>
          <w:sz w:val="28"/>
        </w:rPr>
        <w:t>1.2. Функциональные и нефункциональные требования</w:t>
      </w:r>
    </w:p>
    <w:p>
      <w:pPr>
        <w:spacing w:line="360" w:lineRule="auto" w:after="0" w:before="0"/>
        <w:ind w:firstLine="709"/>
        <w:jc w:val="both"/>
      </w:pPr>
      <w:r>
        <w:t>На основе анализа бизнес-процессов были сформулированы функциональные требования к системе. Система должна обеспечивать:</w:t>
      </w:r>
    </w:p>
    <w:p>
      <w:pPr>
        <w:spacing w:line="360" w:lineRule="auto" w:after="0" w:before="0"/>
        <w:ind w:firstLine="709"/>
        <w:jc w:val="both"/>
      </w:pPr>
      <w:r>
        <w:t>• Ведение полного лога изменений (кто, когда, какой атрибут изменил, старое и новое значение).</w:t>
      </w:r>
    </w:p>
    <w:p>
      <w:pPr>
        <w:spacing w:line="360" w:lineRule="auto" w:after="0" w:before="0"/>
        <w:ind w:firstLine="709"/>
        <w:jc w:val="both"/>
      </w:pPr>
      <w:r>
        <w:t>• Поддержку загрузки и хранения медиа-контента (фотографии предметов, сканы документов).</w:t>
      </w:r>
    </w:p>
    <w:p>
      <w:pPr>
        <w:spacing w:line="360" w:lineRule="auto" w:after="0" w:before="0"/>
        <w:ind w:firstLine="709"/>
        <w:jc w:val="both"/>
      </w:pPr>
      <w:r>
        <w:t>• Механизмы импорта и экспорта данных в формате CSV для интеграции с устаревшими системами (legacy) и бухгалтерским ПО.</w:t>
      </w:r>
    </w:p>
    <w:p>
      <w:pPr>
        <w:spacing w:line="360" w:lineRule="auto" w:after="0" w:before="0"/>
        <w:ind w:firstLine="709"/>
        <w:jc w:val="both"/>
      </w:pPr>
      <w:r>
        <w:t>• Поиск и фильтрацию предметов по множеству критериев (инвентарный номер, категория, местоположение).</w:t>
      </w:r>
    </w:p>
    <w:p>
      <w:pPr>
        <w:spacing w:line="360" w:lineRule="auto" w:after="0" w:before="0"/>
        <w:ind w:firstLine="709"/>
        <w:jc w:val="both"/>
      </w:pPr>
      <w:r>
        <w:t>Нефункциональные требования определяют качественные характеристики системы. Наиболее критичным требованием является целостность данных (Data Integrity). Система должна гарантировать невозможность изменения прошлых записей аудита задним числом. Это достигается не только программными ограничениями, но и криптографическими методами верификации.</w:t>
      </w:r>
    </w:p>
    <w:p>
      <w:pPr>
        <w:spacing w:line="360" w:lineRule="auto" w:after="0" w:before="0"/>
        <w:ind w:firstLine="709"/>
        <w:jc w:val="both"/>
      </w:pPr>
      <w:r>
        <w:t>Также важными требованиями являются производительность (время отклика интерфейса не более 200 мс при стандартных операциях) и масштабируемость. Архитектура должна позволять горизонтальное масштабирование сервисов обработки запросов при увеличении количества пользователей или объема номенклатуры.</w:t>
      </w:r>
    </w:p>
    <w:p>
      <w:pPr>
        <w:pStyle w:val="Heading2"/>
        <w:jc w:val="center"/>
      </w:pPr>
      <w:r>
        <w:rPr>
          <w:rFonts w:ascii="Times New Roman" w:hAnsi="Times New Roman"/>
          <w:b/>
          <w:sz w:val="28"/>
        </w:rPr>
        <w:t>ГЛАВА 2. ИССЛЕДОВАНИЕ ТЕХНОЛОГИЙ СЕРВЕРНОЙ РАЗРАБОТКИ И ХРАНЕНИЯ ДАННЫХ</w:t>
      </w:r>
    </w:p>
    <w:p>
      <w:pPr>
        <w:pStyle w:val="Heading2"/>
        <w:jc w:val="center"/>
      </w:pPr>
      <w:r>
        <w:rPr>
          <w:rFonts w:ascii="Times New Roman" w:hAnsi="Times New Roman"/>
          <w:b/>
          <w:sz w:val="28"/>
        </w:rPr>
        <w:t>2.1. Выбор языка программирования и среды исполнения</w:t>
      </w:r>
    </w:p>
    <w:p>
      <w:pPr>
        <w:spacing w:line="360" w:lineRule="auto" w:after="0" w:before="0"/>
        <w:ind w:firstLine="709"/>
        <w:jc w:val="both"/>
      </w:pPr>
      <w:r>
        <w:t>Первым этапом исследования стал выбор языка программирования для реализации серверной части. Были рассмотрены два основных подхода: использование интерпретируемых языков с динамической типизацией (Python, Node.js) и компилируемых языков со статической типизацией (Go, Rust).</w:t>
      </w:r>
    </w:p>
    <w:p>
      <w:pPr>
        <w:spacing w:line="360" w:lineRule="auto" w:after="0" w:before="0"/>
        <w:ind w:firstLine="709"/>
        <w:jc w:val="both"/>
      </w:pPr>
      <w:r>
        <w:t>Интерпретируемые языки обладают высоким порогом входа и скоростью разработки, однако могут демонстрировать меньшую производительность при выполнении вычислительно сложных операций или обработке большого количества конкурентных запросов. Динамическая типизация увеличивает риск ошибок времени выполнения (runtime errors), связанных с несоответствием типов данных.</w:t>
      </w:r>
    </w:p>
    <w:p>
      <w:pPr>
        <w:spacing w:line="360" w:lineRule="auto" w:after="0" w:before="0"/>
        <w:ind w:firstLine="709"/>
        <w:jc w:val="both"/>
      </w:pPr>
      <w:r>
        <w:t>В результате исследования был выбран язык программирования Go (Golang). Данный выбор обоснован следующими факторами:</w:t>
      </w:r>
    </w:p>
    <w:p>
      <w:pPr>
        <w:spacing w:line="360" w:lineRule="auto" w:after="0" w:before="0"/>
        <w:ind w:firstLine="709"/>
        <w:jc w:val="both"/>
      </w:pPr>
      <w:r>
        <w:t>• Статическая типизация обеспечивает отлов большинства ошибок на этапе компиляции, что повышает надежность кода.</w:t>
      </w:r>
    </w:p>
    <w:p>
      <w:pPr>
        <w:spacing w:line="360" w:lineRule="auto" w:after="0" w:before="0"/>
        <w:ind w:firstLine="709"/>
        <w:jc w:val="both"/>
      </w:pPr>
      <w:r>
        <w:t>• Встроенная поддержка многопоточности через механизм горутин (goroutines) и каналов позволяет эффективно использовать ресурсы многоядерных процессоров для обработки множества одновременных соединений.</w:t>
      </w:r>
    </w:p>
    <w:p>
      <w:pPr>
        <w:spacing w:line="360" w:lineRule="auto" w:after="0" w:before="0"/>
        <w:ind w:firstLine="709"/>
        <w:jc w:val="both"/>
      </w:pPr>
      <w:r>
        <w:t>• Компиляция в нативный машинный код обеспечивает высокую скорость выполнения, сопоставимую с C++.</w:t>
      </w:r>
    </w:p>
    <w:p>
      <w:pPr>
        <w:spacing w:line="360" w:lineRule="auto" w:after="0" w:before="0"/>
        <w:ind w:firstLine="709"/>
        <w:jc w:val="both"/>
      </w:pPr>
      <w:r>
        <w:t>• Строгий синтаксис и наличие встроенных инструментов форматирования (gofmt) обеспечивают единообразие кодовой базы, что важно для командной разработки.</w:t>
      </w:r>
    </w:p>
    <w:p>
      <w:pPr>
        <w:pStyle w:val="Heading2"/>
        <w:jc w:val="center"/>
      </w:pPr>
      <w:r>
        <w:rPr>
          <w:rFonts w:ascii="Times New Roman" w:hAnsi="Times New Roman"/>
          <w:b/>
          <w:sz w:val="28"/>
        </w:rPr>
        <w:t>2.2. Архитектурные паттерны бэкенда</w:t>
      </w:r>
    </w:p>
    <w:p>
      <w:pPr>
        <w:spacing w:line="360" w:lineRule="auto" w:after="0" w:before="0"/>
        <w:ind w:firstLine="709"/>
        <w:jc w:val="both"/>
      </w:pPr>
      <w:r>
        <w:t>При выборе фреймворка для веб-сервера проводился анализ между полноценными фреймворками (такими как Gin, Echo) и микро-фреймворками или наборами библиотек. Полноценные фреймворки часто предоставляют избыточный функционал «из коробки», включая встроенные системы валидации, сериализации и зависимости, которые могут усложнять тестирование и создавать скрытые связи между модулями.</w:t>
      </w:r>
    </w:p>
    <w:p>
      <w:pPr>
        <w:spacing w:line="360" w:lineRule="auto" w:after="0" w:before="0"/>
        <w:ind w:firstLine="709"/>
        <w:jc w:val="both"/>
      </w:pPr>
      <w:r>
        <w:t>Для проекта был выбран роутер Chi (версии v5). Это минималистичное решение, полностью совместимое со стандартным пакетом net/http. Преимущества Chi заключаются в поддержке промежуточного ПО (middleware) для реализации кросс-резонурсного доступа (CORS), аутентификации и логирования, а также в отсутствии «магии», что упрощает отладку и понимание потока выполнения запроса. Выбор данного инструмента соответствует принципу KISS (Keep It Simple, Stupid).</w:t>
      </w:r>
    </w:p>
    <w:p>
      <w:pPr>
        <w:pStyle w:val="Heading2"/>
        <w:jc w:val="center"/>
      </w:pPr>
      <w:r>
        <w:rPr>
          <w:rFonts w:ascii="Times New Roman" w:hAnsi="Times New Roman"/>
          <w:b/>
          <w:sz w:val="28"/>
        </w:rPr>
        <w:t>2.3. Проблемы хранения структурированных данных</w:t>
      </w:r>
    </w:p>
    <w:p>
      <w:pPr>
        <w:spacing w:line="360" w:lineRule="auto" w:after="0" w:before="0"/>
        <w:ind w:firstLine="709"/>
        <w:jc w:val="both"/>
      </w:pPr>
      <w:r>
        <w:t>Выбор системы управления базами данных (СУБД) является критическим этапом проектирования. Было проведено сравнение реляционных СУБД (PostgreSQL) и документоориентированных (MongoDB). Для задач инвентарного учета характерны сложные связи между сущностями: здание содержит помещения, помещения содержат предметы, предметы имеют категорию и историю перемещений. Реляционная модель с её строгостью схемы данных и поддержкой транзакций (ACID) является наиболее подходящей для обеспечения консистентности таких связей.</w:t>
      </w:r>
    </w:p>
    <w:p>
      <w:pPr>
        <w:spacing w:line="360" w:lineRule="auto" w:after="0" w:before="0"/>
        <w:ind w:firstLine="709"/>
        <w:jc w:val="both"/>
      </w:pPr>
      <w:r>
        <w:t>Была выбрана СУБД PostgreSQL версии 16. Она предоставляет мощные средства индексации, поддержку составных типов и строгую типизацию данных. Особое внимание в исследовании было уделено способу взаимодействия приложения с базой данных. Традиционный подход с использованием ORM (Object-Relational Mapping) часто приводит к проблемам производительности, таким как проблема N+1 запроса, когда для загрузки связанных данных выполняется избыточное количество запросов к БД.</w:t>
      </w:r>
    </w:p>
    <w:p>
      <w:pPr>
        <w:spacing w:line="360" w:lineRule="auto" w:after="0" w:before="0"/>
        <w:ind w:firstLine="709"/>
        <w:jc w:val="both"/>
      </w:pPr>
      <w:r>
        <w:t>В качестве альтернативы был исследован и выбран инструмент sqlc (SQL to Code). Этот генератор кода позволяет писать чистые SQL-запросы в специальных файлах, а затем автоматически генерирует типобезопасный Go-код для их выполнения. Такой подход (часто называемый «Query First») сочетает в себе полную контролируемость SQL-запросов разработчиком и безопасность статической типизации на уровне языка программирования, устраняя недостатки классических ORM.</w:t>
      </w:r>
    </w:p>
    <w:p>
      <w:pPr>
        <w:pStyle w:val="Heading2"/>
        <w:jc w:val="center"/>
      </w:pPr>
      <w:r>
        <w:rPr>
          <w:rFonts w:ascii="Times New Roman" w:hAnsi="Times New Roman"/>
          <w:b/>
          <w:sz w:val="28"/>
        </w:rPr>
        <w:t>ГЛАВА 3. ТЕОРЕТИЧЕСКИЕ ОСНОВЫ И ПРИМЕНЕНИЕ БЛОКЧЕЙН-ТЕХНОЛОГИЙ ДЛЯ АУДИТА</w:t>
      </w:r>
    </w:p>
    <w:p>
      <w:pPr>
        <w:pStyle w:val="Heading2"/>
        <w:jc w:val="center"/>
      </w:pPr>
      <w:r>
        <w:rPr>
          <w:rFonts w:ascii="Times New Roman" w:hAnsi="Times New Roman"/>
          <w:b/>
          <w:sz w:val="28"/>
        </w:rPr>
        <w:t>3.1. Основы технологии распределенных реестров (DLT)</w:t>
      </w:r>
    </w:p>
    <w:p>
      <w:pPr>
        <w:spacing w:line="360" w:lineRule="auto" w:after="0" w:before="0"/>
        <w:ind w:firstLine="709"/>
        <w:jc w:val="both"/>
      </w:pPr>
      <w:r>
        <w:t>Технология блокчейн, лежащая в основе криптовалют, представляет собой частный случай более общей концепции распределенных реестров (Distributed Ledger Technology, DLT). В контексте данной работы интерес представляет не финансовая составляющая или механизмы консенсуса (Proof-of-Work, Proof-of-Stake), а структура данных, обеспечивающая неизменяемость истории.</w:t>
      </w:r>
    </w:p>
    <w:p>
      <w:pPr>
        <w:spacing w:line="360" w:lineRule="auto" w:after="0" w:before="0"/>
        <w:ind w:firstLine="709"/>
        <w:jc w:val="both"/>
      </w:pPr>
      <w:r>
        <w:t>Базовым элементом структуры является криптографическая хеш-функция, в частности, алгоритм семейства SHA-256. Хеш-функция преобразует входные данные произвольной длины в строку фиксированной длины (хеш). Ключевыми свойствами хеш-функций, используемыми в данной работе, являются:</w:t>
      </w:r>
    </w:p>
    <w:p>
      <w:pPr>
        <w:spacing w:line="360" w:lineRule="auto" w:after="0" w:before="0"/>
        <w:ind w:firstLine="709"/>
        <w:jc w:val="both"/>
      </w:pPr>
      <w:r>
        <w:t>• Детерминированность: одинаковые входные данные всегда дают одинаковый хеш.</w:t>
      </w:r>
    </w:p>
    <w:p>
      <w:pPr>
        <w:spacing w:line="360" w:lineRule="auto" w:after="0" w:before="0"/>
        <w:ind w:firstLine="709"/>
        <w:jc w:val="both"/>
      </w:pPr>
      <w:r>
        <w:t>• Лавинный эффект: минимальное изменение входных данных (даже один бит) полностью меняет выходной хеш.</w:t>
      </w:r>
    </w:p>
    <w:p>
      <w:pPr>
        <w:spacing w:line="360" w:lineRule="auto" w:after="0" w:before="0"/>
        <w:ind w:firstLine="709"/>
        <w:jc w:val="both"/>
      </w:pPr>
      <w:r>
        <w:t>• Необратимость: по значению хеша невозможно восстановить исходные данные.</w:t>
      </w:r>
    </w:p>
    <w:p>
      <w:pPr>
        <w:pStyle w:val="Heading2"/>
        <w:jc w:val="center"/>
      </w:pPr>
      <w:r>
        <w:rPr>
          <w:rFonts w:ascii="Times New Roman" w:hAnsi="Times New Roman"/>
          <w:b/>
          <w:sz w:val="28"/>
        </w:rPr>
        <w:t>3.2. Концепция «Аудит-чейна» в централизованной системе</w:t>
      </w:r>
    </w:p>
    <w:p>
      <w:pPr>
        <w:spacing w:line="360" w:lineRule="auto" w:after="0" w:before="0"/>
        <w:ind w:firstLine="709"/>
        <w:jc w:val="both"/>
      </w:pPr>
      <w:r>
        <w:t>Традиционный подход к аудиту предполагает запись событий в отдельную таблицу базы данных. Однако администратор базы данных (DBA) обладает привилегиями для выполнения команд UPDATE и DELETE, что позволяет ему фальсифицировать историю событий задним числом, скрывая следы несанкционированных действий. Для решения этой проблемы предлагается внедрение механизма хеш-цепочки (hash chain) внутри таблицы аудита.</w:t>
      </w:r>
    </w:p>
    <w:p>
      <w:pPr>
        <w:spacing w:line="360" w:lineRule="auto" w:after="0" w:before="0"/>
        <w:ind w:firstLine="709"/>
        <w:jc w:val="both"/>
      </w:pPr>
      <w:r>
        <w:t>Механизм работы «Аудит-чейна» заключается в следующем. Каждая запись в журнале аудита содержит не только данные о событии (время, пользователь, тип операции, старые и новые значения), но и криптографическую связь с предыдущей записью. Структура записи выглядит следующим образом:</w:t>
      </w:r>
    </w:p>
    <w:p>
      <w:pPr>
        <w:spacing w:line="360" w:lineRule="auto" w:after="0" w:before="0"/>
        <w:ind w:firstLine="709"/>
        <w:jc w:val="both"/>
      </w:pPr>
      <w:r>
        <w:t>• ID: уникальный идентификатор записи.</w:t>
      </w:r>
    </w:p>
    <w:p>
      <w:pPr>
        <w:spacing w:line="360" w:lineRule="auto" w:after="0" w:before="0"/>
        <w:ind w:firstLine="709"/>
        <w:jc w:val="both"/>
      </w:pPr>
      <w:r>
        <w:t>• Payload: полезные данные события в сериализованном виде (JSON).</w:t>
      </w:r>
    </w:p>
    <w:p>
      <w:pPr>
        <w:spacing w:line="360" w:lineRule="auto" w:after="0" w:before="0"/>
        <w:ind w:firstLine="709"/>
        <w:jc w:val="both"/>
      </w:pPr>
      <w:r>
        <w:t>• Timestamp: время создания записи.</w:t>
      </w:r>
    </w:p>
    <w:p>
      <w:pPr>
        <w:spacing w:line="360" w:lineRule="auto" w:after="0" w:before="0"/>
        <w:ind w:firstLine="709"/>
        <w:jc w:val="both"/>
      </w:pPr>
      <w:r>
        <w:t>• PrevHash: хеш-сумма предыдущей записи в цепочке.</w:t>
      </w:r>
    </w:p>
    <w:p>
      <w:pPr>
        <w:spacing w:line="360" w:lineRule="auto" w:after="0" w:before="0"/>
        <w:ind w:firstLine="709"/>
        <w:jc w:val="both"/>
      </w:pPr>
      <w:r>
        <w:t>• CurrentHash: хеш-сумма текущей записи, вычисляемая как H(Payload + Timestamp + PrevHash).</w:t>
      </w:r>
    </w:p>
    <w:p>
      <w:pPr>
        <w:spacing w:line="360" w:lineRule="auto" w:after="0" w:before="0"/>
        <w:ind w:firstLine="709"/>
        <w:jc w:val="both"/>
      </w:pPr>
      <w:r>
        <w:t>Таким образом, каждая последующая запись «запечатывает» предыдущую. Если злоумышленник попытается изменить данные в любой записи прошлого (например, удалить факт списания ценного оборудования), изменится хеш этой записи. Это приведет к несоответствию поля PrevHash в следующей записи, что вызовет каскадное нарушение целостности всей последующей цепочки. Верификация целостности осуществляется простым пересчетом хешей от первой записи до последней. Любое расхождение сигнализирует о фальсификации.</w:t>
      </w:r>
    </w:p>
    <w:p>
      <w:pPr>
        <w:pStyle w:val="Heading2"/>
        <w:jc w:val="center"/>
      </w:pPr>
      <w:r>
        <w:rPr>
          <w:rFonts w:ascii="Times New Roman" w:hAnsi="Times New Roman"/>
          <w:b/>
          <w:sz w:val="28"/>
        </w:rPr>
        <w:t>3.3. Симуляция якорения (Anchoring)</w:t>
      </w:r>
    </w:p>
    <w:p>
      <w:pPr>
        <w:spacing w:line="360" w:lineRule="auto" w:after="0" w:before="0"/>
        <w:ind w:firstLine="709"/>
        <w:jc w:val="both"/>
      </w:pPr>
      <w:r>
        <w:t>Хотя хеш-цепочка внутри базы данных защищает от подделки истории постфактум, она не защищает от ситуации, когда злоумышленник с полными правами доступа переписывает всю цепочку заново и заменяет её целиком. Для защиты от такого сценария используется механизм якорения (anchoring).</w:t>
      </w:r>
    </w:p>
    <w:p>
      <w:pPr>
        <w:spacing w:line="360" w:lineRule="auto" w:after="0" w:before="0"/>
        <w:ind w:firstLine="709"/>
        <w:jc w:val="both"/>
      </w:pPr>
      <w:r>
        <w:t>Теория якорения предполагает периодическую публикацию корневого хеша (Merkle Root) текущей цепочки аудита во внешнем неизменяемом реестре. В качестве такого реестра может выступать публичный блокчейн (например, Bitcoin или Ethereum) или специализированные сервисы временных меток (RFC 3161 Time-Stamping Protocol).</w:t>
      </w:r>
    </w:p>
    <w:p>
      <w:pPr>
        <w:spacing w:line="360" w:lineRule="auto" w:after="0" w:before="0"/>
        <w:ind w:firstLine="709"/>
        <w:jc w:val="both"/>
      </w:pPr>
      <w:r>
        <w:t>В рамках данной работы предлагается архитектура, при которой основная масса данных хранится в высокопроизводительной PostgreSQL, а каждые N минут или после каждых M транзакций вычисляется сводный хеш последнего блока аудита. Этот хеш транслируется во внешнюю сеть. Поскольку данные в публичных блокчейнах неизменяемы в силу их децентрализованной природы и затратности атаки 51%, наличие такой внешней метки гарантирует, что состояние системы на момент якорения не может быть изменено задним числом без обнаружения.</w:t>
      </w:r>
    </w:p>
    <w:p>
      <w:pPr>
        <w:pStyle w:val="Heading2"/>
        <w:jc w:val="center"/>
      </w:pPr>
      <w:r>
        <w:rPr>
          <w:rFonts w:ascii="Times New Roman" w:hAnsi="Times New Roman"/>
          <w:b/>
          <w:sz w:val="28"/>
        </w:rPr>
        <w:t>ГЛАВА 4. ИССЛЕДОВАНИЕ КЛИЕНТСКИХ ТЕХНОЛОГИЙ И ПОЛЬЗОВАТЕЛЬСКОГО ОПЫТА</w:t>
      </w:r>
    </w:p>
    <w:p>
      <w:pPr>
        <w:pStyle w:val="Heading2"/>
        <w:jc w:val="center"/>
      </w:pPr>
      <w:r>
        <w:rPr>
          <w:rFonts w:ascii="Times New Roman" w:hAnsi="Times New Roman"/>
          <w:b/>
          <w:sz w:val="28"/>
        </w:rPr>
        <w:t>4.1. Парадигмы построения пользовательских интерфейсов</w:t>
      </w:r>
    </w:p>
    <w:p>
      <w:pPr>
        <w:spacing w:line="360" w:lineRule="auto" w:after="0" w:before="0"/>
        <w:ind w:firstLine="709"/>
        <w:jc w:val="both"/>
      </w:pPr>
      <w:r>
        <w:t>Современные требования к отзывчивости интерфейсов диктуют отказ от классической модели серверного рендеринга (SSR), где каждый клик пользователя требует полной перезагрузки страницы. Для систем инвентаризации, где оператор работает в интенсивном режиме (сканирование штрих-кодов, быстрое перемещение между карточками), необходим подход Single Page Application (SPA).</w:t>
      </w:r>
    </w:p>
    <w:p>
      <w:pPr>
        <w:spacing w:line="360" w:lineRule="auto" w:after="0" w:before="0"/>
        <w:ind w:firstLine="709"/>
        <w:jc w:val="both"/>
      </w:pPr>
      <w:r>
        <w:t>В ходе исследования была выбрана библиотека React 18. Она использует виртуальный DOM (Document Object Model) для минимизации дорогостоящих операций перерисовки реального интерфейса. Компонентный подход React позволяет разбивать интерфейс на независимые переиспользуемые блоки (карточка предмета, форма ввода, таблица списка), что упрощает поддержку и развитие кодовой базы.</w:t>
      </w:r>
    </w:p>
    <w:p>
      <w:pPr>
        <w:pStyle w:val="Heading2"/>
        <w:jc w:val="center"/>
      </w:pPr>
      <w:r>
        <w:rPr>
          <w:rFonts w:ascii="Times New Roman" w:hAnsi="Times New Roman"/>
          <w:b/>
          <w:sz w:val="28"/>
        </w:rPr>
        <w:t>4.2. Управление состоянием и асинхронностью</w:t>
      </w:r>
    </w:p>
    <w:p>
      <w:pPr>
        <w:spacing w:line="360" w:lineRule="auto" w:after="0" w:before="0"/>
        <w:ind w:firstLine="709"/>
        <w:jc w:val="both"/>
      </w:pPr>
      <w:r>
        <w:t>Одной из главных сложностей при разработке SPA является управление серверным состоянием. Примитивные подходы с использованием простых хуков (useState, useEffect) часто приводят к дублированию кода загрузки данных, отсутствию кэширования и сложностям с обработкой состояний загрузки и ошибок.</w:t>
      </w:r>
    </w:p>
    <w:p>
      <w:pPr>
        <w:spacing w:line="360" w:lineRule="auto" w:after="0" w:before="0"/>
        <w:ind w:firstLine="709"/>
        <w:jc w:val="both"/>
      </w:pPr>
      <w:r>
        <w:t>Было исследовано и принято решение об использовании библиотеки TanStack Query (React Query). Этот инструмент берет на себя управление кэшем серверных данных, фоновое обновление информации (background refetching) и повторные попытки при ошибках сети. Важной функцией для инвентаризации является поддержка «оптимистичных обновлений» (optimistic updates): интерфейс мгновенно реагирует на действие пользователя (например, помечает предмет как перемещенный) еще до получения ответа от сервера, создавая ощущение мгновенной работы системы. В случае ошибки сервера состояние автоматически откатывается.</w:t>
      </w:r>
    </w:p>
    <w:p>
      <w:pPr>
        <w:pStyle w:val="Heading2"/>
        <w:jc w:val="center"/>
      </w:pPr>
      <w:r>
        <w:rPr>
          <w:rFonts w:ascii="Times New Roman" w:hAnsi="Times New Roman"/>
          <w:b/>
          <w:sz w:val="28"/>
        </w:rPr>
        <w:t>4.3. Валидация данных и типизация</w:t>
      </w:r>
    </w:p>
    <w:p>
      <w:pPr>
        <w:pStyle w:val="Heading2"/>
        <w:jc w:val="center"/>
      </w:pPr>
      <w:r>
        <w:rPr>
          <w:rFonts w:ascii="Times New Roman" w:hAnsi="Times New Roman"/>
          <w:b/>
          <w:sz w:val="28"/>
        </w:rPr>
        <w:t>ЗАКЛЮЧЕНИЕ</w:t>
      </w:r>
    </w:p>
    <w:p>
      <w:pPr>
        <w:pStyle w:val="Heading2"/>
        <w:jc w:val="center"/>
      </w:pPr>
      <w:r>
        <w:rPr>
          <w:rFonts w:ascii="Times New Roman" w:hAnsi="Times New Roman"/>
          <w:b/>
          <w:sz w:val="28"/>
        </w:rPr>
        <w:t>СПИСОК ИССПОЛЬЗОВАННЫХ ИСТОЧНИКОВ</w:t>
      </w:r>
    </w:p>
    <w:p>
      <w:pPr>
        <w:spacing w:line="360" w:lineRule="auto" w:after="0" w:before="0"/>
        <w:ind w:firstLine="709"/>
        <w:jc w:val="both"/>
      </w:pPr>
      <w:r>
        <w:t>1. Гофман А. В. Язык программирования Go: учебное пособие. – М.: ДМК Пресс, 2022.</w:t>
      </w:r>
    </w:p>
    <w:p>
      <w:pPr>
        <w:spacing w:line="360" w:lineRule="auto" w:after="0" w:before="0"/>
        <w:ind w:firstLine="709"/>
        <w:jc w:val="both"/>
      </w:pPr>
      <w:r>
        <w:t>2. Карлсон Дж. ПостгресQL: основы и практика. – СПб.: Питер, 2021.</w:t>
      </w:r>
    </w:p>
    <w:p>
      <w:pPr>
        <w:spacing w:line="360" w:lineRule="auto" w:after="0" w:before="0"/>
        <w:ind w:firstLine="709"/>
        <w:jc w:val="both"/>
      </w:pPr>
      <w:r>
        <w:t>3. Накамото С. Биткоин: одноранговая электронная денежная система // Bitcoin.org. – 2008.</w:t>
      </w:r>
    </w:p>
    <w:p>
      <w:pPr>
        <w:spacing w:line="360" w:lineRule="auto" w:after="0" w:before="0"/>
        <w:ind w:firstLine="709"/>
        <w:jc w:val="both"/>
      </w:pPr>
      <w:r>
        <w:t>4. Сталин М. Криптография и блокчейн: принципы работы. – М.: Бином, 2020.</w:t>
      </w:r>
    </w:p>
    <w:p>
      <w:pPr>
        <w:spacing w:line="360" w:lineRule="auto" w:after="0" w:before="0"/>
        <w:ind w:firstLine="709"/>
        <w:jc w:val="both"/>
      </w:pPr>
      <w:r>
        <w:t>5. Официальная документация языка Go [Электронный ресурс]. – URL: https://go.dev/doc/ (дата обращения: 20.10.2024).</w:t>
      </w:r>
    </w:p>
    <w:p>
      <w:pPr>
        <w:spacing w:line="360" w:lineRule="auto" w:after="0" w:before="0"/>
        <w:ind w:firstLine="709"/>
        <w:jc w:val="both"/>
      </w:pPr>
      <w:r>
        <w:t>8. Таненбаум Э., Ван Стеен М. Распределенные системы. Принципы и парадигмы. – СПб.: Питер, 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