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Исследование методов и технологий построения распределенной системы инвентарного учета с использованием блокчейн-ориентированного аудита</w:t>
      </w:r>
    </w:p>
    <w:p>
      <w:pPr>
        <w:pStyle w:val="Heading1"/>
      </w:pPr>
      <w:r>
        <w:t>Введение</w:t>
      </w:r>
    </w:p>
    <w:p>
      <w:pPr>
        <w:spacing w:line="360" w:lineRule="auto"/>
      </w:pPr>
      <w:r>
        <w:t>Актуальность темы обусловлена критическими проблемами традиционных систем инвентарного учета: риском человеческой ошибки, возможностью незаметной фальсификации записей в централизованных базах данных и сложностью отслеживания полной истории перемещений материальных ценностей. В условиях цифровизации бизнеса возрастает потребность в гарантированной целостности данных и неизменяемых журналах аудита (immutable audit logs).</w:t>
      </w:r>
    </w:p>
    <w:p>
      <w:pPr>
        <w:spacing w:line="360" w:lineRule="auto"/>
      </w:pPr>
      <w:r>
        <w:t>Целью данной работы является исследование существующих технологических стеков и архитектурных паттернов для создания высоконадежной системы инвентарного учета. Особое внимание уделяется обоснованию выбора гибридной архитектуры, сочетающей реляционную базу данных для оперативного хранения и блокчейн-подобную структуру для журналирования изменений.</w:t>
      </w:r>
    </w:p>
    <w:p>
      <w:pPr>
        <w:spacing w:line="360" w:lineRule="auto"/>
      </w:pPr>
      <w:r>
        <w:t>Задачи исследования включают: анализ предметной области инвентаризации, сравнительный анализ современных СУБД и бэкенд-фреймворков, глубокое исследование теории блокчейна и хеш-цепочек применительно к задачам аудита, а также выбор средств фронтенд-разработки для обеспечения реактивности интерфейса.</w:t>
      </w:r>
    </w:p>
    <w:p>
      <w:pPr>
        <w:pStyle w:val="Heading1"/>
      </w:pPr>
      <w:r>
        <w:t>Глава 1. Анализ предметной области и постановка задачи</w:t>
      </w:r>
    </w:p>
    <w:p>
      <w:pPr>
        <w:spacing w:line="360" w:lineRule="auto"/>
      </w:pPr>
      <w:r>
        <w:t>Объектом автоматизации выступает полный жизненный цикл предмета: от поступления на баланс до списания. Ключевые этапы включают перемещение между помещениями, ремонт, модернизацию и утилизацию. Система должна поддерживать ролевую модель, разграничивающую права Администратора, Кладовщика и Аудитора.</w:t>
      </w:r>
    </w:p>
    <w:p>
      <w:pPr>
        <w:spacing w:line="360" w:lineRule="auto"/>
      </w:pPr>
      <w:r>
        <w:t>Функциональные требования диктуют необходимость ведения детального лога всех изменений с фиксацией пользователя, времени, типа операции и значений «было/стало». Важными аспектами являются поддержка загрузки медиа-контента (фотофиксация состояния) и механизмы импорта/экспорта данных (CSV) для интеграции с наследуемыми системами предприятия.</w:t>
      </w:r>
    </w:p>
    <w:p>
      <w:pPr>
        <w:spacing w:line="360" w:lineRule="auto"/>
      </w:pPr>
      <w:r>
        <w:t>Нефункциональные требования определяют качество системы. Приоритетом является целостность данных: гарантия невозможности ретроспективного изменения записей аудита даже привилегированными пользователями. Производительность системы должна обеспечивать мгновенный отклик при работе с тысячами позиций номенклатуры. Архитектура должна позволять горизонтальное масштабирование по мере роста базы предметов.</w:t>
      </w:r>
    </w:p>
    <w:p>
      <w:pPr>
        <w:pStyle w:val="Heading1"/>
      </w:pPr>
      <w:r>
        <w:t>Глава 2. Исследование технологий серверной разработки</w:t>
      </w:r>
    </w:p>
    <w:p>
      <w:pPr>
        <w:spacing w:line="360" w:lineRule="auto"/>
      </w:pPr>
      <w:r>
        <w:t>Выбор языка программирования базировался на сравнении интерпретируемых (Python, Node.js) и компилируемых (Go, Rust) решений. Выбор пал на язык Go (Golang) благодаря его статической типизации, высокой производительности за счет легковесных потоков (goroutines) и строгому синтаксису, снижающему вероятность ошибок.</w:t>
      </w:r>
    </w:p>
    <w:p>
      <w:pPr>
        <w:spacing w:line="360" w:lineRule="auto"/>
      </w:pPr>
      <w:r>
        <w:t>При анализе архитектурных паттернов рассматривались полноценные фреймворки (Gin, Echo) и микро-фреймворки. Был выбран маршрутизатор Chi/v5. Его минимализм и соответствие стандарту net/http обеспечивают прозрачность кода, отсутствие «магических» зависимостей и упрощают тестирование, что соответствует принципу KISS (Keep It Simple, Stupid).</w:t>
      </w:r>
    </w:p>
    <w:p>
      <w:pPr>
        <w:spacing w:line="360" w:lineRule="auto"/>
      </w:pPr>
      <w:r>
        <w:t>В вопросе хранения данных сравнивались реляционные (PostgreSQL) и документоориентированные (MongoDB) СУБД. Выбор PostgreSQL 16 обусловлен строгой схемой данных, гарантирующей целостность связей (здания → комнаты → предметы), и поддержкой транзакций ACID. Для работы с БД выбран инструмент sqlc (SQL to Code). Он генерирует типобезопасный Go-код по SQL-запросам, устраняя недостатки классических ORM (проблема N+1, скрытые запросы) и обеспечивая проверку запросов на этапе компиляции.</w:t>
      </w:r>
    </w:p>
    <w:p>
      <w:pPr>
        <w:pStyle w:val="Heading1"/>
      </w:pPr>
      <w:r>
        <w:t>Глава 3. Теория блокчейна для аудита</w:t>
      </w:r>
    </w:p>
    <w:p>
      <w:pPr>
        <w:spacing w:line="360" w:lineRule="auto"/>
      </w:pPr>
      <w:r>
        <w:t>Технология распределенных реестров (DLT) базируется на цепочке блоков, связанных криптографическими хешами. Ключевым элементом являются хеш-функции (например, SHA-256), обладающие свойством лавинного эффекта: малейшее изменение входных данных полностью меняет хеш.</w:t>
      </w:r>
    </w:p>
    <w:p>
      <w:pPr>
        <w:spacing w:line="360" w:lineRule="auto"/>
      </w:pPr>
      <w:r>
        <w:t>В контексте данной работы применяется концепция «Аудит-чейна» внутри централизованной системы. Традиционный лог в таблице уязвим: администратор БД может выполнить UPDATE или DELETE, скрыв следы вмешательства. Механизм хеш-цепочки решает эту проблему. Каждая запись аудита формируется как набор данных (Data + Timestamp + UserID) и хеша предыдущей записи (PrevHash).</w:t>
      </w:r>
    </w:p>
    <w:p>
      <w:pPr>
        <w:spacing w:line="360" w:lineRule="auto"/>
      </w:pPr>
      <w:r>
        <w:t>Математическое обоснование целостности таково: попытка изменить любую запись в прошлом требует пересчета её хеша, что влечет несовпадение с PrevHash следующей записи, и так до конца цепи. Это делает фальсификацию вычислительно нецелесообразной и легко обнаруживаемой при верификации.</w:t>
      </w:r>
    </w:p>
    <w:p>
      <w:pPr>
        <w:spacing w:line="360" w:lineRule="auto"/>
      </w:pPr>
      <w:r>
        <w:t>Архитектура предполагает симуляцию якорения (Anchoring): основные данные хранятся в быстром PostgreSQL, а периодические снимки корневого хеша (Merkle Root) цепочки аудита могут фиксироваться во внешнем неизменяемом реестре (публичный блокчейн или специализированный сервис нотаризации). Это сочетает скорость реляционной БД с криптографическими гарантиями блокчейна.</w:t>
      </w:r>
    </w:p>
    <w:p>
      <w:pPr>
        <w:pStyle w:val="Heading1"/>
      </w:pPr>
      <w:r>
        <w:t>Глава 4. Клиентские технологии</w:t>
      </w:r>
    </w:p>
    <w:p>
      <w:pPr>
        <w:spacing w:line="360" w:lineRule="auto"/>
      </w:pPr>
      <w:r>
        <w:t>Для пользовательского интерфейса выбран подход Single Page Application (SPA) на базе React 18. Это обеспечивает высокую отзывчивость и плавность работы, критичную при массовой инвентаризации.</w:t>
      </w:r>
    </w:p>
    <w:p>
      <w:pPr>
        <w:spacing w:line="360" w:lineRule="auto"/>
      </w:pPr>
      <w:r>
        <w:t>Управление состоянием реализовано через библиотеку TanStack Query (React Query). Она решает проблемы кэширования серверных данных, фоновой синхронизации и оптимистичных обновлений UI, когда интерфейс реагирует мгновенно до подтверждения сервера.</w:t>
      </w:r>
    </w:p>
    <w:p>
      <w:pPr>
        <w:spacing w:line="360" w:lineRule="auto"/>
      </w:pPr>
      <w:r>
        <w:t>Сквозная типизация обеспечена языком TypeScript. Для валидации данных используется библиотека Zod, позволяющая описывать схемы данных и гарантировать соответствие ответа сервера ожиданиям клиента, предотвращая ошибки времени выполнения.</w:t>
      </w:r>
    </w:p>
    <w:p>
      <w:pPr>
        <w:spacing w:line="360" w:lineRule="auto"/>
      </w:pPr>
      <w:r>
        <w:t>Визуальная часть построена на утилитарном фреймворке Tailwind CSS и библиотеке доступных компонентов Radix UI. Такой стек позволяет быстро разрабатывать адаптивный интерфейс с соблюдением стандартов доступности (a11y).</w:t>
      </w:r>
    </w:p>
    <w:p>
      <w:pPr>
        <w:pStyle w:val="Heading1"/>
      </w:pPr>
      <w:r>
        <w:t>Заключение</w:t>
      </w:r>
    </w:p>
    <w:p>
      <w:pPr>
        <w:spacing w:line="360" w:lineRule="auto"/>
      </w:pPr>
      <w:r>
        <w:t>В ходе исследования был сформирован оптимальный технологический стек для системы инвентарного учета: Go + Chi + PostgreSQL + sqlc на стороне сервера и React + TypeScript + React Query на стороне клиента.</w:t>
      </w:r>
    </w:p>
    <w:p>
      <w:pPr>
        <w:spacing w:line="360" w:lineRule="auto"/>
      </w:pPr>
      <w:r>
        <w:t>Разработана теоретическая модель применения хеш-цепочек для обеспечения неизменности журналов аудита. Доказано, что данный подход позволяет детектировать фальсификацию данных даже при наличии прав суперпользователя базы данных.</w:t>
      </w:r>
    </w:p>
    <w:p>
      <w:pPr>
        <w:spacing w:line="360" w:lineRule="auto"/>
      </w:pPr>
      <w:r>
        <w:t>Установлено, что выбранная архитектура удовлетворяет требованиям по производительности, безопасности и масштабируемости. Проведенный анализ технологий подтверждает готовность проекта к переходу на этап непосредственной реализации и промышленной эксплуатации.</w:t>
      </w:r>
    </w:p>
    <w:p>
      <w:pPr>
        <w:pStyle w:val="Heading1"/>
      </w:pPr>
      <w:r>
        <w:t>Список источников</w:t>
      </w:r>
    </w:p>
    <w:p>
      <w:pPr>
        <w:spacing w:line="360" w:lineRule="auto"/>
      </w:pPr>
      <w:r>
        <w:t>1. Документация языка программирования Go. URL: https://go.dev/doc/</w:t>
        <w:br/>
        <w:t>2. Chi Router Documentation. URL: https://github.com/go-chi/chi</w:t>
        <w:br/>
        <w:t>3. PostgreSQL 16 Documentation. URL: https://www.postgresql.org/docs/16/</w:t>
        <w:br/>
        <w:t>4. sqlc: Generate type-safe code from SQL. URL: https://sqlc.dev/</w:t>
        <w:br/>
        <w:t>5. Nakamoto S. Bitcoin: A Peer-to-Peer Electronic Cash System. 2008.</w:t>
        <w:br/>
        <w:t>6. TanStack Query Documentation. URL: https://tanstack.com/query</w:t>
        <w:br/>
        <w:t>7. React Documentation. URL: https://react.dev/</w:t>
        <w:br/>
        <w:t>8. TypeScript Handbook. URL: https://www.typescriptlang.org/docs/</w:t>
        <w:br/>
        <w:t>9. Tailwind CSS Documentation. URL: https://tailwindcss.com/docs</w:t>
        <w:br/>
        <w:t>10. Radix UI Primitives. URL: https://www.radix-ui.com/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