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VoiceBank PESQ-First Campaign Report</w:t>
      </w:r>
    </w:p>
    <w:p>
      <w:r>
        <w:t>Raport generat automat pentru campania end-to-end pe VoiceBank-DEMAND. Metrica primară de selecție este PESQ, cu guardrails pe STOI și SI-SDR.</w:t>
      </w:r>
    </w:p>
    <w:p>
      <w:pPr>
        <w:pStyle w:val="Heading1"/>
      </w:pPr>
      <w:r>
        <w:t>Executive Summary</w:t>
      </w:r>
    </w:p>
    <w:p>
      <w:r>
        <w:t>Modelul final selectat: repo_baseline, stage=base, val PESQ=1.2037, test PESQ=1.1904.</w:t>
      </w:r>
    </w:p>
    <w:p>
      <w:r>
        <w:t>Dataset validation: train=256, val=256, val_quick=256, test=824, speaker_disjoint=False.</w:t>
      </w:r>
    </w:p>
    <w:p>
      <w:r>
        <w:t>Hardware/stack: device=cuda, VRAM=11.99 GB, torch=2.2.1+cu121.</w:t>
      </w:r>
    </w:p>
    <w:p>
      <w:pPr>
        <w:pStyle w:val="Heading1"/>
      </w:pPr>
      <w:r>
        <w:t>Architecture</w:t>
      </w:r>
    </w:p>
    <w:p>
      <w:r>
        <w:t>Arhitectura folosită este un denoiser aTENNuate-like pe waveform brut, mono 16 kHz, cu encoder-decoder pe blocuri SSM și inferență offline.</w:t>
      </w:r>
    </w:p>
    <w:p>
      <w:pPr>
        <w:pStyle w:val="Heading2"/>
      </w:pPr>
      <w:r>
        <w:t>Architecture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Canale encoder</w:t>
            </w:r>
          </w:p>
        </w:tc>
        <w:tc>
          <w:tcPr>
            <w:tcW w:type="dxa" w:w="4320"/>
          </w:tcPr>
          <w:p>
            <w:r>
              <w:t>16, 32, 64, 96, 128, 256</w:t>
            </w:r>
          </w:p>
        </w:tc>
      </w:tr>
      <w:tr>
        <w:tc>
          <w:tcPr>
            <w:tcW w:type="dxa" w:w="4320"/>
          </w:tcPr>
          <w:p>
            <w:r>
              <w:t>Factori resampling</w:t>
            </w:r>
          </w:p>
        </w:tc>
        <w:tc>
          <w:tcPr>
            <w:tcW w:type="dxa" w:w="4320"/>
          </w:tcPr>
          <w:p>
            <w:r>
              <w:t>4, 4, 2, 2, 2, 2</w:t>
            </w:r>
          </w:p>
        </w:tc>
      </w:tr>
      <w:tr>
        <w:tc>
          <w:tcPr>
            <w:tcW w:type="dxa" w:w="4320"/>
          </w:tcPr>
          <w:p>
            <w:r>
              <w:t>Num coeffs / repeat</w:t>
            </w:r>
          </w:p>
        </w:tc>
        <w:tc>
          <w:tcPr>
            <w:tcW w:type="dxa" w:w="4320"/>
          </w:tcPr>
          <w:p>
            <w:r>
              <w:t>16 / 16</w:t>
            </w:r>
          </w:p>
        </w:tc>
      </w:tr>
      <w:tr>
        <w:tc>
          <w:tcPr>
            <w:tcW w:type="dxa" w:w="4320"/>
          </w:tcPr>
          <w:p>
            <w:r>
              <w:t>Parametri</w:t>
            </w:r>
          </w:p>
        </w:tc>
        <w:tc>
          <w:tcPr>
            <w:tcW w:type="dxa" w:w="4320"/>
          </w:tcPr>
          <w:p>
            <w:r>
              <w:t>844,864</w:t>
            </w:r>
          </w:p>
        </w:tc>
      </w:tr>
      <w:tr>
        <w:tc>
          <w:tcPr>
            <w:tcW w:type="dxa" w:w="4320"/>
          </w:tcPr>
          <w:p>
            <w:r>
              <w:t>Padding multiplu</w:t>
            </w:r>
          </w:p>
        </w:tc>
        <w:tc>
          <w:tcPr>
            <w:tcW w:type="dxa" w:w="4320"/>
          </w:tcPr>
          <w:p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Pre-conv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Mod de lucru</w:t>
            </w:r>
          </w:p>
        </w:tc>
        <w:tc>
          <w:tcPr>
            <w:tcW w:type="dxa" w:w="4320"/>
          </w:tcPr>
          <w:p>
            <w:r>
              <w:t>offline waveform denoiser</w:t>
            </w:r>
          </w:p>
        </w:tc>
      </w:tr>
    </w:tbl>
    <w:p>
      <w:pPr>
        <w:pStyle w:val="Heading1"/>
      </w:pPr>
      <w:r>
        <w:t>Campaign Results</w:t>
      </w:r>
    </w:p>
    <w:p>
      <w:pPr>
        <w:pStyle w:val="Heading2"/>
      </w:pPr>
      <w:r>
        <w:t>Per-Direction Leaderboard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Direction</w:t>
            </w:r>
          </w:p>
        </w:tc>
        <w:tc>
          <w:tcPr>
            <w:tcW w:type="dxa" w:w="1234"/>
          </w:tcPr>
          <w:p>
            <w:r>
              <w:t>Base Val PESQ</w:t>
            </w:r>
          </w:p>
        </w:tc>
        <w:tc>
          <w:tcPr>
            <w:tcW w:type="dxa" w:w="1234"/>
          </w:tcPr>
          <w:p>
            <w:r>
              <w:t>Refined Val PESQ</w:t>
            </w:r>
          </w:p>
        </w:tc>
        <w:tc>
          <w:tcPr>
            <w:tcW w:type="dxa" w:w="1234"/>
          </w:tcPr>
          <w:p>
            <w:r>
              <w:t>Best Val PESQ</w:t>
            </w:r>
          </w:p>
        </w:tc>
        <w:tc>
          <w:tcPr>
            <w:tcW w:type="dxa" w:w="1234"/>
          </w:tcPr>
          <w:p>
            <w:r>
              <w:t>Best Test PESQ</w:t>
            </w:r>
          </w:p>
        </w:tc>
        <w:tc>
          <w:tcPr>
            <w:tcW w:type="dxa" w:w="1234"/>
          </w:tcPr>
          <w:p>
            <w:r>
              <w:t>Rule</w:t>
            </w:r>
          </w:p>
        </w:tc>
        <w:tc>
          <w:tcPr>
            <w:tcW w:type="dxa" w:w="1234"/>
          </w:tcPr>
          <w:p>
            <w:r>
              <w:t>Selected Stage</w:t>
            </w:r>
          </w:p>
        </w:tc>
      </w:tr>
      <w:tr>
        <w:tc>
          <w:tcPr>
            <w:tcW w:type="dxa" w:w="1234"/>
          </w:tcPr>
          <w:p>
            <w:r>
              <w:t>repo_baseline</w:t>
            </w:r>
          </w:p>
        </w:tc>
        <w:tc>
          <w:tcPr>
            <w:tcW w:type="dxa" w:w="1234"/>
          </w:tcPr>
          <w:p>
            <w:r>
              <w:t>1.2037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1.2037</w:t>
            </w:r>
          </w:p>
        </w:tc>
        <w:tc>
          <w:tcPr>
            <w:tcW w:type="dxa" w:w="1234"/>
          </w:tcPr>
          <w:p>
            <w:r>
              <w:t>1.1904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</w:tr>
      <w:tr>
        <w:tc>
          <w:tcPr>
            <w:tcW w:type="dxa" w:w="1234"/>
          </w:tcPr>
          <w:p>
            <w:r>
              <w:t>protocol_longctx</w:t>
            </w:r>
          </w:p>
        </w:tc>
        <w:tc>
          <w:tcPr>
            <w:tcW w:type="dxa" w:w="1234"/>
          </w:tcPr>
          <w:p>
            <w:r>
              <w:t>1.1165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1.1165</w:t>
            </w:r>
          </w:p>
        </w:tc>
        <w:tc>
          <w:tcPr>
            <w:tcW w:type="dxa" w:w="1234"/>
          </w:tcPr>
          <w:p>
            <w:r>
              <w:t>1.0920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base</w:t>
            </w:r>
          </w:p>
        </w:tc>
      </w:tr>
    </w:tbl>
    <w:p>
      <w:pPr>
        <w:pStyle w:val="Heading2"/>
      </w:pPr>
      <w:r>
        <w:t>repo_baseline</w:t>
      </w:r>
    </w:p>
    <w:p>
      <w:r>
        <w:t>Ipoteză/refinement: rule=none; rationale=control_or_no_actionable_issue; issues=control_experiment.</w:t>
      </w:r>
    </w:p>
    <w:p>
      <w:r>
        <w:t>Base val: PESQ=1.2037, STOI=0.5819, SI-SDR=-22.0417.</w:t>
      </w:r>
    </w:p>
    <w:p>
      <w:r>
        <w:t>Best selected (base): val PESQ=1.2037, test PESQ=1.1904. Checkpoint=runs/pesq_campaign_smoke/base/repo_baseline/best.pt.</w:t>
      </w:r>
    </w:p>
    <w:p>
      <w:r>
        <w:drawing>
          <wp:inline xmlns:a="http://schemas.openxmlformats.org/drawingml/2006/main" xmlns:pic="http://schemas.openxmlformats.org/drawingml/2006/picture">
            <wp:extent cx="5669280" cy="6669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69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protocol_longctx</w:t>
      </w:r>
    </w:p>
    <w:p>
      <w:r>
        <w:t>Ipoteză/refinement: rule=none; rationale=control_or_no_actionable_issue; issues=control_experiment.</w:t>
      </w:r>
    </w:p>
    <w:p>
      <w:r>
        <w:t>Base val: PESQ=1.1165, STOI=0.5149, SI-SDR=-45.7782.</w:t>
      </w:r>
    </w:p>
    <w:p>
      <w:r>
        <w:t>Best selected (base): val PESQ=1.1165, test PESQ=1.0920. Checkpoint=runs/pesq_campaign_smoke/base/protocol_longctx/best.pt.</w:t>
      </w:r>
    </w:p>
    <w:p>
      <w:r>
        <w:drawing>
          <wp:inline xmlns:a="http://schemas.openxmlformats.org/drawingml/2006/main" xmlns:pic="http://schemas.openxmlformats.org/drawingml/2006/picture">
            <wp:extent cx="5669280" cy="66697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69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Model</w:t>
      </w:r>
    </w:p>
    <w:p>
      <w:r>
        <w:t>Winner direction: repo_baseline. Final checkpoint: runs/pesq_campaign_smoke/base/repo_baseline/best.pt. Stage2 applied=False; stable_direction=False.</w:t>
      </w:r>
    </w:p>
    <w:p>
      <w:r>
        <w:t>Final validation metrics: PESQ=1.2037, STOI=0.5819, SI-SDR=-22.0417.</w:t>
      </w:r>
    </w:p>
    <w:p>
      <w:r>
        <w:t>Final test metrics: PESQ=1.1904, STOI=0.6356, SI-SDR=-26.0903, Delta-SNR=-9.8215.</w:t>
      </w:r>
    </w:p>
    <w:p>
      <w:pPr>
        <w:pStyle w:val="Heading1"/>
      </w:pPr>
      <w:r>
        <w:t>Exports</w:t>
      </w:r>
    </w:p>
    <w:p>
      <w:pPr>
        <w:pStyle w:val="Heading2"/>
      </w:pPr>
      <w:r>
        <w:t>Export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Artifact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TorchScript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runs/pesq_campaign_smoke/exports/final_model.ts</w:t>
            </w:r>
          </w:p>
        </w:tc>
        <w:tc>
          <w:tcPr>
            <w:tcW w:type="dxa" w:w="2160"/>
          </w:tcPr>
          <w:p>
            <w:r>
              <w:t>orrect. We can't record the data flow of Python values, so this value will be treated as a constant in the future. This means that the trace might not generalize to other inputs!</w:t>
              <w:br/>
              <w:t xml:space="preserve">  if coeffs &lt;= c_in:</w:t>
              <w:br/>
            </w:r>
          </w:p>
        </w:tc>
      </w:tr>
      <w:tr>
        <w:tc>
          <w:tcPr>
            <w:tcW w:type="dxa" w:w="2160"/>
          </w:tcPr>
          <w:p>
            <w:r>
              <w:t>ONNX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runs/pesq_campaign_smoke/exports/final_model.onnx</w:t>
            </w:r>
          </w:p>
        </w:tc>
        <w:tc>
          <w:tcPr>
            <w:tcW w:type="dxa" w:w="2160"/>
          </w:tcPr>
          <w:p>
            <w:r>
              <w:t>e legacy exporter in this PyTorch build does not support FFT operators used by aTENNuate (for example aten::fft_rfft). Use TorchScript export or install a newer ONNX exporter stack with FFT coverage.</w:t>
              <w:br/>
            </w:r>
          </w:p>
        </w:tc>
      </w:tr>
    </w:tbl>
    <w:p>
      <w:pPr>
        <w:pStyle w:val="Heading1"/>
      </w:pPr>
      <w:r>
        <w:t>Reproducibility</w:t>
      </w:r>
    </w:p>
    <w:p>
      <w:r>
        <w:t>Config source: experiments/pesq_campaign_smoke.toml. Outputs are aggregated in campaign_summary.json and leaderboard.csv/json under the run directory.</w:t>
      </w:r>
    </w:p>
    <w:p>
      <w:r>
        <w:t>Seed principal: 1337. Seed confirmare: 2337. Fiecare direcție a fost antrenată end-to-end; smoke testele nu intră în raportul de performanță.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