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Fiche mémo — Suivre la Smart Money</w:t>
      </w:r>
    </w:p>
    <w:p>
      <w:pPr>
        <w:spacing w:after="300"/>
      </w:pPr>
      <w:r>
        <w:rPr>
          <w:i/>
          <w:iCs/>
          <w:color w:val="555555"/>
        </w:rPr>
        <w:t xml:space="preserve">Le strict nécessaire pour trader avec les indicateurs COT/MT5, sans se noyer dans les détails. À garder sous les yeux pendant l'analyse d'un graphique H4.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1. Un seul panneau = la vraie "smart money"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C'est le panneau "COT Index (Larry Williams)" — les Commerciaux. C'est LUI qu'on suit pour "suivre la trace des initiés".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Le panneau "COT Strength + RSI" (Leveraged Funds) n'est PAS la smart money — c'est la force/fraîcheur de la tendance de la foule spéculative. Utile comme contexte, pas comme signal à copier.</w:t>
            </w:r>
          </w:p>
        </w:tc>
      </w:tr>
    </w:tbl>
    <w:p>
      <w:pPr>
        <w:spacing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7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2. Lire le panneau Larry Williams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Extrême (&gt;85% ou &lt;15%) sur Commercials ET Large Spec à l'opposé = signal fort, à prendre au sérieux.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"Zone neutre" (entre 15 et 85) = rien d'exploitable seul — attendre.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Un croisement Commercials/Large Spec en zone neutre = un indice supplémentaire, mais faible et bruité — jamais un déclencheur à lui seul.</w:t>
            </w:r>
          </w:p>
          <w:p>
            <w:pPr>
              <w:spacing w:after="40"/>
            </w:pPr>
            <w:r>
              <w:rPr>
                <w:sz w:val="21"/>
              </w:rPr>
              <w:t>Le pourcentage est une position par rapport a la fourchette des 3 dernieres annees, PAS un flux en temps reel : un camp peut rester affiche a un extreme pendant que ses derniers achats/ventes reels vont deja dans l'autre sens. Avant de conclure, verifie toujours le sens de la variation des 2-3 dernieres semaines des chiffres bruts (cache COT_LW) - si elle contredit le pourcentage affiche, le signal est en decalage : prudence jusqu'au prochain rapport.</w:t>
            </w:r>
          </w:p>
        </w:tc>
      </w:tr>
    </w:tbl>
    <w:p>
      <w:pPr>
        <w:spacing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6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3. Regarder le score Confluence_Reversal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>C'est l'outil qui fait la synthese automatiquement - il donne un score sur 4 a CHAQUE camp separement (achat et vente), pas une addition globale : un critere ne vote que pour UN SEUL camp a la fois, jamais les deux.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Plus le score approche 4/4, plus c'est du sérieux. En dessous, on observe, on n'agit pas.</w:t>
            </w:r>
          </w:p>
        </w:tc>
      </w:tr>
    </w:tbl>
    <w:p>
      <w:pPr>
        <w:spacing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4. Toujours attendre une confirmation sur le PRIX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Cassure de structure, rejet net, bougie de retournement — jamais une entrée sur le COT seul, même à 4/4.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Ces indicateurs sont des outils d'ANTICIPATION, pas des déclencheurs d'entrée immédiate.</w:t>
            </w:r>
          </w:p>
        </w:tc>
      </w:tr>
    </w:tbl>
    <w:p>
      <w:pPr>
        <w:spacing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5. Gestion du risque, toujours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Taille de position : 1-2% max du compte.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Stop-loss obligatoire, sur chaque position.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Ceci reste un outil éducatif, pas un conseil en investissement personnalisé.</w:t>
            </w:r>
          </w:p>
        </w:tc>
      </w:tr>
    </w:tbl>
    <w:p>
      <w:pPr>
        <w:pBdr>
          <w:top w:val="single" w:color="AAAAAA" w:sz="6" w:space="8"/>
        </w:pBdr>
        <w:spacing w:after="100" w:before="300"/>
      </w:pPr>
      <w:r>
        <w:rPr>
          <w:i/>
          <w:iCs/>
          <w:color w:val="777777"/>
          <w:sz w:val="18"/>
          <w:szCs w:val="18"/>
        </w:rPr>
        <w:t xml:space="preserve">Le détail complet (vrais chiffres du cache CFTC, mécanismes de marché, histoires chiffrées) reste disponible à la demande dans l'analyse complète — cette fiche est le résumé pour décider vite.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2026-08-22T20:14:02.336Z</dcterms:created>
  <dcterms:modified xsi:type="dcterms:W3CDTF">2026-08-22T20:14:02.337Z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