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30C3" w:rsidRDefault="006F4D1C">
      <w:pPr>
        <w:spacing w:line="360" w:lineRule="auto"/>
        <w:jc w:val="center"/>
        <w:rPr>
          <w:rFonts w:ascii="Verdana" w:eastAsia="Verdana" w:hAnsi="Verdana" w:cs="Verdana"/>
          <w:b/>
          <w:color w:val="1155CC"/>
          <w:u w:val="single"/>
        </w:rPr>
      </w:pPr>
      <w:r>
        <w:rPr>
          <w:rFonts w:ascii="Verdana" w:eastAsia="Verdana" w:hAnsi="Verdana" w:cs="Verdana"/>
          <w:b/>
          <w:color w:val="1155CC"/>
          <w:u w:val="single"/>
        </w:rPr>
        <w:t>Pour améliorer l'analyse et enrichir les données, voici quelques suggestions</w:t>
      </w:r>
    </w:p>
    <w:p w14:paraId="00000002" w14:textId="77777777" w:rsidR="008C30C3" w:rsidRDefault="008C30C3">
      <w:pPr>
        <w:spacing w:line="360" w:lineRule="auto"/>
        <w:jc w:val="center"/>
        <w:rPr>
          <w:rFonts w:ascii="Verdana" w:eastAsia="Verdana" w:hAnsi="Verdana" w:cs="Verdana"/>
          <w:b/>
          <w:color w:val="1155CC"/>
          <w:u w:val="single"/>
        </w:rPr>
      </w:pPr>
    </w:p>
    <w:p w14:paraId="00000003" w14:textId="77777777" w:rsidR="008C30C3" w:rsidRDefault="008C30C3">
      <w:pPr>
        <w:spacing w:line="360" w:lineRule="auto"/>
        <w:rPr>
          <w:rFonts w:ascii="Verdana" w:eastAsia="Verdana" w:hAnsi="Verdana" w:cs="Verdana"/>
          <w:b/>
        </w:rPr>
      </w:pPr>
    </w:p>
    <w:p w14:paraId="00000004" w14:textId="4316B12E" w:rsidR="008C30C3" w:rsidRDefault="006F4D1C">
      <w:pPr>
        <w:spacing w:line="360" w:lineRule="auto"/>
        <w:rPr>
          <w:rFonts w:ascii="Verdana" w:eastAsia="Verdana" w:hAnsi="Verdana" w:cs="Verdana"/>
          <w:b/>
        </w:rPr>
      </w:pPr>
      <w:r>
        <w:rPr>
          <w:rFonts w:ascii="Verdana" w:eastAsia="Verdana" w:hAnsi="Verdana" w:cs="Verdana"/>
          <w:b/>
        </w:rPr>
        <w:t>1. Indicateurs de performance supplémentaires :</w:t>
      </w:r>
      <w:r>
        <w:rPr>
          <w:rFonts w:ascii="Verdana" w:eastAsia="Verdana" w:hAnsi="Verdana" w:cs="Verdana"/>
          <w:b/>
        </w:rPr>
        <w:t xml:space="preserve">  </w:t>
      </w:r>
    </w:p>
    <w:p w14:paraId="00000005" w14:textId="77777777" w:rsidR="008C30C3" w:rsidRDefault="006F4D1C">
      <w:pPr>
        <w:numPr>
          <w:ilvl w:val="0"/>
          <w:numId w:val="3"/>
        </w:numPr>
        <w:spacing w:line="360" w:lineRule="auto"/>
        <w:rPr>
          <w:rFonts w:ascii="Verdana" w:eastAsia="Verdana" w:hAnsi="Verdana" w:cs="Verdana"/>
        </w:rPr>
      </w:pPr>
      <w:r>
        <w:rPr>
          <w:rFonts w:ascii="Verdana" w:eastAsia="Verdana" w:hAnsi="Verdana" w:cs="Verdana"/>
        </w:rPr>
        <w:t>En intégrant des métriques telles que le taux de renouvellement des infrastructures et la qualité de l'eau, vous pouvez mieux évaluer l'efficacité des systèmes d'eau potable existants et identifier les domaines nécessitant des améliorations.</w:t>
      </w:r>
    </w:p>
    <w:p w14:paraId="00000006" w14:textId="77777777" w:rsidR="008C30C3" w:rsidRDefault="008C30C3">
      <w:pPr>
        <w:spacing w:line="360" w:lineRule="auto"/>
        <w:rPr>
          <w:rFonts w:ascii="Verdana" w:eastAsia="Verdana" w:hAnsi="Verdana" w:cs="Verdana"/>
        </w:rPr>
      </w:pPr>
    </w:p>
    <w:p w14:paraId="00000007" w14:textId="77777777" w:rsidR="008C30C3" w:rsidRDefault="006F4D1C">
      <w:pPr>
        <w:spacing w:line="360" w:lineRule="auto"/>
        <w:rPr>
          <w:rFonts w:ascii="Verdana" w:eastAsia="Verdana" w:hAnsi="Verdana" w:cs="Verdana"/>
          <w:b/>
        </w:rPr>
      </w:pPr>
      <w:r>
        <w:rPr>
          <w:rFonts w:ascii="Verdana" w:eastAsia="Verdana" w:hAnsi="Verdana" w:cs="Verdana"/>
          <w:b/>
        </w:rPr>
        <w:t>2. Analyse de</w:t>
      </w:r>
      <w:r>
        <w:rPr>
          <w:rFonts w:ascii="Verdana" w:eastAsia="Verdana" w:hAnsi="Verdana" w:cs="Verdana"/>
          <w:b/>
        </w:rPr>
        <w:t xml:space="preserve"> la demande et des besoins :</w:t>
      </w:r>
    </w:p>
    <w:p w14:paraId="00000008" w14:textId="77777777" w:rsidR="008C30C3" w:rsidRDefault="006F4D1C">
      <w:pPr>
        <w:numPr>
          <w:ilvl w:val="0"/>
          <w:numId w:val="4"/>
        </w:numPr>
        <w:spacing w:line="360" w:lineRule="auto"/>
        <w:rPr>
          <w:rFonts w:ascii="Verdana" w:eastAsia="Verdana" w:hAnsi="Verdana" w:cs="Verdana"/>
        </w:rPr>
      </w:pPr>
      <w:r>
        <w:rPr>
          <w:rFonts w:ascii="Verdana" w:eastAsia="Verdana" w:hAnsi="Verdana" w:cs="Verdana"/>
        </w:rPr>
        <w:t>En comprenant les tendances démographiques, économiques et environnementales, vous pouvez déterminer les besoins spécifiques des populations dans chaque région, ce qui permet d'adapter les solutions en fonction des conditions l</w:t>
      </w:r>
      <w:r>
        <w:rPr>
          <w:rFonts w:ascii="Verdana" w:eastAsia="Verdana" w:hAnsi="Verdana" w:cs="Verdana"/>
        </w:rPr>
        <w:t>ocales.</w:t>
      </w:r>
    </w:p>
    <w:p w14:paraId="00000009" w14:textId="77777777" w:rsidR="008C30C3" w:rsidRDefault="008C30C3">
      <w:pPr>
        <w:spacing w:line="360" w:lineRule="auto"/>
        <w:rPr>
          <w:rFonts w:ascii="Verdana" w:eastAsia="Verdana" w:hAnsi="Verdana" w:cs="Verdana"/>
          <w:b/>
        </w:rPr>
      </w:pPr>
    </w:p>
    <w:p w14:paraId="0000000A" w14:textId="77777777" w:rsidR="008C30C3" w:rsidRDefault="006F4D1C">
      <w:pPr>
        <w:spacing w:line="360" w:lineRule="auto"/>
        <w:rPr>
          <w:rFonts w:ascii="Verdana" w:eastAsia="Verdana" w:hAnsi="Verdana" w:cs="Verdana"/>
          <w:b/>
        </w:rPr>
      </w:pPr>
      <w:r>
        <w:rPr>
          <w:rFonts w:ascii="Verdana" w:eastAsia="Verdana" w:hAnsi="Verdana" w:cs="Verdana"/>
          <w:b/>
        </w:rPr>
        <w:t>3.Évaluation de l'impact socio-économique :</w:t>
      </w:r>
    </w:p>
    <w:p w14:paraId="0000000B" w14:textId="77777777" w:rsidR="008C30C3" w:rsidRDefault="006F4D1C">
      <w:pPr>
        <w:numPr>
          <w:ilvl w:val="0"/>
          <w:numId w:val="1"/>
        </w:numPr>
        <w:spacing w:line="360" w:lineRule="auto"/>
        <w:rPr>
          <w:rFonts w:ascii="Verdana" w:eastAsia="Verdana" w:hAnsi="Verdana" w:cs="Verdana"/>
        </w:rPr>
      </w:pPr>
      <w:r>
        <w:rPr>
          <w:rFonts w:ascii="Verdana" w:eastAsia="Verdana" w:hAnsi="Verdana" w:cs="Verdana"/>
        </w:rPr>
        <w:t>En analysant les effets de l'accès à l'eau potable sur des indicateurs socio-économiques tels que la santé, l'éducation et la productivité économique, vous pouvez démontrer les bénéfices tangibles de ces</w:t>
      </w:r>
      <w:r>
        <w:rPr>
          <w:rFonts w:ascii="Verdana" w:eastAsia="Verdana" w:hAnsi="Verdana" w:cs="Verdana"/>
        </w:rPr>
        <w:t xml:space="preserve"> investissements et justifier davantage les ressources allouées.</w:t>
      </w:r>
    </w:p>
    <w:p w14:paraId="0000000C" w14:textId="77777777" w:rsidR="008C30C3" w:rsidRDefault="008C30C3">
      <w:pPr>
        <w:spacing w:line="360" w:lineRule="auto"/>
        <w:rPr>
          <w:rFonts w:ascii="Verdana" w:eastAsia="Verdana" w:hAnsi="Verdana" w:cs="Verdana"/>
        </w:rPr>
      </w:pPr>
    </w:p>
    <w:p w14:paraId="0000000D" w14:textId="77777777" w:rsidR="008C30C3" w:rsidRDefault="006F4D1C">
      <w:pPr>
        <w:spacing w:line="360" w:lineRule="auto"/>
        <w:rPr>
          <w:rFonts w:ascii="Verdana" w:eastAsia="Verdana" w:hAnsi="Verdana" w:cs="Verdana"/>
          <w:b/>
        </w:rPr>
      </w:pPr>
      <w:r>
        <w:rPr>
          <w:rFonts w:ascii="Verdana" w:eastAsia="Verdana" w:hAnsi="Verdana" w:cs="Verdana"/>
          <w:b/>
        </w:rPr>
        <w:t>4. Analyse comparative et benchmarking :</w:t>
      </w:r>
    </w:p>
    <w:p w14:paraId="0000000E" w14:textId="77777777" w:rsidR="008C30C3" w:rsidRDefault="006F4D1C">
      <w:pPr>
        <w:numPr>
          <w:ilvl w:val="0"/>
          <w:numId w:val="2"/>
        </w:numPr>
        <w:spacing w:line="360" w:lineRule="auto"/>
        <w:rPr>
          <w:rFonts w:ascii="Verdana" w:eastAsia="Verdana" w:hAnsi="Verdana" w:cs="Verdana"/>
        </w:rPr>
      </w:pPr>
      <w:r>
        <w:rPr>
          <w:rFonts w:ascii="Verdana" w:eastAsia="Verdana" w:hAnsi="Verdana" w:cs="Verdana"/>
        </w:rPr>
        <w:t>En comparant les performances des différents pays et régions, vous pouvez identifier les meilleures pratiques et les stratégies les plus efficaces po</w:t>
      </w:r>
      <w:r>
        <w:rPr>
          <w:rFonts w:ascii="Verdana" w:eastAsia="Verdana" w:hAnsi="Verdana" w:cs="Verdana"/>
        </w:rPr>
        <w:t>ur améliorer l'accès à l'eau potable, ce qui permet d'optimiser les interventions futures.</w:t>
      </w:r>
    </w:p>
    <w:p w14:paraId="0000000F" w14:textId="77777777" w:rsidR="008C30C3" w:rsidRDefault="008C30C3">
      <w:pPr>
        <w:spacing w:line="360" w:lineRule="auto"/>
        <w:rPr>
          <w:rFonts w:ascii="Verdana" w:eastAsia="Verdana" w:hAnsi="Verdana" w:cs="Verdana"/>
        </w:rPr>
      </w:pPr>
    </w:p>
    <w:p w14:paraId="00000010" w14:textId="77777777" w:rsidR="008C30C3" w:rsidRDefault="006F4D1C">
      <w:pPr>
        <w:spacing w:line="360" w:lineRule="auto"/>
        <w:rPr>
          <w:rFonts w:ascii="Verdana" w:eastAsia="Verdana" w:hAnsi="Verdana" w:cs="Verdana"/>
          <w:b/>
        </w:rPr>
      </w:pPr>
      <w:r>
        <w:rPr>
          <w:rFonts w:ascii="Verdana" w:eastAsia="Verdana" w:hAnsi="Verdana" w:cs="Verdana"/>
          <w:b/>
        </w:rPr>
        <w:t xml:space="preserve">5. Collecte de données supplémentaires : </w:t>
      </w:r>
    </w:p>
    <w:p w14:paraId="00000011" w14:textId="77777777" w:rsidR="008C30C3" w:rsidRDefault="006F4D1C">
      <w:pPr>
        <w:numPr>
          <w:ilvl w:val="0"/>
          <w:numId w:val="5"/>
        </w:numPr>
        <w:spacing w:line="360" w:lineRule="auto"/>
        <w:rPr>
          <w:rFonts w:ascii="Verdana" w:eastAsia="Verdana" w:hAnsi="Verdana" w:cs="Verdana"/>
        </w:rPr>
      </w:pPr>
      <w:r>
        <w:rPr>
          <w:rFonts w:ascii="Verdana" w:eastAsia="Verdana" w:hAnsi="Verdana" w:cs="Verdana"/>
        </w:rPr>
        <w:t>En explorant des sources de données variées, vous pouvez enrichir votre analyse et obtenir une compréhension plus approfon</w:t>
      </w:r>
      <w:r>
        <w:rPr>
          <w:rFonts w:ascii="Verdana" w:eastAsia="Verdana" w:hAnsi="Verdana" w:cs="Verdana"/>
        </w:rPr>
        <w:t>die de la situation. Cela peut inclure des données sur les politiques gouvernementales, les initiatives de développement, les conditions environnementales et les perceptions communautaires.</w:t>
      </w:r>
    </w:p>
    <w:p w14:paraId="00000012" w14:textId="77777777" w:rsidR="008C30C3" w:rsidRDefault="008C30C3">
      <w:pPr>
        <w:spacing w:line="360" w:lineRule="auto"/>
        <w:rPr>
          <w:rFonts w:ascii="Verdana" w:eastAsia="Verdana" w:hAnsi="Verdana" w:cs="Verdana"/>
        </w:rPr>
      </w:pPr>
    </w:p>
    <w:p w14:paraId="00000013" w14:textId="77777777" w:rsidR="008C30C3" w:rsidRDefault="006F4D1C">
      <w:pPr>
        <w:spacing w:line="360" w:lineRule="auto"/>
        <w:rPr>
          <w:rFonts w:ascii="Verdana" w:eastAsia="Verdana" w:hAnsi="Verdana" w:cs="Verdana"/>
        </w:rPr>
      </w:pPr>
      <w:r>
        <w:rPr>
          <w:rFonts w:ascii="Verdana" w:eastAsia="Verdana" w:hAnsi="Verdana" w:cs="Verdana"/>
        </w:rPr>
        <w:lastRenderedPageBreak/>
        <w:t>En combinant ces approches, vous pouvez fournir des recommandatio</w:t>
      </w:r>
      <w:r>
        <w:rPr>
          <w:rFonts w:ascii="Verdana" w:eastAsia="Verdana" w:hAnsi="Verdana" w:cs="Verdana"/>
        </w:rPr>
        <w:t>ns plus robustes et éclairées pour améliorer l'accès à l'eau potable, contribuant ainsi à répondre aux besoins critiques des populations les plus vulnérables.</w:t>
      </w:r>
    </w:p>
    <w:p w14:paraId="00000014" w14:textId="77777777" w:rsidR="008C30C3" w:rsidRDefault="008C30C3">
      <w:pPr>
        <w:spacing w:line="360" w:lineRule="auto"/>
        <w:rPr>
          <w:rFonts w:ascii="Verdana" w:eastAsia="Verdana" w:hAnsi="Verdana" w:cs="Verdana"/>
        </w:rPr>
      </w:pPr>
    </w:p>
    <w:p w14:paraId="00000015" w14:textId="77777777" w:rsidR="008C30C3" w:rsidRDefault="008C30C3">
      <w:pPr>
        <w:spacing w:line="360" w:lineRule="auto"/>
        <w:rPr>
          <w:rFonts w:ascii="Verdana" w:eastAsia="Verdana" w:hAnsi="Verdana" w:cs="Verdana"/>
        </w:rPr>
      </w:pPr>
    </w:p>
    <w:p w14:paraId="00000016" w14:textId="77777777" w:rsidR="008C30C3" w:rsidRDefault="006F4D1C">
      <w:pPr>
        <w:spacing w:line="360" w:lineRule="auto"/>
        <w:rPr>
          <w:rFonts w:ascii="Verdana" w:eastAsia="Verdana" w:hAnsi="Verdana" w:cs="Verdana"/>
          <w:b/>
        </w:rPr>
      </w:pPr>
      <w:r>
        <w:rPr>
          <w:rFonts w:ascii="Verdana" w:eastAsia="Verdana" w:hAnsi="Verdana" w:cs="Verdana"/>
          <w:b/>
        </w:rPr>
        <w:t>Où collecter des données sur l'accès à l'eau potable :</w:t>
      </w:r>
    </w:p>
    <w:p w14:paraId="00000017" w14:textId="77777777" w:rsidR="008C30C3" w:rsidRDefault="008C30C3">
      <w:pPr>
        <w:spacing w:line="360" w:lineRule="auto"/>
        <w:rPr>
          <w:rFonts w:ascii="Verdana" w:eastAsia="Verdana" w:hAnsi="Verdana" w:cs="Verdana"/>
        </w:rPr>
      </w:pPr>
    </w:p>
    <w:p w14:paraId="00000018" w14:textId="77777777" w:rsidR="008C30C3" w:rsidRDefault="006F4D1C">
      <w:pPr>
        <w:spacing w:line="360" w:lineRule="auto"/>
        <w:rPr>
          <w:rFonts w:ascii="Verdana" w:eastAsia="Verdana" w:hAnsi="Verdana" w:cs="Verdana"/>
        </w:rPr>
      </w:pPr>
      <w:r>
        <w:rPr>
          <w:rFonts w:ascii="Verdana" w:eastAsia="Verdana" w:hAnsi="Verdana" w:cs="Verdana"/>
        </w:rPr>
        <w:t>1. Organisation mondiale de la santé (OMS)</w:t>
      </w:r>
    </w:p>
    <w:p w14:paraId="00000019" w14:textId="77777777" w:rsidR="008C30C3" w:rsidRDefault="006F4D1C">
      <w:pPr>
        <w:spacing w:line="360" w:lineRule="auto"/>
        <w:rPr>
          <w:rFonts w:ascii="Verdana" w:eastAsia="Verdana" w:hAnsi="Verdana" w:cs="Verdana"/>
        </w:rPr>
      </w:pPr>
      <w:r>
        <w:rPr>
          <w:rFonts w:ascii="Verdana" w:eastAsia="Verdana" w:hAnsi="Verdana" w:cs="Verdana"/>
        </w:rPr>
        <w:t>2. Programme des Nations unies pour le développement (PNUD)</w:t>
      </w:r>
    </w:p>
    <w:p w14:paraId="0000001A" w14:textId="77777777" w:rsidR="008C30C3" w:rsidRDefault="006F4D1C">
      <w:pPr>
        <w:spacing w:line="360" w:lineRule="auto"/>
        <w:rPr>
          <w:rFonts w:ascii="Verdana" w:eastAsia="Verdana" w:hAnsi="Verdana" w:cs="Verdana"/>
        </w:rPr>
      </w:pPr>
      <w:r>
        <w:rPr>
          <w:rFonts w:ascii="Verdana" w:eastAsia="Verdana" w:hAnsi="Verdana" w:cs="Verdana"/>
        </w:rPr>
        <w:t>3. UNICEF</w:t>
      </w:r>
    </w:p>
    <w:p w14:paraId="0000001B" w14:textId="77777777" w:rsidR="008C30C3" w:rsidRDefault="006F4D1C">
      <w:pPr>
        <w:spacing w:line="360" w:lineRule="auto"/>
        <w:rPr>
          <w:rFonts w:ascii="Verdana" w:eastAsia="Verdana" w:hAnsi="Verdana" w:cs="Verdana"/>
        </w:rPr>
      </w:pPr>
      <w:r>
        <w:rPr>
          <w:rFonts w:ascii="Verdana" w:eastAsia="Verdana" w:hAnsi="Verdana" w:cs="Verdana"/>
        </w:rPr>
        <w:t>4. Sites Web des ministères de la santé, de l'environnement ou des ressources en eau des gouvernements nationaux</w:t>
      </w:r>
    </w:p>
    <w:p w14:paraId="0000001C" w14:textId="77777777" w:rsidR="008C30C3" w:rsidRDefault="006F4D1C">
      <w:pPr>
        <w:spacing w:line="360" w:lineRule="auto"/>
        <w:rPr>
          <w:rFonts w:ascii="Verdana" w:eastAsia="Verdana" w:hAnsi="Verdana" w:cs="Verdana"/>
        </w:rPr>
      </w:pPr>
      <w:r>
        <w:rPr>
          <w:rFonts w:ascii="Verdana" w:eastAsia="Verdana" w:hAnsi="Verdana" w:cs="Verdana"/>
        </w:rPr>
        <w:t>5. Banque mondiale</w:t>
      </w:r>
    </w:p>
    <w:p w14:paraId="0000001D" w14:textId="77777777" w:rsidR="008C30C3" w:rsidRDefault="006F4D1C">
      <w:pPr>
        <w:spacing w:line="360" w:lineRule="auto"/>
        <w:rPr>
          <w:rFonts w:ascii="Verdana" w:eastAsia="Verdana" w:hAnsi="Verdana" w:cs="Verdana"/>
        </w:rPr>
      </w:pPr>
      <w:r>
        <w:rPr>
          <w:rFonts w:ascii="Verdana" w:eastAsia="Verdana" w:hAnsi="Verdana" w:cs="Verdana"/>
        </w:rPr>
        <w:t>6. Organisa</w:t>
      </w:r>
      <w:r>
        <w:rPr>
          <w:rFonts w:ascii="Verdana" w:eastAsia="Verdana" w:hAnsi="Verdana" w:cs="Verdana"/>
        </w:rPr>
        <w:t>tion des Nations unies pour l'alimentation et l'agriculture (FAO)</w:t>
      </w:r>
    </w:p>
    <w:p w14:paraId="0000001E" w14:textId="77777777" w:rsidR="008C30C3" w:rsidRDefault="006F4D1C">
      <w:pPr>
        <w:spacing w:line="360" w:lineRule="auto"/>
        <w:rPr>
          <w:rFonts w:ascii="Verdana" w:eastAsia="Verdana" w:hAnsi="Verdana" w:cs="Verdana"/>
        </w:rPr>
      </w:pPr>
      <w:r>
        <w:rPr>
          <w:rFonts w:ascii="Verdana" w:eastAsia="Verdana" w:hAnsi="Verdana" w:cs="Verdana"/>
        </w:rPr>
        <w:t>7. Banque asiatique de développement (ADB)</w:t>
      </w:r>
    </w:p>
    <w:p w14:paraId="0000001F" w14:textId="77777777" w:rsidR="008C30C3" w:rsidRDefault="006F4D1C">
      <w:pPr>
        <w:spacing w:line="360" w:lineRule="auto"/>
        <w:rPr>
          <w:rFonts w:ascii="Verdana" w:eastAsia="Verdana" w:hAnsi="Verdana" w:cs="Verdana"/>
        </w:rPr>
      </w:pPr>
      <w:r>
        <w:rPr>
          <w:rFonts w:ascii="Verdana" w:eastAsia="Verdana" w:hAnsi="Verdana" w:cs="Verdana"/>
        </w:rPr>
        <w:t>8. Études de recherche universitaires</w:t>
      </w:r>
    </w:p>
    <w:p w14:paraId="00000020" w14:textId="77777777" w:rsidR="008C30C3" w:rsidRDefault="006F4D1C">
      <w:pPr>
        <w:spacing w:line="360" w:lineRule="auto"/>
        <w:rPr>
          <w:rFonts w:ascii="Verdana" w:eastAsia="Verdana" w:hAnsi="Verdana" w:cs="Verdana"/>
        </w:rPr>
      </w:pPr>
      <w:r>
        <w:rPr>
          <w:rFonts w:ascii="Verdana" w:eastAsia="Verdana" w:hAnsi="Verdana" w:cs="Verdana"/>
        </w:rPr>
        <w:t>9. Rapports d'organisations non gouvernementales (ONG)</w:t>
      </w:r>
    </w:p>
    <w:p w14:paraId="00000021" w14:textId="77777777" w:rsidR="008C30C3" w:rsidRDefault="006F4D1C">
      <w:pPr>
        <w:spacing w:line="360" w:lineRule="auto"/>
        <w:rPr>
          <w:rFonts w:ascii="Verdana" w:eastAsia="Verdana" w:hAnsi="Verdana" w:cs="Verdana"/>
        </w:rPr>
      </w:pPr>
      <w:r>
        <w:rPr>
          <w:rFonts w:ascii="Verdana" w:eastAsia="Verdana" w:hAnsi="Verdana" w:cs="Verdana"/>
        </w:rPr>
        <w:t>10. Publications spécialisées dans le domaine de l'eau</w:t>
      </w:r>
      <w:r>
        <w:rPr>
          <w:rFonts w:ascii="Verdana" w:eastAsia="Verdana" w:hAnsi="Verdana" w:cs="Verdana"/>
        </w:rPr>
        <w:t xml:space="preserve"> et de l'assainissement</w:t>
      </w:r>
    </w:p>
    <w:p w14:paraId="00000022" w14:textId="77777777" w:rsidR="008C30C3" w:rsidRDefault="006F4D1C">
      <w:pPr>
        <w:spacing w:line="360" w:lineRule="auto"/>
        <w:rPr>
          <w:rFonts w:ascii="Verdana" w:eastAsia="Verdana" w:hAnsi="Verdana" w:cs="Verdana"/>
        </w:rPr>
      </w:pPr>
      <w:r>
        <w:rPr>
          <w:rFonts w:ascii="Verdana" w:eastAsia="Verdana" w:hAnsi="Verdana" w:cs="Verdana"/>
        </w:rPr>
        <w:t>11. Enquêtes sur le terrain menées par des chercheurs, des organisations humanitaires ou des ONG locales.</w:t>
      </w:r>
    </w:p>
    <w:p w14:paraId="00000023" w14:textId="77777777" w:rsidR="008C30C3" w:rsidRDefault="008C30C3"/>
    <w:sectPr w:rsidR="008C30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499"/>
    <w:multiLevelType w:val="multilevel"/>
    <w:tmpl w:val="B518E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E90BD9"/>
    <w:multiLevelType w:val="multilevel"/>
    <w:tmpl w:val="84124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9D469B"/>
    <w:multiLevelType w:val="multilevel"/>
    <w:tmpl w:val="D20ED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180A0F"/>
    <w:multiLevelType w:val="multilevel"/>
    <w:tmpl w:val="39747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6D1F9E"/>
    <w:multiLevelType w:val="multilevel"/>
    <w:tmpl w:val="68F4D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0C3"/>
    <w:rsid w:val="006F4D1C"/>
    <w:rsid w:val="008C30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77DE8E-9963-4EB2-869C-2E4B6152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2137</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 O</cp:lastModifiedBy>
  <cp:revision>3</cp:revision>
  <dcterms:created xsi:type="dcterms:W3CDTF">2024-04-18T12:27:00Z</dcterms:created>
  <dcterms:modified xsi:type="dcterms:W3CDTF">2024-04-18T12:27:00Z</dcterms:modified>
</cp:coreProperties>
</file>