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00"/>
          <w:sz w:val="32"/>
        </w:rPr>
        <w:t>Spring Courier: Biblioteca CQRS para Spring Boot</w:t>
      </w:r>
    </w:p>
    <w:p>
      <w:pPr>
        <w:jc w:val="center"/>
      </w:pPr>
      <w:r>
        <w:rPr>
          <w:i/>
          <w:color w:val="505050"/>
          <w:sz w:val="26"/>
        </w:rPr>
        <w:t>Descrição do Projeto para Trabalho de Conclusão de Curso (TCC)</w:t>
      </w:r>
    </w:p>
    <w:p/>
    <w:p>
      <w:pPr>
        <w:pStyle w:val="Heading1"/>
      </w:pPr>
      <w:r>
        <w:t>1. Introdução</w:t>
      </w:r>
    </w:p>
    <w:p>
      <w:r>
        <w:t>O Spring Courier é uma biblioteca open source desenvolvida em Java para o ecossistema Spring Boot, cujo objetivo principal é simplificar a implementação do padrão arquitetural CQRS (Command Query Responsibility Segregation) combinado com o padrão Mediator. Inspirada na biblioteca MediatR, amplamente utilizada no ecossistema .NET, o Spring Courier preenche uma lacuna existente no universo Java, oferecendo uma solução leve, extensível e de fácil integração para aplicações baseadas em Spring Boot.</w:t>
      </w:r>
    </w:p>
    <w:p>
      <w:r>
        <w:t>A biblioteca foi concebida não apenas como uma ferramenta técnica, mas também como uma contribuição para a comunidade de desenvolvedores Java. Publicada no Maven Central sob a coordenada io.github.valossa515:spring-courier, ela está disponível para qualquer desenvolvedor que deseje adotar o padrão CQRS em seus projetos Spring Boot, promovendo boas práticas de arquitetura de software, desacoplamento de componentes e manutenibilidade do código.</w:t>
      </w:r>
    </w:p>
    <w:p>
      <w:pPr>
        <w:pStyle w:val="Heading1"/>
      </w:pPr>
      <w:r>
        <w:t>2. Contextualização e Motivação</w:t>
      </w:r>
    </w:p>
    <w:p>
      <w:r>
        <w:t>No cenário atual de desenvolvimento de software, a arquitetura de microsserviços tornou-se uma abordagem predominante para a construção de sistemas distribuídos, escaláveis e resilientes. Dentro desse paradigma, o padrão CQRS surge como uma estratégia eficaz para separar as responsabilidades de leitura (queries) e escrita (commands), proporcionando maior clareza arquitetural, otimização de desempenho e facilidade de evolução do sistema.</w:t>
      </w:r>
    </w:p>
    <w:p>
      <w:r>
        <w:t>Apesar de amplamente adotado em plataformas como .NET — onde o MediatR se consolidou como referência — o ecossistema Java/Spring Boot carecia de uma biblioteca equivalente que oferecesse a mesma simplicidade e poder. Essa lacuna motivou o desenvolvimento do Spring Courier, com o propósito de democratizar o acesso ao padrão CQRS para a vasta comunidade de desenvolvedores Spring Boot.</w:t>
      </w:r>
    </w:p>
    <w:p>
      <w:pPr>
        <w:pStyle w:val="Heading1"/>
      </w:pPr>
      <w:r>
        <w:t>3. Objetivos do Projeto</w:t>
      </w:r>
    </w:p>
    <w:p>
      <w:pPr>
        <w:pStyle w:val="Heading2"/>
      </w:pPr>
      <w:r>
        <w:t>3.1. Objetivo Geral</w:t>
      </w:r>
    </w:p>
    <w:p>
      <w:r>
        <w:t>Desenvolver uma biblioteca open source para o ecossistema Spring Boot que implemente o padrão CQRS + Mediator, e avaliar sua eficiência por meio de um estudo comparativo entre microsserviços que utilizam a biblioteca e microsserviços que não a utilizam.</w:t>
      </w:r>
    </w:p>
    <w:p>
      <w:pPr>
        <w:pStyle w:val="Heading2"/>
      </w:pPr>
      <w:r>
        <w:t>3.2. Objetivos Específicos</w:t>
      </w:r>
    </w:p>
    <w:p>
      <w:pPr>
        <w:pStyle w:val="ListBullet"/>
      </w:pPr>
      <w:r>
        <w:t>Projetar e implementar a biblioteca Spring Courier com suporte a Command Handlers, Query Handlers, Notification/Event Publishing, Validation Pipeline e execução assíncrona;</w:t>
      </w:r>
    </w:p>
    <w:p>
      <w:pPr>
        <w:pStyle w:val="ListBullet"/>
      </w:pPr>
      <w:r>
        <w:t>Publicar a biblioteca no repositório Maven Central, tornando-a acessível para toda a comunidade de desenvolvedores Java;</w:t>
      </w:r>
    </w:p>
    <w:p>
      <w:pPr>
        <w:pStyle w:val="ListBullet"/>
      </w:pPr>
      <w:r>
        <w:t>Criar uma documentação completa e abrangente, incluindo diagramas UML (arquitetura, classes, sequência, atividades, casos de uso, componentes, implantação e estados);</w:t>
      </w:r>
    </w:p>
    <w:p>
      <w:pPr>
        <w:pStyle w:val="ListBullet"/>
      </w:pPr>
      <w:r>
        <w:t>Desenvolver dois microsserviços de referência: um utilizando o Spring Courier (com padrão CQRS) e outro sem a biblioteca (arquitetura tradicional), ambos com funcionalidades equivalentes;</w:t>
      </w:r>
    </w:p>
    <w:p>
      <w:pPr>
        <w:pStyle w:val="ListBullet"/>
      </w:pPr>
      <w:r>
        <w:t>Realizar a coleta e análise de métricas de desempenho, incluindo tempo de resposta, throughput, utilização de recursos (CPU e memória), escalabilidade e manutenibilidade do código;</w:t>
      </w:r>
    </w:p>
    <w:p>
      <w:pPr>
        <w:pStyle w:val="ListBullet"/>
      </w:pPr>
      <w:r>
        <w:t>Comparar os resultados obtidos para demonstrar os ganhos de eficiência e qualidade proporcionados pela adoção do padrão CQRS com o Spring Courier.</w:t>
      </w:r>
    </w:p>
    <w:p>
      <w:pPr>
        <w:pStyle w:val="Heading1"/>
      </w:pPr>
      <w:r>
        <w:t>4. Características Técnicas da Biblioteca</w:t>
      </w:r>
    </w:p>
    <w:p>
      <w:r>
        <w:t>O Spring Courier foi desenvolvido utilizando as seguintes tecnologias e práticas:</w:t>
      </w:r>
    </w:p>
    <w:p>
      <w:pPr>
        <w:pStyle w:val="ListBullet"/>
      </w:pPr>
      <w:r>
        <w:t>Java 17+ como linguagem base;</w:t>
      </w:r>
    </w:p>
    <w:p>
      <w:pPr>
        <w:pStyle w:val="ListBullet"/>
      </w:pPr>
      <w:r>
        <w:t>Spring Boot 3.5.x como framework de suporte;</w:t>
      </w:r>
    </w:p>
    <w:p>
      <w:pPr>
        <w:pStyle w:val="ListBullet"/>
      </w:pPr>
      <w:r>
        <w:t>Spring Context para injeção de dependências e descoberta automática de handlers;</w:t>
      </w:r>
    </w:p>
    <w:p>
      <w:pPr>
        <w:pStyle w:val="ListBullet"/>
      </w:pPr>
      <w:r>
        <w:t>SLF4J para logging padronizado;</w:t>
      </w:r>
    </w:p>
    <w:p>
      <w:pPr>
        <w:pStyle w:val="ListBullet"/>
      </w:pPr>
      <w:r>
        <w:t>Jackson para serialização/deserialização JSON;</w:t>
      </w:r>
    </w:p>
    <w:p>
      <w:pPr>
        <w:pStyle w:val="ListBullet"/>
      </w:pPr>
      <w:r>
        <w:t>Maven como sistema de build e gerenciamento de dependências;</w:t>
      </w:r>
    </w:p>
    <w:p>
      <w:pPr>
        <w:pStyle w:val="ListBullet"/>
      </w:pPr>
      <w:r>
        <w:t>JUnit 5 + Spring Boot Test para testes unitários e de integração;</w:t>
      </w:r>
    </w:p>
    <w:p>
      <w:pPr>
        <w:pStyle w:val="ListBullet"/>
      </w:pPr>
      <w:r>
        <w:t>JaCoCo para cobertura de código;</w:t>
      </w:r>
    </w:p>
    <w:p>
      <w:pPr>
        <w:pStyle w:val="ListBullet"/>
      </w:pPr>
      <w:r>
        <w:t>Checkstyle para garantia de qualidade e consistência do código;</w:t>
      </w:r>
    </w:p>
    <w:p>
      <w:pPr>
        <w:pStyle w:val="ListBullet"/>
      </w:pPr>
      <w:r>
        <w:t>SonarQube para análise estática de código;</w:t>
      </w:r>
    </w:p>
    <w:p>
      <w:pPr>
        <w:pStyle w:val="ListBullet"/>
      </w:pPr>
      <w:r>
        <w:t>GitHub Actions para integração contínua e publicação automatizada no Maven Central.</w:t>
      </w:r>
    </w:p>
    <w:p>
      <w:pPr>
        <w:pStyle w:val="Heading2"/>
      </w:pPr>
      <w:r>
        <w:t>4.1. Principais Funcionalidades</w:t>
      </w:r>
    </w:p>
    <w:p>
      <w:r>
        <w:rPr>
          <w:b/>
        </w:rPr>
        <w:t xml:space="preserve">Command Handlers: </w:t>
      </w:r>
      <w:r>
        <w:t>Processamento de operações que modificam estado, com tipagem segura e suporte a respostas genéricas.</w:t>
      </w:r>
    </w:p>
    <w:p>
      <w:r>
        <w:rPr>
          <w:b/>
        </w:rPr>
        <w:t xml:space="preserve">Query Handlers: </w:t>
      </w:r>
      <w:r>
        <w:t>Busca de dados sem efeitos colaterais, permitindo otimizações específicas para leitura.</w:t>
      </w:r>
    </w:p>
    <w:p>
      <w:r>
        <w:rPr>
          <w:b/>
        </w:rPr>
        <w:t xml:space="preserve">Notification/Event Publishing: </w:t>
      </w:r>
      <w:r>
        <w:t>Publicação de eventos no modelo pub/sub para múltiplos handlers, com suporte síncrono e assíncrono.</w:t>
      </w:r>
    </w:p>
    <w:p>
      <w:r>
        <w:rPr>
          <w:b/>
        </w:rPr>
        <w:t xml:space="preserve">Validation Pipeline: </w:t>
      </w:r>
      <w:r>
        <w:t>Validação automática de requisições antes da execução do handler, com suporte a pipeline behaviors extensíveis.</w:t>
      </w:r>
    </w:p>
    <w:p>
      <w:r>
        <w:rPr>
          <w:b/>
        </w:rPr>
        <w:t xml:space="preserve">Auto-configuração Spring: </w:t>
      </w:r>
      <w:r>
        <w:t>Descoberta e registro automático de handlers via IoC do Spring, sem necessidade de configuração adicional (plug and play).</w:t>
      </w:r>
    </w:p>
    <w:p>
      <w:pPr>
        <w:pStyle w:val="Heading1"/>
      </w:pPr>
      <w:r>
        <w:t>5. Contribuição para a Comunidade</w:t>
      </w:r>
    </w:p>
    <w:p>
      <w:r>
        <w:t>Um dos pilares fundamentais deste projeto é a contribuição para a comunidade open source. A biblioteca Spring Courier foi publicada sob a licença MIT, garantindo total liberdade de uso, modificação e distribuição. Ao disponibilizar a biblioteca no Maven Central, o projeto visa alcançar desenvolvedores em todo o mundo que trabalham com o ecossistema Spring Boot e desejam adotar o padrão CQRS de forma simplificada.</w:t>
      </w:r>
    </w:p>
    <w:p>
      <w:r>
        <w:t>O repositório no GitHub (github.com/Valossa515/spring-courier) inclui documentação detalhada, guias de contribuição (CONTRIBUTING.md), diagramas UML da arquitetura e exemplos de uso, facilitando tanto a adoção quanto a contribuição da comunidade para o crescimento da biblioteca. Este aspecto colaborativo reforça o compromisso acadêmico de não apenas pesquisar, mas também retribuir à comunidade com ferramentas práticas e úteis.</w:t>
      </w:r>
    </w:p>
    <w:p>
      <w:pPr>
        <w:pStyle w:val="Heading1"/>
      </w:pPr>
      <w:r>
        <w:t>6. Projeto de Pesquisa: Análise Comparativa de Eficiência</w:t>
      </w:r>
    </w:p>
    <w:p>
      <w:r>
        <w:t>A biblioteca Spring Courier será utilizada como base de um projeto de pesquisa que tem como objetivo avaliar empiricamente a eficiência do padrão CQRS em arquiteturas de microsserviços. Para isso, será conduzido um estudo comparativo entre dois microsserviços funcionalmente equivalentes:</w:t>
      </w:r>
    </w:p>
    <w:p>
      <w:r>
        <w:rPr>
          <w:b/>
        </w:rPr>
        <w:t xml:space="preserve">Microsserviço A (com Spring Courier): </w:t>
      </w:r>
      <w:r>
        <w:t>Implementado utilizando o padrão CQRS com a biblioteca Spring Courier, separando explicitamente as operações de leitura e escrita por meio de Command Handlers e Query Handlers, com pipeline de validação e publicação de eventos.</w:t>
      </w:r>
    </w:p>
    <w:p>
      <w:r>
        <w:rPr>
          <w:b/>
        </w:rPr>
        <w:t xml:space="preserve">Microsserviço B (sem Spring Courier): </w:t>
      </w:r>
      <w:r>
        <w:t>Implementado com arquitetura tradicional, sem separação CQRS, utilizando a abordagem convencional de serviços monolíticos onde leituras e escritas compartilham os mesmos modelos e camadas de serviço.</w:t>
      </w:r>
    </w:p>
    <w:p>
      <w:pPr>
        <w:pStyle w:val="Heading1"/>
      </w:pPr>
      <w:r>
        <w:t>7. Metodologia de Coleta e Análise de Métricas</w:t>
      </w:r>
    </w:p>
    <w:p>
      <w:r>
        <w:t>Para garantir a validade e a confiabilidade dos resultados, a pesquisa adotará uma metodologia rigorosa de coleta e análise de métricas de desempenho. As métricas a serem coletadas incluem, mas não se limitam a:</w:t>
      </w:r>
    </w:p>
    <w:p>
      <w:r>
        <w:rPr>
          <w:b/>
        </w:rPr>
        <w:t xml:space="preserve">Tempo de Resposta (Latência): </w:t>
      </w:r>
      <w:r>
        <w:t>Tempo médio, percentis (p50, p95, p99) e desvio padrão das respostas em diferentes cenários de carga.</w:t>
      </w:r>
    </w:p>
    <w:p>
      <w:r>
        <w:rPr>
          <w:b/>
        </w:rPr>
        <w:t xml:space="preserve">Throughput: </w:t>
      </w:r>
      <w:r>
        <w:t>Número de requisições processadas por segundo, tanto para operações de leitura quanto de escrita.</w:t>
      </w:r>
    </w:p>
    <w:p>
      <w:r>
        <w:rPr>
          <w:b/>
        </w:rPr>
        <w:t xml:space="preserve">Utilização de CPU: </w:t>
      </w:r>
      <w:r>
        <w:t>Percentual de uso de CPU durante diferentes níveis de carga, avaliando a eficiência computacional de cada abordagem.</w:t>
      </w:r>
    </w:p>
    <w:p>
      <w:r>
        <w:rPr>
          <w:b/>
        </w:rPr>
        <w:t xml:space="preserve">Consumo de Memória: </w:t>
      </w:r>
      <w:r>
        <w:t>Utilização de memória heap e non-heap durante a execução, identificando possíveis gargalos de alocação.</w:t>
      </w:r>
    </w:p>
    <w:p>
      <w:r>
        <w:rPr>
          <w:b/>
        </w:rPr>
        <w:t xml:space="preserve">Escalabilidade: </w:t>
      </w:r>
      <w:r>
        <w:t>Comportamento de cada microsserviço sob cargas crescentes, avaliando a degradação de desempenho.</w:t>
      </w:r>
    </w:p>
    <w:p>
      <w:r>
        <w:rPr>
          <w:b/>
        </w:rPr>
        <w:t xml:space="preserve">Manutenibilidade do Código: </w:t>
      </w:r>
      <w:r>
        <w:t>Métricas de complexidade ciclomática, acoplamento, coesão e linhas de código, utilizando ferramentas como SonarQube.</w:t>
      </w:r>
    </w:p>
    <w:p>
      <w:r>
        <w:rPr>
          <w:b/>
        </w:rPr>
        <w:t xml:space="preserve">Testabilidade: </w:t>
      </w:r>
      <w:r>
        <w:t>Facilidade de criação de testes unitários e de integração em cada abordagem, incluindo cobertura de código.</w:t>
      </w:r>
    </w:p>
    <w:p>
      <w:r>
        <w:t>As métricas de desempenho serão coletadas utilizando ferramentas como Apache JMeter, Gatling ou k6 para testes de carga, e Spring Boot Actuator combinado com Micrometer para monitoramento de métricas internas da aplicação. Os dados coletados serão analisados estatisticamente para validar as hipóteses da pesquisa.</w:t>
      </w:r>
    </w:p>
    <w:p>
      <w:pPr>
        <w:pStyle w:val="Heading1"/>
      </w:pPr>
      <w:r>
        <w:t>8. Resultados Esperados</w:t>
      </w:r>
    </w:p>
    <w:p>
      <w:r>
        <w:t>Espera-se que os resultados da pesquisa demonstrem que a adoção do padrão CQRS, facilitada pelo Spring Courier, proporcione os seguintes benefícios em relação à abordagem tradicional:</w:t>
      </w:r>
    </w:p>
    <w:p>
      <w:pPr>
        <w:pStyle w:val="ListBullet"/>
      </w:pPr>
      <w:r>
        <w:t>Melhor organização e separação de responsabilidades no código-fonte;</w:t>
      </w:r>
    </w:p>
    <w:p>
      <w:pPr>
        <w:pStyle w:val="ListBullet"/>
      </w:pPr>
      <w:r>
        <w:t>Maior facilidade de manutenção e evolução do microsserviço;</w:t>
      </w:r>
    </w:p>
    <w:p>
      <w:pPr>
        <w:pStyle w:val="ListBullet"/>
      </w:pPr>
      <w:r>
        <w:t>Desempenho equivalente ou superior em cenários de leitura intensiva, devido à possibilidade de otimizações específicas para queries;</w:t>
      </w:r>
    </w:p>
    <w:p>
      <w:pPr>
        <w:pStyle w:val="ListBullet"/>
      </w:pPr>
      <w:r>
        <w:t>Maior testabilidade e cobertura de testes;</w:t>
      </w:r>
    </w:p>
    <w:p>
      <w:pPr>
        <w:pStyle w:val="ListBullet"/>
      </w:pPr>
      <w:r>
        <w:t>Redução do acoplamento entre componentes do sistema;</w:t>
      </w:r>
    </w:p>
    <w:p>
      <w:pPr>
        <w:pStyle w:val="ListBullet"/>
      </w:pPr>
      <w:r>
        <w:t>Facilidade de integração com padrões complementares como Event Sourcing e SAGA.</w:t>
      </w:r>
    </w:p>
    <w:p>
      <w:r>
        <w:t>Além dos benefícios técnicos, a pesquisa também visa contribuir para o conhecimento acadêmico sobre a aplicabilidade de padrões arquiteturais em microsserviços Java, fornecendo dados empíricos que possam orientar decisões arquiteturais em projetos futuros.</w:t>
      </w:r>
    </w:p>
    <w:p>
      <w:pPr>
        <w:pStyle w:val="Heading1"/>
      </w:pPr>
      <w:r>
        <w:t>9. Considerações Finais</w:t>
      </w:r>
    </w:p>
    <w:p>
      <w:r>
        <w:t>O projeto Spring Courier representa uma convergência entre contribuição comunitária e pesquisa acadêmica. Ao desenvolver uma biblioteca open source para o ecossistema Spring Boot e utilizá-la como instrumento de pesquisa, este trabalho busca não apenas resolver um problema técnico — a carência de uma implementação CQRS madura para Spring Boot — mas também gerar conhecimento científico sobre a eficácia desse padrão em ambientes de produção baseados em microsserviços.</w:t>
      </w:r>
    </w:p>
    <w:p>
      <w:r>
        <w:t>A análise comparativa de métricas entre o microsserviço que utiliza a biblioteca e o que não utiliza permitirá avaliar de forma objetiva e quantificável os benefícios reais do padrão CQRS, contribuindo para a tomada de decisão informada por parte de arquitetos e desenvolvedores de software. Dessa forma, este TCC une teoria e prática, entregando tanto uma ferramenta útil para a comunidade quanto evidências empíricas para a academia.</w:t>
      </w:r>
    </w:p>
    <w:p>
      <w:pPr>
        <w:pStyle w:val="Heading1"/>
      </w:pPr>
      <w:r>
        <w:t>10. Referências Técnicas</w:t>
      </w:r>
    </w:p>
    <w:p>
      <w:pPr>
        <w:spacing w:after="40"/>
      </w:pPr>
      <w:r>
        <w:t>[1] YOUNG, Greg. CQRS Documents. 2010. Disponível em: https://cqrs.files.wordpress.com/2010/11/cqrs_documents.pdf</w:t>
      </w:r>
    </w:p>
    <w:p>
      <w:pPr>
        <w:spacing w:after="40"/>
      </w:pPr>
      <w:r>
        <w:t>[2] FOWLER, Martin. CQRS. 2011. Disponível em: https://martinfowler.com/bliki/CQRS.html</w:t>
      </w:r>
    </w:p>
    <w:p>
      <w:pPr>
        <w:spacing w:after="40"/>
      </w:pPr>
      <w:r>
        <w:t>[3] GAMMA, Erich et al. Design Patterns: Elements of Reusable Object-Oriented Software. Addison-Wesley, 1994.</w:t>
      </w:r>
    </w:p>
    <w:p>
      <w:pPr>
        <w:spacing w:after="40"/>
      </w:pPr>
      <w:r>
        <w:t>[4] RICHARDSON, Chris. Microservices Patterns. Manning Publications, 2018.</w:t>
      </w:r>
    </w:p>
    <w:p>
      <w:pPr>
        <w:spacing w:after="40"/>
      </w:pPr>
      <w:r>
        <w:t>[5] Spring Framework Documentation. Disponível em: https://spring.io/projects/spring-framework</w:t>
      </w:r>
    </w:p>
    <w:p>
      <w:pPr>
        <w:spacing w:after="40"/>
      </w:pPr>
      <w:r>
        <w:t>[6] Spring Boot Documentation. Disponível em: https://spring.io/projects/spring-boot</w:t>
      </w:r>
    </w:p>
    <w:p>
      <w:pPr>
        <w:spacing w:after="40"/>
      </w:pPr>
      <w:r>
        <w:t>[7] Maven Central - Spring Courier. Disponível em: https://central.sonatype.com/artifact/io.github.valossa515/spring-courier</w:t>
      </w:r>
    </w:p>
    <w:p>
      <w:pPr>
        <w:spacing w:after="40"/>
      </w:pPr>
      <w:r>
        <w:t>[8] Repositório GitHub - Spring Courier. Disponível em: https://github.com/Valossa515/spring-courier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