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864"/>
              <w:left w:type="dxa" w:w="576"/>
              <w:bottom w:type="dxa" w:w="864"/>
              <w:right w:type="dxa" w:w="576"/>
            </w:tcMar>
          </w:tcPr>
          <w:p>
            <w:pPr>
              <w:spacing w:after="160"/>
              <w:jc w:val="left"/>
            </w:pPr>
            <w:r>
              <w:rPr>
                <w:rFonts w:ascii="Arial" w:cs="Arial" w:eastAsia="Arial" w:hAnsi="Arial"/>
                <w:b/>
                <w:bCs/>
                <w:color w:val="FFFFFF"/>
                <w:sz w:val="52"/>
                <w:szCs w:val="52"/>
              </w:rPr>
              <w:t xml:space="preserve">COLLATERAL ORCHESTRATOR</w:t>
            </w:r>
          </w:p>
          <w:p>
            <w:pPr>
              <w:spacing w:after="200"/>
              <w:jc w:val="left"/>
            </w:pPr>
            <w:r>
              <w:rPr>
                <w:rFonts w:ascii="Arial" w:cs="Arial" w:eastAsia="Arial" w:hAnsi="Arial"/>
                <w:i/>
                <w:iCs/>
                <w:color w:val="93C5FD"/>
                <w:sz w:val="26"/>
                <w:szCs w:val="26"/>
              </w:rPr>
              <w:t xml:space="preserve">Romania-First Platform for Sovereign Collateral &amp; Repo Workflows</w:t>
            </w:r>
          </w:p>
          <w:p>
            <w:pPr>
              <w:jc w:val="left"/>
            </w:pPr>
            <w:r>
              <w:rPr>
                <w:rFonts w:ascii="Arial" w:cs="Arial" w:eastAsia="Arial" w:hAnsi="Arial"/>
                <w:b/>
                <w:bCs/>
                <w:color w:val="CBD5E1"/>
                <w:spacing w:val="120"/>
                <w:sz w:val="22"/>
                <w:szCs w:val="22"/>
              </w:rPr>
              <w:t xml:space="preserve">BUSINESS PLAN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2"/>
      </w:tblGrid>
      <w:tr>
        <w:tc>
          <w:tcPr>
            <w:tcW w:type="dxa" w:w="316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Stage</w:t>
            </w:r>
          </w:p>
        </w:tc>
        <w:tc>
          <w:tcPr>
            <w:tcW w:type="dxa" w:w="61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Pre-seed / Founding</w:t>
            </w:r>
          </w:p>
        </w:tc>
      </w:tr>
      <w:tr>
        <w:tc>
          <w:tcPr>
            <w:tcW w:type="dxa" w:w="316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Document Type</w:t>
            </w:r>
          </w:p>
        </w:tc>
        <w:tc>
          <w:tcPr>
            <w:tcW w:type="dxa" w:w="619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Internal Business Plan — April 2026</w:t>
            </w:r>
          </w:p>
        </w:tc>
      </w:tr>
      <w:tr>
        <w:tc>
          <w:tcPr>
            <w:tcW w:type="dxa" w:w="316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Geography</w:t>
            </w:r>
          </w:p>
        </w:tc>
        <w:tc>
          <w:tcPr>
            <w:tcW w:type="dxa" w:w="61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Romania (Phase 1); CEE Expansion (Phase 2–3)</w:t>
            </w:r>
          </w:p>
        </w:tc>
      </w:tr>
      <w:tr>
        <w:tc>
          <w:tcPr>
            <w:tcW w:type="dxa" w:w="316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Target Customer</w:t>
            </w:r>
          </w:p>
        </w:tc>
        <w:tc>
          <w:tcPr>
            <w:tcW w:type="dxa" w:w="619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Treasury, Collateral &amp; Operations teams at Romanian banks</w:t>
            </w:r>
          </w:p>
        </w:tc>
      </w:tr>
      <w:tr>
        <w:tc>
          <w:tcPr>
            <w:tcW w:type="dxa" w:w="316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Revenue Model</w:t>
            </w:r>
          </w:p>
        </w:tc>
        <w:tc>
          <w:tcPr>
            <w:tcW w:type="dxa" w:w="61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SaaS subscription + pilot fees + professional services</w:t>
            </w:r>
          </w:p>
        </w:tc>
      </w:tr>
      <w:tr>
        <w:tc>
          <w:tcPr>
            <w:tcW w:type="dxa" w:w="316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Yr-1 ARR Target</w:t>
            </w:r>
          </w:p>
        </w:tc>
        <w:tc>
          <w:tcPr>
            <w:tcW w:type="dxa" w:w="619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300K–600K</w:t>
            </w:r>
          </w:p>
        </w:tc>
      </w:tr>
      <w:tr>
        <w:tc>
          <w:tcPr>
            <w:tcW w:type="dxa" w:w="316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Yr-3 ARR Target</w:t>
            </w:r>
          </w:p>
        </w:tc>
        <w:tc>
          <w:tcPr>
            <w:tcW w:type="dxa" w:w="61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2M–4M</w:t>
            </w:r>
          </w:p>
        </w:tc>
      </w:tr>
      <w:tr>
        <w:tc>
          <w:tcPr>
            <w:tcW w:type="dxa" w:w="316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Status</w:t>
            </w:r>
          </w:p>
        </w:tc>
        <w:tc>
          <w:tcPr>
            <w:tcW w:type="dxa" w:w="619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CONFIDENTIAL — Internal Use Only</w:t>
            </w:r>
          </w:p>
        </w:tc>
      </w:tr>
    </w:tbl>
    <w:p>
      <w:pPr>
        <w:spacing w:before="240"/>
      </w:pPr>
    </w:p>
    <w:p>
      <w:r>
        <w:br w:type="page"/>
      </w:r>
    </w:p>
    <w:p>
      <w:pPr>
        <w:pStyle w:val="Heading1"/>
        <w:spacing w:after="160" w:before="300"/>
      </w:pPr>
      <w:r>
        <w:rPr>
          <w:rFonts w:ascii="Arial" w:cs="Arial" w:eastAsia="Arial" w:hAnsi="Arial"/>
          <w:b/>
          <w:bCs/>
          <w:color w:val="1A2B4A"/>
          <w:sz w:val="32"/>
          <w:szCs w:val="32"/>
        </w:rPr>
        <w:t xml:space="preserve">1. Executive Summary</w:t>
      </w:r>
    </w:p>
    <w:p>
      <w:pPr>
        <w:spacing w:after="80" w:before="80"/>
      </w:pPr>
      <w:r>
        <w:rPr>
          <w:rFonts w:ascii="Arial" w:cs="Arial" w:eastAsia="Arial" w:hAnsi="Arial"/>
          <w:color w:val="1E293B"/>
          <w:sz w:val="21"/>
          <w:szCs w:val="21"/>
        </w:rPr>
        <w:t xml:space="preserve">Collateral Orchestrator is an enterprise software platform that digitises and orchestrates the sovereign bond collateral and repo workflow layer at Romanian and CEE regional banks. It replaces the fragmented combination of spreadsheets, email chains, and manual SaFIR lookups with a single configurable control plane covering inventory management, repo booking, margin monitoring, collateral substitution, settlement instruction generation, and SFTR regulatory reporting.</w:t>
      </w:r>
    </w:p>
    <w:p>
      <w:pPr>
        <w:spacing w:before="60"/>
      </w:pPr>
    </w:p>
    <w:p>
      <w:pPr>
        <w:spacing w:after="80" w:before="80"/>
      </w:pPr>
      <w:r>
        <w:rPr>
          <w:rFonts w:ascii="Arial" w:cs="Arial" w:eastAsia="Arial" w:hAnsi="Arial"/>
          <w:color w:val="1E293B"/>
          <w:sz w:val="21"/>
          <w:szCs w:val="21"/>
        </w:rPr>
        <w:t xml:space="preserve">Romania's banking system manages approximately RON 918.9B in total assets, with roughly 22% held in government securities — a structural dependence on sovereign paper that creates high-volume, operationally intensive collateral workflows at every primary dealer and significant bond holder. Yet the tooling supporting these workflows remains largely manual: treasury desks rely on Excel, collateral managers reconcile positions by phone, and operations teams generate settlement instructions by hand. The result is avoidable operational risk, compliance exposure, and scalability constraints.</w:t>
      </w:r>
    </w:p>
    <w:p>
      <w:pPr>
        <w:spacing w:before="60"/>
      </w:pPr>
    </w:p>
    <w:p>
      <w:pPr>
        <w:spacing w:after="80" w:before="80"/>
      </w:pPr>
      <w:r>
        <w:rPr>
          <w:rFonts w:ascii="Arial" w:cs="Arial" w:eastAsia="Arial" w:hAnsi="Arial"/>
          <w:color w:val="1E293B"/>
          <w:sz w:val="21"/>
          <w:szCs w:val="21"/>
        </w:rPr>
        <w:t xml:space="preserve">Collateral Orchestrator enters as the workflow control layer — sitting between existing systems (core banking, SaFIR, Euroclear, internal risk engines) and the people who manage collateral operations — without replacing any of them. The commercial strategy is deliberately phased: sell workflow automation and audit capability first (Phase 1), introduce digital position management as a software abstraction (Phase 2), and build a tokenisation adapter for emerging DLT settlement infrastructure (Phase 3). This sequencing mirrors how successful enterprise infrastructure companies have entered regulated markets — painkiller first, vision sale second.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
        <w:gridCol w:w="9288"/>
      </w:tblGrid>
      <w:tr>
        <w:tc>
          <w:tcPr>
            <w:tcW w:type="dxa" w:w="72"/>
            <w:tcBorders>
              <w:top w:val="none" w:color="FFFFFF" w:sz="0"/>
              <w:left w:val="none" w:color="FFFFFF" w:sz="0"/>
              <w:bottom w:val="none" w:color="FFFFFF" w:sz="0"/>
              <w:right w:val="none" w:color="FFFFFF" w:sz="0"/>
            </w:tcBorders>
            <w:shd w:fill="2563EB" w:val="clear"/>
          </w:tcPr>
          <w:p/>
        </w:tc>
        <w:tc>
          <w:tcPr>
            <w:tcW w:type="dxa" w:w="9288"/>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2563EB"/>
                <w:sz w:val="19"/>
                <w:szCs w:val="19"/>
              </w:rPr>
              <w:t xml:space="preserve">Investment Thesis</w:t>
            </w:r>
          </w:p>
          <w:p>
            <w:r>
              <w:rPr>
                <w:rFonts w:ascii="Arial" w:cs="Arial" w:eastAsia="Arial" w:hAnsi="Arial"/>
                <w:i/>
                <w:iCs/>
                <w:color w:val="1E293B"/>
                <w:sz w:val="20"/>
                <w:szCs w:val="20"/>
              </w:rPr>
              <w:t xml:space="preserve">Romania is under-digitised in post-trade infrastructure while being structurally dependent on sovereign paper — a gap between institutional need and tooling maturity that creates a defensible first-mover opportunity for a local workflow platform built to the Eurosystem trajectory.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4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Beachhead Market</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Romanian banks (primary dealers &amp; significant sovereign bond holders)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Initial TAM</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8–12 banks with active bilateral repo programs</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Target ACV (Yr 1)</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80K–150K per institution (pilot + first-year subscription)</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Yr-1 ARR Target</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300K–600K (3–5 paying institutions)</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Yr-3 ARR Target</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2M–4M (15–25 institutions across Romania + 2 CEE markets)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Gross Margin Target</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75–80% at scale</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Fundraise Target</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800K–1.5M pre-seed; Series A at EUR 1.5M+ ARR</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2. Problem Statement</w:t>
      </w:r>
    </w:p>
    <w:p>
      <w:pPr>
        <w:spacing w:after="80" w:before="80"/>
      </w:pPr>
      <w:r>
        <w:rPr>
          <w:rFonts w:ascii="Arial" w:cs="Arial" w:eastAsia="Arial" w:hAnsi="Arial"/>
          <w:color w:val="1E293B"/>
          <w:sz w:val="21"/>
          <w:szCs w:val="21"/>
        </w:rPr>
        <w:t xml:space="preserve">Financial institutions in Romania manage significant volumes of government securities — both for their own balance sheets and to meet regulatory liquidity requirements. These positions require constant active management: repos are booked, margin positions monitored, collateral substituted, and settlement instructions generated every business day. Yet the operational infrastructure supporting this workflow is, at most institutions, a combination of disconnected legacy systems, manual processes, and spreadsheet-based tracking.</w:t>
      </w:r>
    </w:p>
    <w:p>
      <w:pPr>
        <w:pStyle w:val="Heading2"/>
        <w:spacing w:after="120" w:before="240"/>
      </w:pPr>
      <w:r>
        <w:rPr>
          <w:rFonts w:ascii="Arial" w:cs="Arial" w:eastAsia="Arial" w:hAnsi="Arial"/>
          <w:b/>
          <w:bCs/>
          <w:color w:val="2563EB"/>
          <w:sz w:val="26"/>
          <w:szCs w:val="26"/>
        </w:rPr>
        <w:t xml:space="preserve">2.1  The Four Core Failures</w:t>
      </w:r>
    </w:p>
    <w:p>
      <w:pPr>
        <w:spacing w:after="80" w:before="180"/>
      </w:pPr>
      <w:r>
        <w:rPr>
          <w:rFonts w:ascii="Arial" w:cs="Arial" w:eastAsia="Arial" w:hAnsi="Arial"/>
          <w:b/>
          <w:bCs/>
          <w:color w:val="1E293B"/>
          <w:sz w:val="22"/>
          <w:szCs w:val="22"/>
        </w:rPr>
        <w:t xml:space="preserve">Inventory opacity</w:t>
      </w:r>
    </w:p>
    <w:p>
      <w:pPr>
        <w:spacing w:after="80" w:before="80"/>
      </w:pPr>
      <w:r>
        <w:rPr>
          <w:rFonts w:ascii="Arial" w:cs="Arial" w:eastAsia="Arial" w:hAnsi="Arial"/>
          <w:color w:val="1E293B"/>
          <w:sz w:val="21"/>
          <w:szCs w:val="21"/>
        </w:rPr>
        <w:t xml:space="preserve">Collateral managers lack a real-time, unified view of which assets are free, pledged, or encumbered across custodians (SaFIR, Euroclear, local custodians). Calculating available collateral requires cross-referencing multiple systems and often involves a manual spreadsheet reconciliation at the start of each trading day.</w:t>
      </w:r>
    </w:p>
    <w:p>
      <w:pPr>
        <w:spacing w:after="80" w:before="180"/>
      </w:pPr>
      <w:r>
        <w:rPr>
          <w:rFonts w:ascii="Arial" w:cs="Arial" w:eastAsia="Arial" w:hAnsi="Arial"/>
          <w:b/>
          <w:bCs/>
          <w:color w:val="1E293B"/>
          <w:sz w:val="22"/>
          <w:szCs w:val="22"/>
        </w:rPr>
        <w:t xml:space="preserve">Workflow fragmentation</w:t>
      </w:r>
    </w:p>
    <w:p>
      <w:pPr>
        <w:spacing w:after="80" w:before="80"/>
      </w:pPr>
      <w:r>
        <w:rPr>
          <w:rFonts w:ascii="Arial" w:cs="Arial" w:eastAsia="Arial" w:hAnsi="Arial"/>
          <w:color w:val="1E293B"/>
          <w:sz w:val="21"/>
          <w:szCs w:val="21"/>
        </w:rPr>
        <w:t xml:space="preserve">Repo booking, basket selection, approval routing, and settlement instruction generation each live in different systems or inboxes. Approvals are managed by email. Exceptions are resolved by phone. There is no systematic enforcement of the four-eyes principle, exposure limits, or haircut schedules.</w:t>
      </w:r>
    </w:p>
    <w:p>
      <w:pPr>
        <w:spacing w:after="80" w:before="180"/>
      </w:pPr>
      <w:r>
        <w:rPr>
          <w:rFonts w:ascii="Arial" w:cs="Arial" w:eastAsia="Arial" w:hAnsi="Arial"/>
          <w:b/>
          <w:bCs/>
          <w:color w:val="1E293B"/>
          <w:sz w:val="22"/>
          <w:szCs w:val="22"/>
        </w:rPr>
        <w:t xml:space="preserve">Margin management lag</w:t>
      </w:r>
    </w:p>
    <w:p>
      <w:pPr>
        <w:spacing w:after="80" w:before="80"/>
      </w:pPr>
      <w:r>
        <w:rPr>
          <w:rFonts w:ascii="Arial" w:cs="Arial" w:eastAsia="Arial" w:hAnsi="Arial"/>
          <w:color w:val="1E293B"/>
          <w:sz w:val="21"/>
          <w:szCs w:val="21"/>
        </w:rPr>
        <w:t xml:space="preserve">Margin calls and collateral shortfalls are detected late, because monitoring relies on periodic manual position snapshots rather than continuous automated tracking. The response workflow — identifying eligible top-up collateral, obtaining approvals, and confirming with the counterparty — is slow and error-prone.</w:t>
      </w:r>
    </w:p>
    <w:p>
      <w:pPr>
        <w:spacing w:after="80" w:before="180"/>
      </w:pPr>
      <w:r>
        <w:rPr>
          <w:rFonts w:ascii="Arial" w:cs="Arial" w:eastAsia="Arial" w:hAnsi="Arial"/>
          <w:b/>
          <w:bCs/>
          <w:color w:val="1E293B"/>
          <w:sz w:val="22"/>
          <w:szCs w:val="22"/>
        </w:rPr>
        <w:t xml:space="preserve">Compliance and audit risk</w:t>
      </w:r>
    </w:p>
    <w:p>
      <w:pPr>
        <w:spacing w:after="80" w:before="80"/>
      </w:pPr>
      <w:r>
        <w:rPr>
          <w:rFonts w:ascii="Arial" w:cs="Arial" w:eastAsia="Arial" w:hAnsi="Arial"/>
          <w:color w:val="1E293B"/>
          <w:sz w:val="21"/>
          <w:szCs w:val="21"/>
        </w:rPr>
        <w:t xml:space="preserve">SFTR reporting requires daily generation of trade data including UTIs, LEIs, and collateral ISINs. Without a system of record for repo activity, this is compiled manually from multiple sources. An ECB or BNR inspection requiring a complete audit trail of collateral decisions, approvals, and overrides would expose significant gaps at most institutions today.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
        <w:gridCol w:w="9288"/>
      </w:tblGrid>
      <w:tr>
        <w:tc>
          <w:tcPr>
            <w:tcW w:type="dxa" w:w="72"/>
            <w:tcBorders>
              <w:top w:val="none" w:color="FFFFFF" w:sz="0"/>
              <w:left w:val="none" w:color="FFFFFF" w:sz="0"/>
              <w:bottom w:val="none" w:color="FFFFFF" w:sz="0"/>
              <w:right w:val="none" w:color="FFFFFF" w:sz="0"/>
            </w:tcBorders>
            <w:shd w:fill="2563EB" w:val="clear"/>
          </w:tcPr>
          <w:p/>
        </w:tc>
        <w:tc>
          <w:tcPr>
            <w:tcW w:type="dxa" w:w="9288"/>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2563EB"/>
                <w:sz w:val="19"/>
                <w:szCs w:val="19"/>
              </w:rPr>
              <w:t xml:space="preserve">The Core Insight</w:t>
            </w:r>
          </w:p>
          <w:p>
            <w:r>
              <w:rPr>
                <w:rFonts w:ascii="Arial" w:cs="Arial" w:eastAsia="Arial" w:hAnsi="Arial"/>
                <w:i/>
                <w:iCs/>
                <w:color w:val="1E293B"/>
                <w:sz w:val="20"/>
                <w:szCs w:val="20"/>
              </w:rPr>
              <w:t xml:space="preserve">These failures are not caused by a lack of technology. Romania's banks have core banking systems, access to SaFIR, and market data feeds. What is missing is the workflow coordination layer — the system that enforces rules, routes approvals, and writes the audit trail in real time.</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3. Solution — The Collateral Orchestrator Platform</w:t>
      </w:r>
    </w:p>
    <w:p>
      <w:pPr>
        <w:spacing w:after="80" w:before="80"/>
      </w:pPr>
      <w:r>
        <w:rPr>
          <w:rFonts w:ascii="Arial" w:cs="Arial" w:eastAsia="Arial" w:hAnsi="Arial"/>
          <w:color w:val="1E293B"/>
          <w:sz w:val="21"/>
          <w:szCs w:val="21"/>
        </w:rPr>
        <w:t xml:space="preserve">Collateral Orchestrator is a workflow control layer that sits between a bank's people and its collateral infrastructure. It does not replace existing systems — it orchestrates them. Every collateral action (booking a repo, substituting an asset, responding to a margin call) flows through a configurable rule engine that enforces eligibility criteria, haircut schedules, approval hierarchies, and exposure limits, then writes an immutable record of every decision.</w:t>
      </w:r>
    </w:p>
    <w:p>
      <w:pPr>
        <w:pStyle w:val="Heading2"/>
        <w:spacing w:after="120" w:before="240"/>
      </w:pPr>
      <w:r>
        <w:rPr>
          <w:rFonts w:ascii="Arial" w:cs="Arial" w:eastAsia="Arial" w:hAnsi="Arial"/>
          <w:b/>
          <w:bCs/>
          <w:color w:val="2563EB"/>
          <w:sz w:val="26"/>
          <w:szCs w:val="26"/>
        </w:rPr>
        <w:t xml:space="preserve">3.1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6912"/>
      </w:tblGrid>
      <w:tr>
        <w:tc>
          <w:tcPr>
            <w:tcW w:type="dxa" w:w="244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91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Collateral Inventory</w:t>
            </w:r>
          </w:p>
        </w:tc>
        <w:tc>
          <w:tcPr>
            <w:tcW w:type="dxa" w:w="691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Real-time view of all assets across custodians — SaFIR, Euroclear, local. Shows free, pledged, and encumbered positions with haircut-adjusted values, eligibility labels, and custody context. Filter by ISIN, issuer, status, and maturity.</w:t>
            </w:r>
          </w:p>
        </w:tc>
      </w:tr>
      <w:tr>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Repo Workflow Engine</w:t>
            </w:r>
          </w:p>
        </w:tc>
        <w:tc>
          <w:tcPr>
            <w:tcW w:type="dxa" w:w="691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Four-step guided repo creation: trade terms → eligibility check → auto-proposed collateral basket → approval &amp; confirmation. Enforces over-collateralisation rules (e.g., 102–103%) automatically. Tracks full repo lifecycle through to unwind.</w:t>
            </w:r>
          </w:p>
        </w:tc>
      </w:tr>
      <w:tr>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Margin &amp; Exception Monitor</w:t>
            </w:r>
          </w:p>
        </w:tc>
        <w:tc>
          <w:tcPr>
            <w:tcW w:type="dxa" w:w="691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Continuous coverage ratio tracking across all active repos. Detects margin deficits in real time, surfaces eligible top-up assets, and routes approval requests through a structured exception workflow with full audit capture.</w:t>
            </w:r>
          </w:p>
        </w:tc>
      </w:tr>
      <w:tr>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Collateral Substitution</w:t>
            </w:r>
          </w:p>
        </w:tc>
        <w:tc>
          <w:tcPr>
            <w:tcW w:type="dxa" w:w="691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Role-separated substitution workflow for Collateral Managers. Replace an asset in an active basket, recalculate coverage instantly, and write the substitution decision to the audit trail — without spreadsheets or email.</w:t>
            </w:r>
          </w:p>
        </w:tc>
      </w:tr>
      <w:tr>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Operations &amp; Settlement</w:t>
            </w:r>
          </w:p>
        </w:tc>
        <w:tc>
          <w:tcPr>
            <w:tcW w:type="dxa" w:w="691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Generates ISO 15022 MT543 settlement instruction previews directly from confirmed repo trades. Roadmap includes direct connectivity to Euroclear, Clearstream, and the BNR/SaFIR settlement layer.</w:t>
            </w:r>
          </w:p>
        </w:tc>
      </w:tr>
      <w:tr>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SFTR Reporting</w:t>
            </w:r>
          </w:p>
        </w:tc>
        <w:tc>
          <w:tcPr>
            <w:tcW w:type="dxa" w:w="691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Automated generation of Securities Financing Transaction Regulation trade reports — UTIs, counterparty LEIs, collateral ISINs, notional amounts. Designed for ARM export in the next product phase.</w:t>
            </w:r>
          </w:p>
        </w:tc>
      </w:tr>
      <w:tr>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Audit Trail</w:t>
            </w:r>
          </w:p>
        </w:tc>
        <w:tc>
          <w:tcPr>
            <w:tcW w:type="dxa" w:w="691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Immutable, tamper-evident log of every decision, approval, override, and state change across the platform. Columns: timestamp, user, role, action, object, before-state, after-state, justification.</w:t>
            </w:r>
          </w:p>
        </w:tc>
      </w:tr>
      <w:tr>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Integration Hub</w:t>
            </w:r>
          </w:p>
        </w:tc>
        <w:tc>
          <w:tcPr>
            <w:tcW w:type="dxa" w:w="691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Connectivity layer for core banking, market data, and infrastructure integrations. Current roadmap: SaFIR data feed, Euroclear API, Brex/Ramp connector equivalents for Romanian banking infrastructure.</w:t>
            </w:r>
          </w:p>
        </w:tc>
      </w:tr>
      <w:tr>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Portfolio Optimisation</w:t>
            </w:r>
          </w:p>
        </w:tc>
        <w:tc>
          <w:tcPr>
            <w:tcW w:type="dxa" w:w="691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Recommends optimal collateral allocation across active repos to minimise high-quality liquid asset usage and maximise portfolio efficiency.</w:t>
            </w:r>
          </w:p>
        </w:tc>
      </w:tr>
      <w:tr>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Digital Positions (Phase 2)</w:t>
            </w:r>
          </w:p>
        </w:tc>
        <w:tc>
          <w:tcPr>
            <w:tcW w:type="dxa" w:w="691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Software abstraction for collateral positions as state-machine objects — each with ownership, lifecycle events, and encumbrance history. The technical foundation for Phase 3 tokenisation.</w:t>
            </w:r>
          </w:p>
        </w:tc>
      </w:tr>
    </w:tbl>
    <w:p>
      <w:pPr>
        <w:spacing w:before="60"/>
      </w:pPr>
    </w:p>
    <w:p>
      <w:pPr>
        <w:pStyle w:val="Heading2"/>
        <w:spacing w:after="120" w:before="240"/>
      </w:pPr>
      <w:r>
        <w:rPr>
          <w:rFonts w:ascii="Arial" w:cs="Arial" w:eastAsia="Arial" w:hAnsi="Arial"/>
          <w:b/>
          <w:bCs/>
          <w:color w:val="2563EB"/>
          <w:sz w:val="26"/>
          <w:szCs w:val="26"/>
        </w:rPr>
        <w:t xml:space="preserve">3.2  What Collateral Orchestrator Is Not</w:t>
      </w:r>
    </w:p>
    <w:p>
      <w:pPr>
        <w:spacing w:after="80" w:before="80"/>
      </w:pPr>
      <w:r>
        <w:rPr>
          <w:rFonts w:ascii="Arial" w:cs="Arial" w:eastAsia="Arial" w:hAnsi="Arial"/>
          <w:color w:val="1E293B"/>
          <w:sz w:val="21"/>
          <w:szCs w:val="21"/>
        </w:rPr>
        <w:t xml:space="preserve">The platform is not a core banking system, a settlement infrastructure, or a replacement for SaFIR or Euroclear. It does not hold assets, process payments, or issue tokens in Phase 1. It is the intelligence and workflow layer that governs how those underlying systems are used — making it complementary to, not competitive with, existing infrastructure.</w:t>
      </w:r>
    </w:p>
    <w:p>
      <w:pPr>
        <w:pStyle w:val="Heading2"/>
        <w:spacing w:after="120" w:before="240"/>
      </w:pPr>
      <w:r>
        <w:rPr>
          <w:rFonts w:ascii="Arial" w:cs="Arial" w:eastAsia="Arial" w:hAnsi="Arial"/>
          <w:b/>
          <w:bCs/>
          <w:color w:val="2563EB"/>
          <w:sz w:val="26"/>
          <w:szCs w:val="26"/>
        </w:rPr>
        <w:t xml:space="preserve">3.3  Phased Product Strategy</w:t>
      </w:r>
    </w:p>
    <w:p>
      <w:pPr>
        <w:spacing w:after="80" w:before="80"/>
      </w:pPr>
      <w:r>
        <w:rPr>
          <w:rFonts w:ascii="Arial" w:cs="Arial" w:eastAsia="Arial" w:hAnsi="Arial"/>
          <w:color w:val="1E293B"/>
          <w:sz w:val="21"/>
          <w:szCs w:val="21"/>
        </w:rPr>
        <w:t xml:space="preserve">The product roadmap is structured in three deliberate phases, calibrated to Romanian market readiness and the Eurosystem's trajectory toward digital settlement infrastructure.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2304"/>
        <w:gridCol w:w="5328"/>
      </w:tblGrid>
      <w:tr>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304"/>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Positioning</w:t>
            </w:r>
          </w:p>
        </w:tc>
        <w:tc>
          <w:tcPr>
            <w:tcW w:type="dxa" w:w="53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We Build &amp; Sell</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Phase 1
(2026–2027)</w:t>
            </w:r>
          </w:p>
        </w:tc>
        <w:tc>
          <w:tcPr>
            <w:tcW w:type="dxa" w:w="230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Control Layer</w:t>
            </w:r>
          </w:p>
        </w:tc>
        <w:tc>
          <w:tcPr>
            <w:tcW w:type="dxa" w:w="53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Workflow orchestration, approval routing, audit trail, SFTR reporting. Sell as operational efficiency and compliance tooling. No tokens, no regulatory grey areas.</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Phase 2
(2027–2028)</w:t>
            </w:r>
          </w:p>
        </w:tc>
        <w:tc>
          <w:tcPr>
            <w:tcW w:type="dxa" w:w="2304"/>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Digital Twin</w:t>
            </w:r>
          </w:p>
        </w:tc>
        <w:tc>
          <w:tcPr>
            <w:tcW w:type="dxa" w:w="53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Internal digital position objects — software abstractions of collateral ownership with state machines and event histories. Foundation for tokenisation readiness. No on-chain component yet.</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Phase 3
(2028+)</w:t>
            </w:r>
          </w:p>
        </w:tc>
        <w:tc>
          <w:tcPr>
            <w:tcW w:type="dxa" w:w="230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Tokenisation Adapter</w:t>
            </w:r>
          </w:p>
        </w:tc>
        <w:tc>
          <w:tcPr>
            <w:tcW w:type="dxa" w:w="53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Adapter layer connecting the platform to emerging DLT settlement rails (Canton Network, Fnality, Eurosystem exploratory infrastructure). Sell as future-proofing, not as crypto.</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4. Target Market</w:t>
      </w:r>
    </w:p>
    <w:p>
      <w:pPr>
        <w:spacing w:after="80" w:before="80"/>
      </w:pPr>
      <w:r>
        <w:rPr>
          <w:rFonts w:ascii="Arial" w:cs="Arial" w:eastAsia="Arial" w:hAnsi="Arial"/>
          <w:color w:val="1E293B"/>
          <w:sz w:val="21"/>
          <w:szCs w:val="21"/>
        </w:rPr>
        <w:t xml:space="preserve">The immediate target market is the treasury, collateral, and operations leadership at Romanian banks with active bilateral repo programs and significant government securities portfolios. This is a small, accessible, and structurally homogeneous market — which makes it ideal for a design-partner-led entry strategy.</w:t>
      </w:r>
    </w:p>
    <w:p>
      <w:pPr>
        <w:pStyle w:val="Heading2"/>
        <w:spacing w:after="120" w:before="240"/>
      </w:pPr>
      <w:r>
        <w:rPr>
          <w:rFonts w:ascii="Arial" w:cs="Arial" w:eastAsia="Arial" w:hAnsi="Arial"/>
          <w:b/>
          <w:bCs/>
          <w:color w:val="2563EB"/>
          <w:sz w:val="26"/>
          <w:szCs w:val="26"/>
        </w:rPr>
        <w:t xml:space="preserve">4.1  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64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Institution Type</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Romanian commercial banks, subsidiaries of EU banking groups (Austrian, French, Italian), and Romanian custodians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Portfolio Profile</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Active bilateral repo programs; government securities exposure &gt;5% of total assets; SaFIR connectivity</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Size</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Tier 1–3 Romanian banks (by total assets); primary dealers and significant BNR open market participants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Primary Buyer</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CFO, Head of Treasury, COO — controls budget for operations tooling</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Primary Champion</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Head of Collateral Management, Head of Treasury Operations, Head of Risk — experiences the daily pain</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IT Context</w:t>
            </w:r>
          </w:p>
        </w:tc>
        <w:tc>
          <w:tcPr>
            <w:tcW w:type="dxa" w:w="64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Has core banking system, Bloomberg/Refinitiv feed, SaFIR access — but no dedicated collateral workflow software</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Key Trigger</w:t>
            </w:r>
          </w:p>
        </w:tc>
        <w:tc>
          <w:tcPr>
            <w:tcW w:type="dxa" w:w="64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Regulatory audit finding, SFTR compliance gap, ECB inspection preparation, new Basel IV liquidity requirements, operations team growth</w:t>
            </w:r>
          </w:p>
        </w:tc>
      </w:tr>
    </w:tbl>
    <w:p>
      <w:pPr>
        <w:spacing w:before="60"/>
      </w:pPr>
    </w:p>
    <w:p>
      <w:pPr>
        <w:pStyle w:val="Heading2"/>
        <w:spacing w:after="120" w:before="240"/>
      </w:pPr>
      <w:r>
        <w:rPr>
          <w:rFonts w:ascii="Arial" w:cs="Arial" w:eastAsia="Arial" w:hAnsi="Arial"/>
          <w:b/>
          <w:bCs/>
          <w:color w:val="2563EB"/>
          <w:sz w:val="26"/>
          <w:szCs w:val="26"/>
        </w:rPr>
        <w:t xml:space="preserve">4.2  Target Institution Segments</w:t>
      </w:r>
    </w:p>
    <w:p>
      <w:pPr>
        <w:spacing w:after="80" w:before="80"/>
      </w:pPr>
      <w:r>
        <w:rPr>
          <w:rFonts w:ascii="Arial" w:cs="Arial" w:eastAsia="Arial" w:hAnsi="Arial"/>
          <w:color w:val="1E293B"/>
          <w:sz w:val="21"/>
          <w:szCs w:val="21"/>
        </w:rPr>
        <w:t xml:space="preserve">Romania's banking sector contains approximately 32 licensed credit institutions. The realistic first-market set is materially smaller:</w:t>
      </w:r>
    </w:p>
    <w:p>
      <w:pPr>
        <w:pStyle w:val="ListParagraph"/>
        <w:numPr>
          <w:ilvl w:val="0"/>
          <w:numId w:val="2"/>
        </w:numPr>
        <w:spacing w:after="60" w:before="60"/>
      </w:pPr>
      <w:r>
        <w:rPr>
          <w:rFonts w:ascii="Arial" w:cs="Arial" w:eastAsia="Arial" w:hAnsi="Arial"/>
          <w:color w:val="1E293B"/>
          <w:sz w:val="21"/>
          <w:szCs w:val="21"/>
        </w:rPr>
        <w:t xml:space="preserve">Primary dealers (8–10 institutions): Banks authorised by the Ministry of Finance to participate in government securities auctions. These institutions have the highest repo volumes and the most acute collateral management operational need.</w:t>
      </w:r>
    </w:p>
    <w:p>
      <w:pPr>
        <w:pStyle w:val="ListParagraph"/>
        <w:numPr>
          <w:ilvl w:val="0"/>
          <w:numId w:val="2"/>
        </w:numPr>
        <w:spacing w:after="60" w:before="60"/>
      </w:pPr>
      <w:r>
        <w:rPr>
          <w:rFonts w:ascii="Arial" w:cs="Arial" w:eastAsia="Arial" w:hAnsi="Arial"/>
          <w:color w:val="1E293B"/>
          <w:sz w:val="21"/>
          <w:szCs w:val="21"/>
        </w:rPr>
        <w:t xml:space="preserve">Significant sovereign bond holders (3–5 additional): Institutions holding &gt;RON 2B in government securities that are not primary dealers but maintain active repo programs.</w:t>
      </w:r>
    </w:p>
    <w:p>
      <w:pPr>
        <w:pStyle w:val="ListParagraph"/>
        <w:numPr>
          <w:ilvl w:val="0"/>
          <w:numId w:val="2"/>
        </w:numPr>
        <w:spacing w:after="60" w:before="60"/>
      </w:pPr>
      <w:r>
        <w:rPr>
          <w:rFonts w:ascii="Arial" w:cs="Arial" w:eastAsia="Arial" w:hAnsi="Arial"/>
          <w:color w:val="1E293B"/>
          <w:sz w:val="21"/>
          <w:szCs w:val="21"/>
        </w:rPr>
        <w:t xml:space="preserve">Romanian custodians (2–3): Local custodian banks that manage collateral on behalf of institutional clients.</w:t>
      </w:r>
    </w:p>
    <w:p>
      <w:pPr>
        <w:spacing w:before="60"/>
      </w:pPr>
    </w:p>
    <w:p>
      <w:pPr>
        <w:spacing w:after="80" w:before="80"/>
      </w:pPr>
      <w:r>
        <w:rPr>
          <w:rFonts w:ascii="Arial" w:cs="Arial" w:eastAsia="Arial" w:hAnsi="Arial"/>
          <w:color w:val="1E293B"/>
          <w:sz w:val="21"/>
          <w:szCs w:val="21"/>
        </w:rPr>
        <w:t xml:space="preserve">This yields a total target universe of 13–18 institutions for Phase 1 in Romania — manageable for a founder-led sales motion and deep enough to build a credible reference base before regional expansion.</w:t>
      </w:r>
    </w:p>
    <w:p>
      <w:pPr>
        <w:spacing w:before="120"/>
      </w:pPr>
    </w:p>
    <w:p>
      <w:r>
        <w:br w:type="page"/>
      </w:r>
    </w:p>
    <w:p>
      <w:pPr>
        <w:pStyle w:val="Heading1"/>
        <w:spacing w:after="160" w:before="300"/>
      </w:pPr>
      <w:r>
        <w:rPr>
          <w:rFonts w:ascii="Arial" w:cs="Arial" w:eastAsia="Arial" w:hAnsi="Arial"/>
          <w:b/>
          <w:bCs/>
          <w:color w:val="1A2B4A"/>
          <w:sz w:val="32"/>
          <w:szCs w:val="32"/>
        </w:rPr>
        <w:t xml:space="preserve">5. Market Sizing</w:t>
      </w:r>
    </w:p>
    <w:p>
      <w:pPr>
        <w:spacing w:after="80" w:before="80"/>
      </w:pPr>
      <w:r>
        <w:rPr>
          <w:rFonts w:ascii="Arial" w:cs="Arial" w:eastAsia="Arial" w:hAnsi="Arial"/>
          <w:color w:val="1E293B"/>
          <w:sz w:val="21"/>
          <w:szCs w:val="21"/>
        </w:rPr>
        <w:t xml:space="preserve">The market sizing below is built bottom-up from the Romanian banking sector, with an expansion path to CEE and EU markets in later phases. All figures are estimates based on publicly available data and comparable enterprise software benchmarks.</w:t>
      </w:r>
    </w:p>
    <w:p>
      <w:pPr>
        <w:pStyle w:val="Heading2"/>
        <w:spacing w:after="120" w:before="240"/>
      </w:pPr>
      <w:r>
        <w:rPr>
          <w:rFonts w:ascii="Arial" w:cs="Arial" w:eastAsia="Arial" w:hAnsi="Arial"/>
          <w:b/>
          <w:bCs/>
          <w:color w:val="2563EB"/>
          <w:sz w:val="26"/>
          <w:szCs w:val="26"/>
        </w:rPr>
        <w:t xml:space="preserve">5.1  Bottoms-Up TAM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80"/>
        <w:gridCol w:w="4608"/>
      </w:tblGrid>
      <w:tr>
        <w:tc>
          <w:tcPr>
            <w:tcW w:type="dxa" w:w="187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w:t>
            </w:r>
          </w:p>
        </w:tc>
        <w:tc>
          <w:tcPr>
            <w:tcW w:type="dxa" w:w="460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Derivation</w:t>
            </w:r>
          </w:p>
        </w:tc>
      </w:tr>
      <w:tr>
        <w:tc>
          <w:tcPr>
            <w:tcW w:type="dxa" w:w="187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TAM</w:t>
            </w:r>
          </w:p>
        </w:tc>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180M
(Romanian banking)</w:t>
            </w:r>
          </w:p>
        </w:tc>
        <w:tc>
          <w:tcPr>
            <w:tcW w:type="dxa" w:w="460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32 banks × ~EUR 5.6M estimated annual operations spend on collateral management tools and personnel (conservative displacement ratio of 10–15%). Includes treasury, collateral, ops, and reporting functions.</w:t>
            </w:r>
          </w:p>
        </w:tc>
      </w:tr>
      <w:tr>
        <w:tc>
          <w:tcPr>
            <w:tcW w:type="dxa" w:w="187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SAM</w:t>
            </w:r>
          </w:p>
        </w:tc>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30–50M
(Primary dealers + significant holders)</w:t>
            </w:r>
          </w:p>
        </w:tc>
        <w:tc>
          <w:tcPr>
            <w:tcW w:type="dxa" w:w="460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13–18 target institutions × EUR 2–3M estimated collateral operations budget. Software-addressable share estimated at 15–20% of total operations cost.</w:t>
            </w:r>
          </w:p>
        </w:tc>
      </w:tr>
      <w:tr>
        <w:tc>
          <w:tcPr>
            <w:tcW w:type="dxa" w:w="187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SOM (Yr 1–3)</w:t>
            </w:r>
          </w:p>
        </w:tc>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1M–4M
(Phase 1 Romania)</w:t>
            </w:r>
          </w:p>
        </w:tc>
        <w:tc>
          <w:tcPr>
            <w:tcW w:type="dxa" w:w="460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3–5 institutions in Yr 1 at EUR 100–250K ACV; growing to 12–18 institutions at EUR 120–280K ACV by Yr 3 as product matures and references accumulate.</w:t>
            </w:r>
          </w:p>
        </w:tc>
      </w:tr>
      <w:tr>
        <w:tc>
          <w:tcPr>
            <w:tcW w:type="dxa" w:w="187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SOM (Yr 4–6)</w:t>
            </w:r>
          </w:p>
        </w:tc>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8M–20M
(Romania + 2 CEE markets)</w:t>
            </w:r>
          </w:p>
        </w:tc>
        <w:tc>
          <w:tcPr>
            <w:tcW w:type="dxa" w:w="460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Expansion to Bulgaria and Hungary adds analogous primary dealer universes (6–10 institutions each). Similar sovereign-paper-heavy banking structures and comparable digitisation gaps.</w:t>
            </w:r>
          </w:p>
        </w:tc>
      </w:tr>
    </w:tbl>
    <w:p>
      <w:pPr>
        <w:spacing w:before="60"/>
      </w:pPr>
    </w:p>
    <w:p>
      <w:pPr>
        <w:pStyle w:val="Heading2"/>
        <w:spacing w:after="120" w:before="240"/>
      </w:pPr>
      <w:r>
        <w:rPr>
          <w:rFonts w:ascii="Arial" w:cs="Arial" w:eastAsia="Arial" w:hAnsi="Arial"/>
          <w:b/>
          <w:bCs/>
          <w:color w:val="2563EB"/>
          <w:sz w:val="26"/>
          <w:szCs w:val="26"/>
        </w:rPr>
        <w:t xml:space="preserve">5.2  Why Romania Is the Right Beachhead</w:t>
      </w:r>
    </w:p>
    <w:p>
      <w:pPr>
        <w:spacing w:after="80" w:before="80"/>
      </w:pPr>
      <w:r>
        <w:rPr>
          <w:rFonts w:ascii="Arial" w:cs="Arial" w:eastAsia="Arial" w:hAnsi="Arial"/>
          <w:color w:val="1E293B"/>
          <w:sz w:val="21"/>
          <w:szCs w:val="21"/>
        </w:rPr>
        <w:t xml:space="preserve">Several structural factors make Romania an unusually strong first market for a collateral workflow platform:</w:t>
      </w:r>
    </w:p>
    <w:p>
      <w:pPr>
        <w:pStyle w:val="ListParagraph"/>
        <w:numPr>
          <w:ilvl w:val="0"/>
          <w:numId w:val="2"/>
        </w:numPr>
        <w:spacing w:after="60" w:before="60"/>
      </w:pPr>
      <w:r>
        <w:rPr>
          <w:rFonts w:ascii="Arial" w:cs="Arial" w:eastAsia="Arial" w:hAnsi="Arial"/>
          <w:color w:val="1E293B"/>
          <w:sz w:val="21"/>
          <w:szCs w:val="21"/>
        </w:rPr>
        <w:t xml:space="preserve">High sovereign paper concentration: Romanian banks hold ~22% of total assets in government securities — significantly above the EU average — creating large, active collateral pools that require daily management.</w:t>
      </w:r>
    </w:p>
    <w:p>
      <w:pPr>
        <w:pStyle w:val="ListParagraph"/>
        <w:numPr>
          <w:ilvl w:val="0"/>
          <w:numId w:val="2"/>
        </w:numPr>
        <w:spacing w:after="60" w:before="60"/>
      </w:pPr>
      <w:r>
        <w:rPr>
          <w:rFonts w:ascii="Arial" w:cs="Arial" w:eastAsia="Arial" w:hAnsi="Arial"/>
          <w:color w:val="1E293B"/>
          <w:sz w:val="21"/>
          <w:szCs w:val="21"/>
        </w:rPr>
        <w:t xml:space="preserve">Under-digitised post-trade infrastructure: Unlike Germany, France, or the Netherlands, Romania lacks a competitive local vendor ecosystem for collateral management software. The market is served by generic ERP modules and manual processes.</w:t>
      </w:r>
    </w:p>
    <w:p>
      <w:pPr>
        <w:pStyle w:val="ListParagraph"/>
        <w:numPr>
          <w:ilvl w:val="0"/>
          <w:numId w:val="2"/>
        </w:numPr>
        <w:spacing w:after="60" w:before="60"/>
      </w:pPr>
      <w:r>
        <w:rPr>
          <w:rFonts w:ascii="Arial" w:cs="Arial" w:eastAsia="Arial" w:hAnsi="Arial"/>
          <w:color w:val="1E293B"/>
          <w:sz w:val="21"/>
          <w:szCs w:val="21"/>
        </w:rPr>
        <w:t xml:space="preserve">Eurosystem trajectory alignment: Romania is on the EUR adoption path, with the BNR actively participating in Eurosystem exploratory work on digital settlement. A platform built today to the Eurosystem standard will be positioned for the transition, not disrupted by it.</w:t>
      </w:r>
    </w:p>
    <w:p>
      <w:pPr>
        <w:pStyle w:val="ListParagraph"/>
        <w:numPr>
          <w:ilvl w:val="0"/>
          <w:numId w:val="2"/>
        </w:numPr>
        <w:spacing w:after="60" w:before="60"/>
      </w:pPr>
      <w:r>
        <w:rPr>
          <w:rFonts w:ascii="Arial" w:cs="Arial" w:eastAsia="Arial" w:hAnsi="Arial"/>
          <w:color w:val="1E293B"/>
          <w:sz w:val="21"/>
          <w:szCs w:val="21"/>
        </w:rPr>
        <w:t xml:space="preserve">Regulatory pressure: SFTR obligations, Basel IV liquidity requirements, and ECB supervisory expectations are all increasing the compliance cost of manual processes, creating urgency for automation.</w:t>
      </w:r>
    </w:p>
    <w:p>
      <w:pPr>
        <w:pStyle w:val="ListParagraph"/>
        <w:numPr>
          <w:ilvl w:val="0"/>
          <w:numId w:val="2"/>
        </w:numPr>
        <w:spacing w:after="60" w:before="60"/>
      </w:pPr>
      <w:r>
        <w:rPr>
          <w:rFonts w:ascii="Arial" w:cs="Arial" w:eastAsia="Arial" w:hAnsi="Arial"/>
          <w:color w:val="1E293B"/>
          <w:sz w:val="21"/>
          <w:szCs w:val="21"/>
        </w:rPr>
        <w:t xml:space="preserve">Relationship-accessible market: 13–18 target institutions is a small enough universe to reach through direct founder relationships, shared professional networks, and BNR-adjacent conference circuits.</w:t>
      </w:r>
    </w:p>
    <w:p>
      <w:pPr>
        <w:spacing w:before="120"/>
      </w:pPr>
    </w:p>
    <w:p>
      <w:r>
        <w:br w:type="page"/>
      </w:r>
    </w:p>
    <w:p>
      <w:pPr>
        <w:pStyle w:val="Heading1"/>
        <w:spacing w:after="160" w:before="300"/>
      </w:pPr>
      <w:r>
        <w:rPr>
          <w:rFonts w:ascii="Arial" w:cs="Arial" w:eastAsia="Arial" w:hAnsi="Arial"/>
          <w:b/>
          <w:bCs/>
          <w:color w:val="1A2B4A"/>
          <w:sz w:val="32"/>
          <w:szCs w:val="32"/>
        </w:rPr>
        <w:t xml:space="preserve">6. Competitive Landscape</w:t>
      </w:r>
    </w:p>
    <w:p>
      <w:pPr>
        <w:spacing w:after="80" w:before="80"/>
      </w:pPr>
      <w:r>
        <w:rPr>
          <w:rFonts w:ascii="Arial" w:cs="Arial" w:eastAsia="Arial" w:hAnsi="Arial"/>
          <w:color w:val="1E293B"/>
          <w:sz w:val="21"/>
          <w:szCs w:val="21"/>
        </w:rPr>
        <w:t xml:space="preserve">No direct competitor occupies the exact position of a mid-market, Romania-first collateral workflow platform. The competitive landscape is structured in four layers, each with a distinct relationship to Collateral Orchestrator.</w:t>
      </w:r>
    </w:p>
    <w:p>
      <w:pPr>
        <w:pStyle w:val="Heading2"/>
        <w:spacing w:after="120" w:before="240"/>
      </w:pPr>
      <w:r>
        <w:rPr>
          <w:rFonts w:ascii="Arial" w:cs="Arial" w:eastAsia="Arial" w:hAnsi="Arial"/>
          <w:b/>
          <w:bCs/>
          <w:color w:val="2563EB"/>
          <w:sz w:val="26"/>
          <w:szCs w:val="26"/>
        </w:rPr>
        <w:t xml:space="preserve">6.1  Competitive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160"/>
        <w:gridCol w:w="2160"/>
      </w:tblGrid>
      <w:tr>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Players</w:t>
            </w:r>
          </w:p>
        </w:tc>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Relationship</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Global post-trade incumbents</w:t>
            </w:r>
          </w:p>
        </w:tc>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Broadridge DLR ($368B daily repo), Euroclear/DTCC, JPMorgan Kinexys</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Enterprise-only; not sold or deployable in Romanian mid-tier banks; no local configuration</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Not competing. We are the local integration layer.</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Enterprise treasury &amp; collateral vendors</w:t>
            </w:r>
          </w:p>
        </w:tc>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Murex, Calypso, FIS Finastra, SunGard</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Multi-year, multi-million EUR implementations; require large IT teams; not workflow-first</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Primary competitive threat. Win on speed, cost, and Romania-specific fit.</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Internal bank systems</w:t>
            </w:r>
          </w:p>
        </w:tc>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Excel, email, custom scripts, operations teams</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No real-time monitoring, no audit trail, no approval enforcement, no SFTR output</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The current incumbent at most target institutions.</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Emerging DLT infrastructure</w:t>
            </w:r>
          </w:p>
        </w:tc>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Canton Network, Fnality, HQLAx, Eurosystem Appia/Pontes</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Settlement layer, not workflow layer; requires workflow orchestration above it</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Future integration partners. Our Phase 3 adapter connects to these rails.</w:t>
            </w:r>
          </w:p>
        </w:tc>
      </w:tr>
    </w:tbl>
    <w:p>
      <w:pPr>
        <w:spacing w:before="60"/>
      </w:pPr>
    </w:p>
    <w:p>
      <w:pPr>
        <w:pStyle w:val="Heading2"/>
        <w:spacing w:after="120" w:before="240"/>
      </w:pPr>
      <w:r>
        <w:rPr>
          <w:rFonts w:ascii="Arial" w:cs="Arial" w:eastAsia="Arial" w:hAnsi="Arial"/>
          <w:b/>
          <w:bCs/>
          <w:color w:val="2563EB"/>
          <w:sz w:val="26"/>
          <w:szCs w:val="26"/>
        </w:rPr>
        <w:t xml:space="preserve">6.2  Sustainable Differentiation</w:t>
      </w:r>
    </w:p>
    <w:p>
      <w:pPr>
        <w:spacing w:after="80" w:before="80"/>
      </w:pPr>
      <w:r>
        <w:rPr>
          <w:rFonts w:ascii="Arial" w:cs="Arial" w:eastAsia="Arial" w:hAnsi="Arial"/>
          <w:color w:val="1E293B"/>
          <w:sz w:val="21"/>
          <w:szCs w:val="21"/>
        </w:rPr>
        <w:t xml:space="preserve">Our differentiated position rests on four factors that are difficult for incumbents to replicate in the Romanian mid-market:</w:t>
      </w:r>
    </w:p>
    <w:p>
      <w:pPr>
        <w:pStyle w:val="ListParagraph"/>
        <w:numPr>
          <w:ilvl w:val="0"/>
          <w:numId w:val="2"/>
        </w:numPr>
        <w:spacing w:after="60" w:before="60"/>
      </w:pPr>
      <w:r>
        <w:rPr>
          <w:rFonts w:ascii="Arial" w:cs="Arial" w:eastAsia="Arial" w:hAnsi="Arial"/>
          <w:color w:val="1E293B"/>
          <w:sz w:val="21"/>
          <w:szCs w:val="21"/>
        </w:rPr>
        <w:t xml:space="preserve">Local market fit: Built for Romanian banking workflows, SaFIR connectivity, RON/EUR multi-currency management, and BNR/SFTR regulatory requirements from day one — not retrofitted.</w:t>
      </w:r>
    </w:p>
    <w:p>
      <w:pPr>
        <w:pStyle w:val="ListParagraph"/>
        <w:numPr>
          <w:ilvl w:val="0"/>
          <w:numId w:val="2"/>
        </w:numPr>
        <w:spacing w:after="60" w:before="60"/>
      </w:pPr>
      <w:r>
        <w:rPr>
          <w:rFonts w:ascii="Arial" w:cs="Arial" w:eastAsia="Arial" w:hAnsi="Arial"/>
          <w:color w:val="1E293B"/>
          <w:sz w:val="21"/>
          <w:szCs w:val="21"/>
        </w:rPr>
        <w:t xml:space="preserve">Speed to value: A 6–8 week pilot-to-live timeline versus 12–24 months for enterprise treasury system deployments. This matters for budget cycles and institutional patience.</w:t>
      </w:r>
    </w:p>
    <w:p>
      <w:pPr>
        <w:pStyle w:val="ListParagraph"/>
        <w:numPr>
          <w:ilvl w:val="0"/>
          <w:numId w:val="2"/>
        </w:numPr>
        <w:spacing w:after="60" w:before="60"/>
      </w:pPr>
      <w:r>
        <w:rPr>
          <w:rFonts w:ascii="Arial" w:cs="Arial" w:eastAsia="Arial" w:hAnsi="Arial"/>
          <w:color w:val="1E293B"/>
          <w:sz w:val="21"/>
          <w:szCs w:val="21"/>
        </w:rPr>
        <w:t xml:space="preserve">Tokenisation optionality: The phased architecture (control layer → digital twin → DLT adapter) means customers buying the workflow product today get a natural upgrade path to digital settlement infrastructure without a rip-and-replace.</w:t>
      </w:r>
    </w:p>
    <w:p>
      <w:pPr>
        <w:pStyle w:val="ListParagraph"/>
        <w:numPr>
          <w:ilvl w:val="0"/>
          <w:numId w:val="2"/>
        </w:numPr>
        <w:spacing w:after="60" w:before="60"/>
      </w:pPr>
      <w:r>
        <w:rPr>
          <w:rFonts w:ascii="Arial" w:cs="Arial" w:eastAsia="Arial" w:hAnsi="Arial"/>
          <w:color w:val="1E293B"/>
          <w:sz w:val="21"/>
          <w:szCs w:val="21"/>
        </w:rPr>
        <w:t xml:space="preserve">Founder proximity: Early customers get direct access to founders with domain expertise and the ability to rapidly configure workflows to their specific institutional requirements. This is a structural advantage at the design-partner stage that incumbent vendors cannot replicate.</w:t>
      </w:r>
    </w:p>
    <w:p>
      <w:pPr>
        <w:spacing w:before="120"/>
      </w:pPr>
    </w:p>
    <w:p>
      <w:r>
        <w:br w:type="page"/>
      </w:r>
    </w:p>
    <w:p>
      <w:pPr>
        <w:pStyle w:val="Heading1"/>
        <w:spacing w:after="160" w:before="300"/>
      </w:pPr>
      <w:r>
        <w:rPr>
          <w:rFonts w:ascii="Arial" w:cs="Arial" w:eastAsia="Arial" w:hAnsi="Arial"/>
          <w:b/>
          <w:bCs/>
          <w:color w:val="1A2B4A"/>
          <w:sz w:val="32"/>
          <w:szCs w:val="32"/>
        </w:rPr>
        <w:t xml:space="preserve">7. Business Model &amp; Pricing</w:t>
      </w:r>
    </w:p>
    <w:p>
      <w:pPr>
        <w:pStyle w:val="Heading2"/>
        <w:spacing w:after="120" w:before="240"/>
      </w:pPr>
      <w:r>
        <w:rPr>
          <w:rFonts w:ascii="Arial" w:cs="Arial" w:eastAsia="Arial" w:hAnsi="Arial"/>
          <w:b/>
          <w:bCs/>
          <w:color w:val="2563EB"/>
          <w:sz w:val="26"/>
          <w:szCs w:val="26"/>
        </w:rPr>
        <w:t xml:space="preserve">7.1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3600"/>
        <w:gridCol w:w="3456"/>
      </w:tblGrid>
      <w:tr>
        <w:tc>
          <w:tcPr>
            <w:tcW w:type="dxa" w:w="2304"/>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Stream</w:t>
            </w:r>
          </w:p>
        </w:tc>
        <w:tc>
          <w:tcPr>
            <w:tcW w:type="dxa" w:w="36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456"/>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Range</w:t>
            </w:r>
          </w:p>
        </w:tc>
      </w:tr>
      <w:tr>
        <w:tc>
          <w:tcPr>
            <w:tcW w:type="dxa" w:w="230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Pilot Engagement</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Fixed-fee scoped implementation with the customer's real asset universe and counterparty list. Includes data migration, configuration, and 6–8 weeks of supported go-live.</w:t>
            </w:r>
          </w:p>
        </w:tc>
        <w:tc>
          <w:tcPr>
            <w:tcW w:type="dxa" w:w="345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40K–100K one-time</w:t>
            </w:r>
          </w:p>
        </w:tc>
      </w:tr>
      <w:tr>
        <w:tc>
          <w:tcPr>
            <w:tcW w:type="dxa" w:w="2304"/>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Platform Subscription</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Annual SaaS licence covering all Phase 1 modules. Priced per active institution (not per seat) with tiered feature access. Billed annually.</w:t>
            </w:r>
          </w:p>
        </w:tc>
        <w:tc>
          <w:tcPr>
            <w:tcW w:type="dxa" w:w="345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60K–200K/year</w:t>
            </w:r>
          </w:p>
        </w:tc>
      </w:tr>
      <w:tr>
        <w:tc>
          <w:tcPr>
            <w:tcW w:type="dxa" w:w="230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Integration Connectors</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Per active system integration above the base tier (e.g., Euroclear API, custom core banking connector, ARM regulatory export).</w:t>
            </w:r>
          </w:p>
        </w:tc>
        <w:tc>
          <w:tcPr>
            <w:tcW w:type="dxa" w:w="345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10K–30K/connector/year</w:t>
            </w:r>
          </w:p>
        </w:tc>
      </w:tr>
      <w:tr>
        <w:tc>
          <w:tcPr>
            <w:tcW w:type="dxa" w:w="2304"/>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Compliance Module</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Automated SFTR report generation with ARM connectivity. SOX/ECB control evidence export.</w:t>
            </w:r>
          </w:p>
        </w:tc>
        <w:tc>
          <w:tcPr>
            <w:tcW w:type="dxa" w:w="345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20K–40K/year add-on</w:t>
            </w:r>
          </w:p>
        </w:tc>
      </w:tr>
      <w:tr>
        <w:tc>
          <w:tcPr>
            <w:tcW w:type="dxa" w:w="230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Professional Services</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Configuration workshops, training, custom workflow development for non-standard institutional requirements.</w:t>
            </w:r>
          </w:p>
        </w:tc>
        <w:tc>
          <w:tcPr>
            <w:tcW w:type="dxa" w:w="345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15K–50K per engagement</w:t>
            </w:r>
          </w:p>
        </w:tc>
      </w:tr>
    </w:tbl>
    <w:p>
      <w:pPr>
        <w:spacing w:before="60"/>
      </w:pPr>
    </w:p>
    <w:p>
      <w:pPr>
        <w:pStyle w:val="Heading2"/>
        <w:spacing w:after="120" w:before="240"/>
      </w:pPr>
      <w:r>
        <w:rPr>
          <w:rFonts w:ascii="Arial" w:cs="Arial" w:eastAsia="Arial" w:hAnsi="Arial"/>
          <w:b/>
          <w:bCs/>
          <w:color w:val="2563EB"/>
          <w:sz w:val="26"/>
          <w:szCs w:val="26"/>
        </w:rPr>
        <w:t xml:space="preserve">7.2  Indicative Pricing Tiers</w:t>
      </w:r>
    </w:p>
    <w:p>
      <w:pPr>
        <w:spacing w:after="80" w:before="80"/>
      </w:pPr>
      <w:r>
        <w:rPr>
          <w:rFonts w:ascii="Arial" w:cs="Arial" w:eastAsia="Arial" w:hAnsi="Arial"/>
          <w:color w:val="1E293B"/>
          <w:sz w:val="21"/>
          <w:szCs w:val="21"/>
        </w:rPr>
        <w:t xml:space="preserve">Pricing benchmarks against comparable enterprise infrastructure products sold to CEE banks (regulatory reporting platforms, treasury management systems, risk tools from regional vendors) which typically command EUR 150K–500K annually for mid-tier institutions. Collateral Orchestrator enters at the lower end of this range to drive adoption, with a clear expansion path.</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2160"/>
        <w:gridCol w:w="5184"/>
      </w:tblGrid>
      <w:tr>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Price/Year</w:t>
            </w:r>
          </w:p>
        </w:tc>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Modules</w:t>
            </w:r>
          </w:p>
        </w:tc>
        <w:tc>
          <w:tcPr>
            <w:tcW w:type="dxa" w:w="5184"/>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Institutions</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Foundation</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60K–90K</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Inventory, Repo Engine, Audit Trail</w:t>
            </w:r>
          </w:p>
        </w:tc>
        <w:tc>
          <w:tcPr>
            <w:tcW w:type="dxa" w:w="518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Smaller banks, subsidiaries of EU groups — entering repo market or replacing spreadsheets</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Standard</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100K–160K</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Foundation + Margin Monitor, SFTR, Operations</w:t>
            </w:r>
          </w:p>
        </w:tc>
        <w:tc>
          <w:tcPr>
            <w:tcW w:type="dxa" w:w="5184"/>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Mid-tier primary dealers with active bilateral repo programs</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Advanced</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180K–250K+</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Standard + Portfolio Optimisation, Digital Positions, custom integrations</w:t>
            </w:r>
          </w:p>
        </w:tc>
        <w:tc>
          <w:tcPr>
            <w:tcW w:type="dxa" w:w="5184"/>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Tier 1 Romanian banks, largest primary dealers, multi-custodian setups</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8. Go-to-Market Strategy</w:t>
      </w:r>
    </w:p>
    <w:p>
      <w:pPr>
        <w:spacing w:after="80" w:before="80"/>
      </w:pPr>
      <w:r>
        <w:rPr>
          <w:rFonts w:ascii="Arial" w:cs="Arial" w:eastAsia="Arial" w:hAnsi="Arial"/>
          <w:color w:val="1E293B"/>
          <w:sz w:val="21"/>
          <w:szCs w:val="21"/>
        </w:rPr>
        <w:t xml:space="preserve">The GTM strategy is built around three principles: (1) sell to the people who feel the pain most acutely, not the most senior budget holder; (2) close the first three deals through founder relationships and domain credibility, not marketing; and (3) use every customer interaction to sharpen the product, not just to generate revenue.</w:t>
      </w:r>
    </w:p>
    <w:p>
      <w:pPr>
        <w:pStyle w:val="Heading2"/>
        <w:spacing w:after="120" w:before="240"/>
      </w:pPr>
      <w:r>
        <w:rPr>
          <w:rFonts w:ascii="Arial" w:cs="Arial" w:eastAsia="Arial" w:hAnsi="Arial"/>
          <w:b/>
          <w:bCs/>
          <w:color w:val="2563EB"/>
          <w:sz w:val="26"/>
          <w:szCs w:val="26"/>
        </w:rPr>
        <w:t xml:space="preserve">8.1  Phase 1: Design-Partner Sales (Months 1–12)</w:t>
      </w:r>
    </w:p>
    <w:p>
      <w:pPr>
        <w:spacing w:after="80" w:before="80"/>
      </w:pPr>
      <w:r>
        <w:rPr>
          <w:rFonts w:ascii="Arial" w:cs="Arial" w:eastAsia="Arial" w:hAnsi="Arial"/>
          <w:color w:val="1E293B"/>
          <w:sz w:val="21"/>
          <w:szCs w:val="21"/>
        </w:rPr>
        <w:t xml:space="preserve">Recruit 3–5 Romanian banks as design partners. These are not charity relationships — they pay a pilot fee (EUR 40K–80K) for a scoped implementation and get a platform configured to their specific institutional requirements. In return, we get deep product feedback, domain validation, and the reference base needed for Phase 2 expansion.</w:t>
      </w:r>
    </w:p>
    <w:p>
      <w:pPr>
        <w:pStyle w:val="ListParagraph"/>
        <w:numPr>
          <w:ilvl w:val="0"/>
          <w:numId w:val="2"/>
        </w:numPr>
        <w:spacing w:after="60" w:before="60"/>
      </w:pPr>
      <w:r>
        <w:rPr>
          <w:rFonts w:ascii="Arial" w:cs="Arial" w:eastAsia="Arial" w:hAnsi="Arial"/>
          <w:color w:val="1E293B"/>
          <w:sz w:val="21"/>
          <w:szCs w:val="21"/>
        </w:rPr>
        <w:t xml:space="preserve">Entry point: Head of Collateral Management or Head of Treasury Operations (the champion), not the CFO (the buyer). Get the champion to pull the deal up to the buyer.</w:t>
      </w:r>
    </w:p>
    <w:p>
      <w:pPr>
        <w:pStyle w:val="ListParagraph"/>
        <w:numPr>
          <w:ilvl w:val="0"/>
          <w:numId w:val="2"/>
        </w:numPr>
        <w:spacing w:after="60" w:before="60"/>
      </w:pPr>
      <w:r>
        <w:rPr>
          <w:rFonts w:ascii="Arial" w:cs="Arial" w:eastAsia="Arial" w:hAnsi="Arial"/>
          <w:color w:val="1E293B"/>
          <w:sz w:val="21"/>
          <w:szCs w:val="21"/>
        </w:rPr>
        <w:t xml:space="preserve">Access channels: BNR consultation processes and working groups; Romanian banking association events; shared professional networks of founders; referrals from external counsel and risk advisers with existing bank relationships.</w:t>
      </w:r>
    </w:p>
    <w:p>
      <w:pPr>
        <w:pStyle w:val="ListParagraph"/>
        <w:numPr>
          <w:ilvl w:val="0"/>
          <w:numId w:val="2"/>
        </w:numPr>
        <w:spacing w:after="60" w:before="60"/>
      </w:pPr>
      <w:r>
        <w:rPr>
          <w:rFonts w:ascii="Arial" w:cs="Arial" w:eastAsia="Arial" w:hAnsi="Arial"/>
          <w:color w:val="1E293B"/>
          <w:sz w:val="21"/>
          <w:szCs w:val="21"/>
        </w:rPr>
        <w:t xml:space="preserve">Sales collateral required: 20-minute live demo (prototype is already built and demo-ready), one-page problem/solution summary, ROI estimate (time saved per repo trade × volume), technical integration overview, regulatory positioning paper.</w:t>
      </w:r>
    </w:p>
    <w:p>
      <w:pPr>
        <w:pStyle w:val="ListParagraph"/>
        <w:numPr>
          <w:ilvl w:val="0"/>
          <w:numId w:val="2"/>
        </w:numPr>
        <w:spacing w:after="60" w:before="60"/>
      </w:pPr>
      <w:r>
        <w:rPr>
          <w:rFonts w:ascii="Arial" w:cs="Arial" w:eastAsia="Arial" w:hAnsi="Arial"/>
          <w:color w:val="1E293B"/>
          <w:sz w:val="21"/>
          <w:szCs w:val="21"/>
        </w:rPr>
        <w:t xml:space="preserve">Success definition: 3 paying design partners by Month 8; at least 1 published case study (with anonymised metrics) by Month 12; NPS &gt; 60 from design-partner cohort.</w:t>
      </w:r>
    </w:p>
    <w:p>
      <w:pPr>
        <w:pStyle w:val="Heading2"/>
        <w:spacing w:after="120" w:before="240"/>
      </w:pPr>
      <w:r>
        <w:rPr>
          <w:rFonts w:ascii="Arial" w:cs="Arial" w:eastAsia="Arial" w:hAnsi="Arial"/>
          <w:b/>
          <w:bCs/>
          <w:color w:val="2563EB"/>
          <w:sz w:val="26"/>
          <w:szCs w:val="26"/>
        </w:rPr>
        <w:t xml:space="preserve">8.2  Phase 2: Expansion Sales (Months 13–24)</w:t>
      </w:r>
    </w:p>
    <w:p>
      <w:pPr>
        <w:spacing w:after="80" w:before="80"/>
      </w:pPr>
      <w:r>
        <w:rPr>
          <w:rFonts w:ascii="Arial" w:cs="Arial" w:eastAsia="Arial" w:hAnsi="Arial"/>
          <w:color w:val="1E293B"/>
          <w:sz w:val="21"/>
          <w:szCs w:val="21"/>
        </w:rPr>
        <w:t xml:space="preserve">With 3–5 validated references, expand to the remaining Romanian primary dealer universe and begin scoping the first CEE market (Bulgaria or Hungary — both have analogous sovereign-paper-heavy banking systems and comparable digitisation gaps).</w:t>
      </w:r>
    </w:p>
    <w:p>
      <w:pPr>
        <w:pStyle w:val="ListParagraph"/>
        <w:numPr>
          <w:ilvl w:val="0"/>
          <w:numId w:val="2"/>
        </w:numPr>
        <w:spacing w:after="60" w:before="60"/>
      </w:pPr>
      <w:r>
        <w:rPr>
          <w:rFonts w:ascii="Arial" w:cs="Arial" w:eastAsia="Arial" w:hAnsi="Arial"/>
          <w:color w:val="1E293B"/>
          <w:sz w:val="21"/>
          <w:szCs w:val="21"/>
        </w:rPr>
        <w:t xml:space="preserve">Hire first dedicated account executive with Romanian banking network.</w:t>
      </w:r>
    </w:p>
    <w:p>
      <w:pPr>
        <w:pStyle w:val="ListParagraph"/>
        <w:numPr>
          <w:ilvl w:val="0"/>
          <w:numId w:val="2"/>
        </w:numPr>
        <w:spacing w:after="60" w:before="60"/>
      </w:pPr>
      <w:r>
        <w:rPr>
          <w:rFonts w:ascii="Arial" w:cs="Arial" w:eastAsia="Arial" w:hAnsi="Arial"/>
          <w:color w:val="1E293B"/>
          <w:sz w:val="21"/>
          <w:szCs w:val="21"/>
        </w:rPr>
        <w:t xml:space="preserve">Build a partner channel: engage 2–3 Romanian banking technology consultancies and legal/compliance advisers as referral partners.</w:t>
      </w:r>
    </w:p>
    <w:p>
      <w:pPr>
        <w:pStyle w:val="ListParagraph"/>
        <w:numPr>
          <w:ilvl w:val="0"/>
          <w:numId w:val="2"/>
        </w:numPr>
        <w:spacing w:after="60" w:before="60"/>
      </w:pPr>
      <w:r>
        <w:rPr>
          <w:rFonts w:ascii="Arial" w:cs="Arial" w:eastAsia="Arial" w:hAnsi="Arial"/>
          <w:color w:val="1E293B"/>
          <w:sz w:val="21"/>
          <w:szCs w:val="21"/>
        </w:rPr>
        <w:t xml:space="preserve">Conference strategy: Sibos, EuroFinance, Romanian Banking Association annual conference, BNR roundtables.</w:t>
      </w:r>
    </w:p>
    <w:p>
      <w:pPr>
        <w:pStyle w:val="ListParagraph"/>
        <w:numPr>
          <w:ilvl w:val="0"/>
          <w:numId w:val="2"/>
        </w:numPr>
        <w:spacing w:after="60" w:before="60"/>
      </w:pPr>
      <w:r>
        <w:rPr>
          <w:rFonts w:ascii="Arial" w:cs="Arial" w:eastAsia="Arial" w:hAnsi="Arial"/>
          <w:color w:val="1E293B"/>
          <w:sz w:val="21"/>
          <w:szCs w:val="21"/>
        </w:rPr>
        <w:t xml:space="preserve">Target: EUR 1.5M–2.5M ARR by end of Month 24; 8–12 paying institutions.</w:t>
      </w:r>
    </w:p>
    <w:p>
      <w:pPr>
        <w:pStyle w:val="Heading2"/>
        <w:spacing w:after="120" w:before="240"/>
      </w:pPr>
      <w:r>
        <w:rPr>
          <w:rFonts w:ascii="Arial" w:cs="Arial" w:eastAsia="Arial" w:hAnsi="Arial"/>
          <w:b/>
          <w:bCs/>
          <w:color w:val="2563EB"/>
          <w:sz w:val="26"/>
          <w:szCs w:val="26"/>
        </w:rPr>
        <w:t xml:space="preserve">8.3  Phase 3: CEE Scale (Months 25–36)</w:t>
      </w:r>
    </w:p>
    <w:p>
      <w:pPr>
        <w:spacing w:after="80" w:before="80"/>
      </w:pPr>
      <w:r>
        <w:rPr>
          <w:rFonts w:ascii="Arial" w:cs="Arial" w:eastAsia="Arial" w:hAnsi="Arial"/>
          <w:color w:val="1E293B"/>
          <w:sz w:val="21"/>
          <w:szCs w:val="21"/>
        </w:rPr>
        <w:t xml:space="preserve">Enter 1–2 additional CEE markets with a localised version of the platform (regulatory reporting adapted to local regimes, language localisation for UI, local legal counsel network). Explore Series A fundraising at EUR 2M+ ARR.</w:t>
      </w:r>
    </w:p>
    <w:p>
      <w:pPr>
        <w:pStyle w:val="ListParagraph"/>
        <w:numPr>
          <w:ilvl w:val="0"/>
          <w:numId w:val="2"/>
        </w:numPr>
        <w:spacing w:after="60" w:before="60"/>
      </w:pPr>
      <w:r>
        <w:rPr>
          <w:rFonts w:ascii="Arial" w:cs="Arial" w:eastAsia="Arial" w:hAnsi="Arial"/>
          <w:color w:val="1E293B"/>
          <w:sz w:val="21"/>
          <w:szCs w:val="21"/>
        </w:rPr>
        <w:t xml:space="preserve">Target: EUR 3M–4M ARR by end of Month 36; 18–25 institutions across 2–3 markets.</w:t>
      </w:r>
    </w:p>
    <w:p>
      <w:pPr>
        <w:pStyle w:val="Heading2"/>
        <w:spacing w:after="120" w:before="240"/>
      </w:pPr>
      <w:r>
        <w:rPr>
          <w:rFonts w:ascii="Arial" w:cs="Arial" w:eastAsia="Arial" w:hAnsi="Arial"/>
          <w:b/>
          <w:bCs/>
          <w:color w:val="2563EB"/>
          <w:sz w:val="26"/>
          <w:szCs w:val="26"/>
        </w:rPr>
        <w:t xml:space="preserve">8.4  Key Sales Milestones</w:t>
      </w:r>
    </w:p>
    <w:p>
      <w:pPr>
        <w:spacing w:after="80" w:before="80"/>
      </w:pPr>
      <w:r>
        <w:rPr>
          <w:rFonts w:ascii="Arial" w:cs="Arial" w:eastAsia="Arial" w:hAnsi="Arial"/>
          <w:color w:val="1E293B"/>
          <w:sz w:val="21"/>
          <w:szCs w:val="21"/>
        </w:rPr>
        <w:t xml:space="preserve">The following metrics define what a successful pilot looks like before entering design-partner conversations. These should be defined and shared with prospects upfront:</w:t>
      </w:r>
    </w:p>
    <w:p>
      <w:pPr>
        <w:pStyle w:val="ListParagraph"/>
        <w:numPr>
          <w:ilvl w:val="0"/>
          <w:numId w:val="2"/>
        </w:numPr>
        <w:spacing w:after="60" w:before="60"/>
      </w:pPr>
      <w:r>
        <w:rPr>
          <w:rFonts w:ascii="Arial" w:cs="Arial" w:eastAsia="Arial" w:hAnsi="Arial"/>
          <w:color w:val="1E293B"/>
          <w:sz w:val="21"/>
          <w:szCs w:val="21"/>
        </w:rPr>
        <w:t xml:space="preserve">Reduction in manual steps per repo trade: target &gt;60% reduction vs. baseline</w:t>
      </w:r>
    </w:p>
    <w:p>
      <w:pPr>
        <w:pStyle w:val="ListParagraph"/>
        <w:numPr>
          <w:ilvl w:val="0"/>
          <w:numId w:val="2"/>
        </w:numPr>
        <w:spacing w:after="60" w:before="60"/>
      </w:pPr>
      <w:r>
        <w:rPr>
          <w:rFonts w:ascii="Arial" w:cs="Arial" w:eastAsia="Arial" w:hAnsi="Arial"/>
          <w:color w:val="1E293B"/>
          <w:sz w:val="21"/>
          <w:szCs w:val="21"/>
        </w:rPr>
        <w:t xml:space="preserve">Time-to-basket-allocation: from trade input to collateral confirmation in &lt;5 minutes vs. 30–90 minutes manually</w:t>
      </w:r>
    </w:p>
    <w:p>
      <w:pPr>
        <w:pStyle w:val="ListParagraph"/>
        <w:numPr>
          <w:ilvl w:val="0"/>
          <w:numId w:val="2"/>
        </w:numPr>
        <w:spacing w:after="60" w:before="60"/>
      </w:pPr>
      <w:r>
        <w:rPr>
          <w:rFonts w:ascii="Arial" w:cs="Arial" w:eastAsia="Arial" w:hAnsi="Arial"/>
          <w:color w:val="1E293B"/>
          <w:sz w:val="21"/>
          <w:szCs w:val="21"/>
        </w:rPr>
        <w:t xml:space="preserve">Margin exception response time: from deficit detection to top-up approval in &lt;30 minutes vs. hours</w:t>
      </w:r>
    </w:p>
    <w:p>
      <w:pPr>
        <w:pStyle w:val="ListParagraph"/>
        <w:numPr>
          <w:ilvl w:val="0"/>
          <w:numId w:val="2"/>
        </w:numPr>
        <w:spacing w:after="60" w:before="60"/>
      </w:pPr>
      <w:r>
        <w:rPr>
          <w:rFonts w:ascii="Arial" w:cs="Arial" w:eastAsia="Arial" w:hAnsi="Arial"/>
          <w:color w:val="1E293B"/>
          <w:sz w:val="21"/>
          <w:szCs w:val="21"/>
        </w:rPr>
        <w:t xml:space="preserve">Audit trail completeness: 100% of collateral decisions captured with before/after states</w:t>
      </w:r>
    </w:p>
    <w:p>
      <w:pPr>
        <w:pStyle w:val="ListParagraph"/>
        <w:numPr>
          <w:ilvl w:val="0"/>
          <w:numId w:val="2"/>
        </w:numPr>
        <w:spacing w:after="60" w:before="60"/>
      </w:pPr>
      <w:r>
        <w:rPr>
          <w:rFonts w:ascii="Arial" w:cs="Arial" w:eastAsia="Arial" w:hAnsi="Arial"/>
          <w:color w:val="1E293B"/>
          <w:sz w:val="21"/>
          <w:szCs w:val="21"/>
        </w:rPr>
        <w:t xml:space="preserve">SFTR report generation time: from end-of-day to report in &lt;15 minutes vs. 2–4 hours</w:t>
      </w:r>
    </w:p>
    <w:p>
      <w:pPr>
        <w:spacing w:before="120"/>
      </w:pPr>
    </w:p>
    <w:p>
      <w:r>
        <w:br w:type="page"/>
      </w:r>
    </w:p>
    <w:p>
      <w:pPr>
        <w:pStyle w:val="Heading1"/>
        <w:spacing w:after="160" w:before="300"/>
      </w:pPr>
      <w:r>
        <w:rPr>
          <w:rFonts w:ascii="Arial" w:cs="Arial" w:eastAsia="Arial" w:hAnsi="Arial"/>
          <w:b/>
          <w:bCs/>
          <w:color w:val="1A2B4A"/>
          <w:sz w:val="32"/>
          <w:szCs w:val="32"/>
        </w:rPr>
        <w:t xml:space="preserve">9. Regulatory &amp; Legal Framework</w:t>
      </w:r>
    </w:p>
    <w:p>
      <w:pPr>
        <w:spacing w:after="80" w:before="80"/>
      </w:pPr>
      <w:r>
        <w:rPr>
          <w:rFonts w:ascii="Arial" w:cs="Arial" w:eastAsia="Arial" w:hAnsi="Arial"/>
          <w:color w:val="1E293B"/>
          <w:sz w:val="21"/>
          <w:szCs w:val="21"/>
        </w:rPr>
        <w:t xml:space="preserve">Regulatory awareness is a core product and commercial asset for Collateral Orchestrator. The platform is designed to help banks meet their existing obligations — it does not create new regulatory exposure in Phase 1. The phased architecture is explicitly calibrated to avoid regulatory grey areas at each stage.</w:t>
      </w:r>
    </w:p>
    <w:p>
      <w:pPr>
        <w:pStyle w:val="Heading2"/>
        <w:spacing w:after="120" w:before="240"/>
      </w:pPr>
      <w:r>
        <w:rPr>
          <w:rFonts w:ascii="Arial" w:cs="Arial" w:eastAsia="Arial" w:hAnsi="Arial"/>
          <w:b/>
          <w:bCs/>
          <w:color w:val="2563EB"/>
          <w:sz w:val="26"/>
          <w:szCs w:val="26"/>
        </w:rPr>
        <w:t xml:space="preserve">9.1  Phase 1 Regulatory Position</w:t>
      </w:r>
    </w:p>
    <w:p>
      <w:pPr>
        <w:spacing w:after="80" w:before="80"/>
      </w:pPr>
      <w:r>
        <w:rPr>
          <w:rFonts w:ascii="Arial" w:cs="Arial" w:eastAsia="Arial" w:hAnsi="Arial"/>
          <w:color w:val="1E293B"/>
          <w:sz w:val="21"/>
          <w:szCs w:val="21"/>
        </w:rPr>
        <w:t xml:space="preserve">The Phase 1 product (workflow orchestration, approval routing, audit trail, SFTR reporting) is a software tool that helps banks manage their existing processes more effectively. It does not issue, transfer, or represent ownership of securities. It does not hold client assets. It does not process payments. This places it outside the scope of MiCA, the DLT Pilot Regime, and investment services regulation — it is enterprise workflow software, not a financial infrastructure operator.</w:t>
      </w:r>
    </w:p>
    <w:p>
      <w:pPr>
        <w:spacing w:before="60"/>
      </w:pPr>
    </w:p>
    <w:p>
      <w:pPr>
        <w:spacing w:after="80" w:before="80"/>
      </w:pPr>
      <w:r>
        <w:rPr>
          <w:rFonts w:ascii="Arial" w:cs="Arial" w:eastAsia="Arial" w:hAnsi="Arial"/>
          <w:color w:val="1E293B"/>
          <w:sz w:val="21"/>
          <w:szCs w:val="21"/>
        </w:rPr>
        <w:t xml:space="preserve">Key legal workstream for Phase 1: obtain a legal opinion confirming this classification under Romanian law and EU regulation, covering (a) the nature of the digital position record as a software audit object rather than a transferable claim, and (b) SFTR reporting obligations that the platform can help satisfy.</w:t>
      </w:r>
    </w:p>
    <w:p>
      <w:pPr>
        <w:pStyle w:val="Heading2"/>
        <w:spacing w:after="120" w:before="240"/>
      </w:pPr>
      <w:r>
        <w:rPr>
          <w:rFonts w:ascii="Arial" w:cs="Arial" w:eastAsia="Arial" w:hAnsi="Arial"/>
          <w:b/>
          <w:bCs/>
          <w:color w:val="2563EB"/>
          <w:sz w:val="26"/>
          <w:szCs w:val="26"/>
        </w:rPr>
        <w:t xml:space="preserve">9.2  Regulatory Compliance Embedded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Regulation</w:t>
            </w:r>
          </w:p>
        </w:tc>
        <w:tc>
          <w:tcPr>
            <w:tcW w:type="dxa" w:w="72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the Platform Addresses It</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SFTR (EU 2015/2365)</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Automated daily trade report generation — UTIs, counterparty LEIs, collateral ISINs, notional amounts, collateral quality. Designed for ARM connectivity in Phase 2.</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Basel IV / CRR3</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Supports LCR/NSFR collateral management by providing real-time visibility of HQLA positions and enabling efficient collateral allocation to minimise regulatory capital impact.</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EMIR</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Margin monitoring and exception workflows support variation margin and initial margin obligation tracking for OTC derivative counterparties using the same collateral pools.</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ECB/BNR Supervisory</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Immutable audit trail with timestamp, actor, role, before/after state, and justification for every collateral decision — directly responsive to supervisory inspection requirements.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DLT Pilot Regime</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No Phase 1 exposure. Phase 3 adapter will be designed in compliance with the Pilot Regime sandbox framework applicable to the DLT settlement infrastructure it connects to.</w:t>
            </w:r>
          </w:p>
        </w:tc>
      </w:tr>
    </w:tbl>
    <w:p>
      <w:pPr>
        <w:spacing w:before="60"/>
      </w:pPr>
    </w:p>
    <w:p>
      <w:pPr>
        <w:pStyle w:val="Heading2"/>
        <w:spacing w:after="120" w:before="240"/>
      </w:pPr>
      <w:r>
        <w:rPr>
          <w:rFonts w:ascii="Arial" w:cs="Arial" w:eastAsia="Arial" w:hAnsi="Arial"/>
          <w:b/>
          <w:bCs/>
          <w:color w:val="2563EB"/>
          <w:sz w:val="26"/>
          <w:szCs w:val="26"/>
        </w:rPr>
        <w:t xml:space="preserve">9.3  Regulatory Engagement Strategy</w:t>
      </w:r>
    </w:p>
    <w:p>
      <w:pPr>
        <w:spacing w:after="80" w:before="80"/>
      </w:pPr>
      <w:r>
        <w:rPr>
          <w:rFonts w:ascii="Arial" w:cs="Arial" w:eastAsia="Arial" w:hAnsi="Arial"/>
          <w:color w:val="1E293B"/>
          <w:sz w:val="21"/>
          <w:szCs w:val="21"/>
        </w:rPr>
        <w:t xml:space="preserve">In a market of 13–18 institutions, regulatory relationships are not optional — they are a core strategic asset. The founding team should engage proactively with the BNR and ASF (Financial Supervisory Authority) from the outset, presenting the platform concept as a tool that supports regulatory compliance rather than one that requires regulatory approval. Specific actions:</w:t>
      </w:r>
    </w:p>
    <w:p>
      <w:pPr>
        <w:pStyle w:val="ListParagraph"/>
        <w:numPr>
          <w:ilvl w:val="0"/>
          <w:numId w:val="2"/>
        </w:numPr>
        <w:spacing w:after="60" w:before="60"/>
      </w:pPr>
      <w:r>
        <w:rPr>
          <w:rFonts w:ascii="Arial" w:cs="Arial" w:eastAsia="Arial" w:hAnsi="Arial"/>
          <w:color w:val="1E293B"/>
          <w:sz w:val="21"/>
          <w:szCs w:val="21"/>
        </w:rPr>
        <w:t xml:space="preserve">Brief the BNR's banking supervision and financial stability departments on the platform concept and its SFTR and ECB audit trail capabilities within the first 6 months.</w:t>
      </w:r>
    </w:p>
    <w:p>
      <w:pPr>
        <w:pStyle w:val="ListParagraph"/>
        <w:numPr>
          <w:ilvl w:val="0"/>
          <w:numId w:val="2"/>
        </w:numPr>
        <w:spacing w:after="60" w:before="60"/>
      </w:pPr>
      <w:r>
        <w:rPr>
          <w:rFonts w:ascii="Arial" w:cs="Arial" w:eastAsia="Arial" w:hAnsi="Arial"/>
          <w:color w:val="1E293B"/>
          <w:sz w:val="21"/>
          <w:szCs w:val="21"/>
        </w:rPr>
        <w:t xml:space="preserve">Participate in BNR consultation processes on digital finance and post-trade infrastructure.</w:t>
      </w:r>
    </w:p>
    <w:p>
      <w:pPr>
        <w:pStyle w:val="ListParagraph"/>
        <w:numPr>
          <w:ilvl w:val="0"/>
          <w:numId w:val="2"/>
        </w:numPr>
        <w:spacing w:after="60" w:before="60"/>
      </w:pPr>
      <w:r>
        <w:rPr>
          <w:rFonts w:ascii="Arial" w:cs="Arial" w:eastAsia="Arial" w:hAnsi="Arial"/>
          <w:color w:val="1E293B"/>
          <w:sz w:val="21"/>
          <w:szCs w:val="21"/>
        </w:rPr>
        <w:t xml:space="preserve">Monitor and engage with the Eurosystem's Appia and Pontes exploratory work to ensure Phase 3 architecture alignment.</w:t>
      </w:r>
    </w:p>
    <w:p>
      <w:pPr>
        <w:pStyle w:val="ListParagraph"/>
        <w:numPr>
          <w:ilvl w:val="0"/>
          <w:numId w:val="2"/>
        </w:numPr>
        <w:spacing w:after="60" w:before="60"/>
      </w:pPr>
      <w:r>
        <w:rPr>
          <w:rFonts w:ascii="Arial" w:cs="Arial" w:eastAsia="Arial" w:hAnsi="Arial"/>
          <w:color w:val="1E293B"/>
          <w:sz w:val="21"/>
          <w:szCs w:val="21"/>
        </w:rPr>
        <w:t xml:space="preserve">Obtain a Phase 1 legal opinion from Romanian external counsel specialising in banking and financial markets regulation.</w:t>
      </w:r>
    </w:p>
    <w:p>
      <w:pPr>
        <w:spacing w:before="120"/>
      </w:pPr>
    </w:p>
    <w:p>
      <w:r>
        <w:br w:type="page"/>
      </w:r>
    </w:p>
    <w:p>
      <w:pPr>
        <w:pStyle w:val="Heading1"/>
        <w:spacing w:after="160" w:before="300"/>
      </w:pPr>
      <w:r>
        <w:rPr>
          <w:rFonts w:ascii="Arial" w:cs="Arial" w:eastAsia="Arial" w:hAnsi="Arial"/>
          <w:b/>
          <w:bCs/>
          <w:color w:val="1A2B4A"/>
          <w:sz w:val="32"/>
          <w:szCs w:val="32"/>
        </w:rPr>
        <w:t xml:space="preserve">10.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57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44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Q2 2026</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MVP Launch</w:t>
            </w:r>
          </w:p>
        </w:tc>
        <w:tc>
          <w:tcPr>
            <w:tcW w:type="dxa" w:w="57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Collateral inventory, four-step repo booking, margin monitor, collateral substitution, audit trail, basic SFTR report. Demo environment live on Vercel. First design-partner pilot scoped.</w:t>
            </w:r>
          </w:p>
        </w:tc>
      </w:tr>
      <w:tr>
        <w:tc>
          <w:tcPr>
            <w:tcW w:type="dxa" w:w="144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Q3 2026</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Design Partners 1–2</w:t>
            </w:r>
          </w:p>
        </w:tc>
        <w:tc>
          <w:tcPr>
            <w:tcW w:type="dxa" w:w="5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SaFIR data feed integration (bank-side), role-based access model enforced (Treasury / Collateral / Operations / Risk), MT543 settlement instruction preview, pilot fee structure agreed.</w:t>
            </w:r>
          </w:p>
        </w:tc>
      </w:tr>
      <w:tr>
        <w:tc>
          <w:tcPr>
            <w:tcW w:type="dxa" w:w="144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Q4 2026</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Design Partners 3–5</w:t>
            </w:r>
          </w:p>
        </w:tc>
        <w:tc>
          <w:tcPr>
            <w:tcW w:type="dxa" w:w="57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Counterparty monitor, portfolio optimisation engine, ARM SFTR export (beta), multi-custodian inventory view (Euroclear + SaFIR), first case study published.</w:t>
            </w:r>
          </w:p>
        </w:tc>
      </w:tr>
      <w:tr>
        <w:tc>
          <w:tcPr>
            <w:tcW w:type="dxa" w:w="144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Q1 2027</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Standard Tier GA</w:t>
            </w:r>
          </w:p>
        </w:tc>
        <w:tc>
          <w:tcPr>
            <w:tcW w:type="dxa" w:w="5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Full SFTR ARM connectivity, ECB/BNR audit trail export, integration hub with 3 core banking connectors, partner portal for implementation consultancies.</w:t>
            </w:r>
          </w:p>
        </w:tc>
      </w:tr>
      <w:tr>
        <w:tc>
          <w:tcPr>
            <w:tcW w:type="dxa" w:w="144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Q2–Q3 2027</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CEE Expansion Prep</w:t>
            </w:r>
          </w:p>
        </w:tc>
        <w:tc>
          <w:tcPr>
            <w:tcW w:type="dxa" w:w="57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Platform localisation for Bulgarian and Hungarian regulatory regimes, first CEE pilot signed, Series A preparation begins.</w:t>
            </w:r>
          </w:p>
        </w:tc>
      </w:tr>
      <w:tr>
        <w:tc>
          <w:tcPr>
            <w:tcW w:type="dxa" w:w="144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Q4 2027</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Digital Positions Beta</w:t>
            </w:r>
          </w:p>
        </w:tc>
        <w:tc>
          <w:tcPr>
            <w:tcW w:type="dxa" w:w="5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Phase 2: digital position objects as internal software abstractions — lifecycle state machine, event history, encumbrance tracking. Legal opinion on Phase 2 classification.</w:t>
            </w:r>
          </w:p>
        </w:tc>
      </w:tr>
      <w:tr>
        <w:tc>
          <w:tcPr>
            <w:tcW w:type="dxa" w:w="144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2028+</w:t>
            </w:r>
          </w:p>
        </w:tc>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Tokenisation Adapter</w:t>
            </w:r>
          </w:p>
        </w:tc>
        <w:tc>
          <w:tcPr>
            <w:tcW w:type="dxa" w:w="57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Phase 3: adapter connecting digital positions to DLT settlement rails (Canton, Fnality, Eurosystem infrastructure). Positioned as upgrade, not replacement.</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11. Team &amp; Organisational Plan</w:t>
      </w:r>
    </w:p>
    <w:p>
      <w:pPr>
        <w:pStyle w:val="Heading2"/>
        <w:spacing w:after="120" w:before="240"/>
      </w:pPr>
      <w:r>
        <w:rPr>
          <w:rFonts w:ascii="Arial" w:cs="Arial" w:eastAsia="Arial" w:hAnsi="Arial"/>
          <w:b/>
          <w:bCs/>
          <w:color w:val="2563EB"/>
          <w:sz w:val="26"/>
          <w:szCs w:val="26"/>
        </w:rPr>
        <w:t xml:space="preserve">11.1  Founding Team Requirements</w:t>
      </w:r>
    </w:p>
    <w:p>
      <w:pPr>
        <w:spacing w:after="80" w:before="80"/>
      </w:pPr>
      <w:r>
        <w:rPr>
          <w:rFonts w:ascii="Arial" w:cs="Arial" w:eastAsia="Arial" w:hAnsi="Arial"/>
          <w:color w:val="1E293B"/>
          <w:sz w:val="21"/>
          <w:szCs w:val="21"/>
        </w:rPr>
        <w:t xml:space="preserve">For a B2B infrastructure product sold into regulated financial institutions, the founding team is the product in the first 18 months. Institutional buyers are buying trust and domain credibility as much as software. The ideal founding team covers the following roles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6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c>
          <w:tcPr>
            <w:tcW w:type="dxa" w:w="36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 Profile Attributes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CEO / Commercial Lead</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Customer discovery, pilot sales, fundraising, regulatory relationships, partnership development</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Former banker or senior fintech operator with Romanian bank relationships; understands collateral operations from the inside</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CTO / Engineering Lead</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Platform architecture, integrations (SaFIR, Euroclear, core banking), security, infrastructure, technical due diligence</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Experience building financial data systems or B2B SaaS; ideally has worked with banking APIs or settlement infrastructure</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Head of Product</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Roadmap, customer research, workflow UX, demo environment, collateral domain depth</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Joins Month 3–6; ideally has product experience at a fintech or financial infrastructure company</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Market Structure Adviser</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Repo market mechanics, collateral eligibility rules, Romanian sovereign bond market context, regulatory interpretation</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External adviser or co-founder; Romanian or CEE banking market experience essential</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External Legal Counsel</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Phase 1 legal opinion, regulatory engagement preparation, Romanian financial law</w:t>
            </w:r>
          </w:p>
        </w:tc>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Specialises in Romanian banking and capital markets regulation; BNR/ASF familiarity</w:t>
            </w:r>
          </w:p>
        </w:tc>
      </w:tr>
    </w:tbl>
    <w:p>
      <w:pPr>
        <w:spacing w:before="60"/>
      </w:pPr>
    </w:p>
    <w:p>
      <w:pPr>
        <w:pStyle w:val="Heading2"/>
        <w:spacing w:after="120" w:before="240"/>
      </w:pPr>
      <w:r>
        <w:rPr>
          <w:rFonts w:ascii="Arial" w:cs="Arial" w:eastAsia="Arial" w:hAnsi="Arial"/>
          <w:b/>
          <w:bCs/>
          <w:color w:val="2563EB"/>
          <w:sz w:val="26"/>
          <w:szCs w:val="26"/>
        </w:rPr>
        <w:t xml:space="preserve">11.2  Hiring Plan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7632"/>
      </w:tblGrid>
      <w:tr>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763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Hires</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Year 1 (2026)</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2 backend engineers (integrations focus), 1 product designer, 1 customer success manager (ideally with banking operations background)</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Year 2 (2027)</w:t>
            </w:r>
          </w:p>
        </w:tc>
        <w:tc>
          <w:tcPr>
            <w:tcW w:type="dxa" w:w="763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+2 engineers (frontend + data), 1 account executive (Romanian banking network), 1 implementation specialist, 1 CEE expansion manager</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Year 3 (2028)</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+2 engineers (DLT/Phase 3), +1 AE (CEE markets), 1 marketing/content lead, 1 regulatory affairs adviser</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12. Financial Projections</w:t>
      </w:r>
    </w:p>
    <w:p>
      <w:pPr>
        <w:spacing w:after="80" w:before="80"/>
      </w:pPr>
      <w:r>
        <w:rPr>
          <w:rFonts w:ascii="Arial" w:cs="Arial" w:eastAsia="Arial" w:hAnsi="Arial"/>
          <w:color w:val="1E293B"/>
          <w:sz w:val="21"/>
          <w:szCs w:val="21"/>
        </w:rPr>
        <w:t xml:space="preserve">The following projections are based on a design-partner sales model with an average blended ACV of EUR 110K (pilot fee + first-year subscription) in Year 1, growing to EUR 160K in Year 3 as the product matures and institutional references drive shorter sales cycles. All figures are planning estimates; actual outcomes depend heavily on sales cycle length and integration complexity.</w:t>
      </w:r>
    </w:p>
    <w:p>
      <w:pPr>
        <w:pStyle w:val="Heading2"/>
        <w:spacing w:after="120" w:before="240"/>
      </w:pPr>
      <w:r>
        <w:rPr>
          <w:rFonts w:ascii="Arial" w:cs="Arial" w:eastAsia="Arial" w:hAnsi="Arial"/>
          <w:b/>
          <w:bCs/>
          <w:color w:val="2563EB"/>
          <w:sz w:val="26"/>
          <w:szCs w:val="26"/>
        </w:rPr>
        <w:t xml:space="preserve">12.1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28"/>
        <w:gridCol w:w="1728"/>
        <w:gridCol w:w="2448"/>
      </w:tblGrid>
      <w:tr>
        <w:tc>
          <w:tcPr>
            <w:tcW w:type="dxa" w:w="36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(2026)</w:t>
            </w:r>
          </w:p>
        </w:tc>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
(2027)</w:t>
            </w:r>
          </w:p>
        </w:tc>
        <w:tc>
          <w:tcPr>
            <w:tcW w:type="dxa" w:w="244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(2028)</w:t>
            </w:r>
          </w:p>
        </w:tc>
      </w:tr>
      <w:tr>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New institutions (paying)</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3–5</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5–8</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8–12</w:t>
            </w:r>
          </w:p>
        </w:tc>
      </w:tr>
      <w:tr>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Cumulative institutions</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3–5</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8–13</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16–25</w:t>
            </w:r>
          </w:p>
        </w:tc>
      </w:tr>
      <w:tr>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Average ACV (blended)</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90–130K</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110–160K</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120–200K</w:t>
            </w:r>
          </w:p>
        </w:tc>
      </w:tr>
      <w:tr>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ARR (end of year)</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300–600K</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1M–1.8M</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2.5M–4M</w:t>
            </w:r>
          </w:p>
        </w:tc>
      </w:tr>
      <w:tr>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Pilot fees (one-time)</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150–350K</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200–450K</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250–500K</w:t>
            </w:r>
          </w:p>
        </w:tc>
      </w:tr>
      <w:tr>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Gross Margin</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65–70%</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72–76%</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76–80%</w:t>
            </w:r>
          </w:p>
        </w:tc>
      </w:tr>
      <w:tr>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Headcount</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5–7</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9–13</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16–22</w:t>
            </w:r>
          </w:p>
        </w:tc>
      </w:tr>
      <w:tr>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Monthly Burn</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60–80K</w:t>
            </w:r>
          </w:p>
        </w:tc>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100–140K</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EUR 180–250K</w:t>
            </w:r>
          </w:p>
        </w:tc>
      </w:tr>
      <w:tr>
        <w:tc>
          <w:tcPr>
            <w:tcW w:type="dxa" w:w="36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Runway (pre-seed EUR 1M–1.5M)</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18–24 months</w:t>
            </w:r>
          </w:p>
        </w:tc>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N/A (Ser. A)</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N/A (deployed)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
        <w:gridCol w:w="9288"/>
      </w:tblGrid>
      <w:tr>
        <w:tc>
          <w:tcPr>
            <w:tcW w:type="dxa" w:w="72"/>
            <w:tcBorders>
              <w:top w:val="none" w:color="FFFFFF" w:sz="0"/>
              <w:left w:val="none" w:color="FFFFFF" w:sz="0"/>
              <w:bottom w:val="none" w:color="FFFFFF" w:sz="0"/>
              <w:right w:val="none" w:color="FFFFFF" w:sz="0"/>
            </w:tcBorders>
            <w:shd w:fill="2563EB" w:val="clear"/>
          </w:tcPr>
          <w:p/>
        </w:tc>
        <w:tc>
          <w:tcPr>
            <w:tcW w:type="dxa" w:w="9288"/>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2563EB"/>
                <w:sz w:val="19"/>
                <w:szCs w:val="19"/>
              </w:rPr>
              <w:t xml:space="preserve">Funding Assumptions</w:t>
            </w:r>
          </w:p>
          <w:p>
            <w:r>
              <w:rPr>
                <w:rFonts w:ascii="Arial" w:cs="Arial" w:eastAsia="Arial" w:hAnsi="Arial"/>
                <w:i/>
                <w:iCs/>
                <w:color w:val="1E293B"/>
                <w:sz w:val="20"/>
                <w:szCs w:val="20"/>
              </w:rPr>
              <w:t xml:space="preserve">The model assumes a pre-seed raise of EUR 800K–1.5M in Q3 2026 (based on a signed pilot and clear product-market fit signal) and a Series A of EUR 5–10M at EUR 1.5M+ ARR (expected Q2–Q3 2027). The company should target default-alive at EUR 1M ARR with the pre-seed capital.</w:t>
            </w:r>
          </w:p>
        </w:tc>
      </w:tr>
    </w:tbl>
    <w:p>
      <w:pPr>
        <w:spacing w:before="60"/>
      </w:pPr>
    </w:p>
    <w:p>
      <w:pPr>
        <w:pStyle w:val="Heading2"/>
        <w:spacing w:after="120" w:before="240"/>
      </w:pPr>
      <w:r>
        <w:rPr>
          <w:rFonts w:ascii="Arial" w:cs="Arial" w:eastAsia="Arial" w:hAnsi="Arial"/>
          <w:b/>
          <w:bCs/>
          <w:color w:val="2563EB"/>
          <w:sz w:val="26"/>
          <w:szCs w:val="26"/>
        </w:rPr>
        <w:t xml:space="preserve">12.2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48"/>
        <w:gridCol w:w="2448"/>
        <w:gridCol w:w="2592"/>
      </w:tblGrid>
      <w:tr>
        <w:tc>
          <w:tcPr>
            <w:tcW w:type="dxa" w:w="187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44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Yr-1 ARR</w:t>
            </w:r>
          </w:p>
        </w:tc>
        <w:tc>
          <w:tcPr>
            <w:tcW w:type="dxa" w:w="244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Yr-2 ARR</w:t>
            </w:r>
          </w:p>
        </w:tc>
        <w:tc>
          <w:tcPr>
            <w:tcW w:type="dxa" w:w="259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Assumption</w:t>
            </w:r>
          </w:p>
        </w:tc>
      </w:tr>
      <w:tr>
        <w:tc>
          <w:tcPr>
            <w:tcW w:type="dxa" w:w="187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Downside</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200–300K</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600K–1M</w:t>
            </w:r>
          </w:p>
        </w:tc>
        <w:tc>
          <w:tcPr>
            <w:tcW w:type="dxa" w:w="25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1–2 pilots close; longer than expected sales cycles (9–12 months per deal)</w:t>
            </w:r>
          </w:p>
        </w:tc>
      </w:tr>
      <w:tr>
        <w:tc>
          <w:tcPr>
            <w:tcW w:type="dxa" w:w="187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Base Case</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350–550K</w:t>
            </w:r>
          </w:p>
        </w:tc>
        <w:tc>
          <w:tcPr>
            <w:tcW w:type="dxa" w:w="244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1M–1.8M</w:t>
            </w:r>
          </w:p>
        </w:tc>
        <w:tc>
          <w:tcPr>
            <w:tcW w:type="dxa" w:w="259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3–4 pilots close in Year 1; 60–90 day sales cycles with warm network entries</w:t>
            </w:r>
          </w:p>
        </w:tc>
      </w:tr>
      <w:tr>
        <w:tc>
          <w:tcPr>
            <w:tcW w:type="dxa" w:w="187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Upside</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600K–1M</w:t>
            </w:r>
          </w:p>
        </w:tc>
        <w:tc>
          <w:tcPr>
            <w:tcW w:type="dxa" w:w="244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2M–3.5M</w:t>
            </w:r>
          </w:p>
        </w:tc>
        <w:tc>
          <w:tcPr>
            <w:tcW w:type="dxa" w:w="259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5+ pilots; one Tier 1 bank at premium ACV; first CEE deal in Yr 2</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13. Key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152"/>
        <w:gridCol w:w="1152"/>
        <w:gridCol w:w="4176"/>
      </w:tblGrid>
      <w:tr>
        <w:tc>
          <w:tcPr>
            <w:tcW w:type="dxa" w:w="288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15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15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76"/>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SaFIR integration complexity: API access, regulatory barriers, or bank IT constraints delay connectivity</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High</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High</w:t>
            </w:r>
          </w:p>
        </w:tc>
        <w:tc>
          <w:tcPr>
            <w:tcW w:type="dxa" w:w="417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Begin integration discovery in Month 1. Build bank-side data feed approach as primary path (no direct SaFIR integration required in Phase 1). Document all options.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Long sales cycles in banking: Procurement, legal, and IT security reviews extend timelines beyond 90 days</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High</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417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Target champion-led deals with pre-scoped pilot engagements. Offer fixed-fee pilots to reduce procurement complexity. Build IT security pack from day 1.</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Customer discovery reveals different pain: Market research shows priority is not collateral workflow but a different problem</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High</w:t>
            </w:r>
          </w:p>
        </w:tc>
        <w:tc>
          <w:tcPr>
            <w:tcW w:type="dxa" w:w="417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Conduct 8–12 structured discovery interviews before committing to roadmap. Reserve 20% of Year 1 engineering capacity for course correction.</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Enterprise vendors build competing features: Murex, Calypso launch Romania-specific packages</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417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Own the local integration layer and implementation speed advantage. A large vendor entering the Romanian mid-market with a local offering validates the market size.</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Regulatory classification changes: Phase 2 digital positions attract unexpected regulatory scrutiny</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417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Legal opinion before Phase 2 launch. Design positions as software audit objects, not transferable claims. Engage BNR proactively.</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Team completeness: Founding team missing key domain or engineering capability at launch</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High</w:t>
            </w:r>
          </w:p>
        </w:tc>
        <w:tc>
          <w:tcPr>
            <w:tcW w:type="dxa" w:w="417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Identify gaps early. Use adviser network and external counsel to bridge until full-time hire. Do not pitch investors without both technical and commercial co-founders.</w:t>
            </w:r>
          </w:p>
        </w:tc>
      </w:tr>
      <w:tr>
        <w:tc>
          <w:tcPr>
            <w:tcW w:type="dxa" w:w="288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Security or data incident: Breach of bank data or platform compromise</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Low</w:t>
            </w:r>
          </w:p>
        </w:tc>
        <w:tc>
          <w:tcPr>
            <w:tcW w:type="dxa" w:w="115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Very High</w:t>
            </w:r>
          </w:p>
        </w:tc>
        <w:tc>
          <w:tcPr>
            <w:tcW w:type="dxa" w:w="4176"/>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SOC 2 Type II from Month 1. Penetration testing before first enterprise pilot. On-premise deployment option for BNR-regulated environments.</w:t>
            </w:r>
          </w:p>
        </w:tc>
      </w:tr>
      <w:tr>
        <w:tc>
          <w:tcPr>
            <w:tcW w:type="dxa" w:w="28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Fundraising market conditions: Pre-seed market tightens before close</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115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dxa" w:w="4176"/>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Minimise burn pre-raise. Target default-alive at EUR 500K ARR. Build investor pipeline in parallel with first pilot, not after.</w:t>
            </w:r>
          </w:p>
        </w:tc>
      </w:tr>
    </w:tbl>
    <w:p>
      <w:pPr>
        <w:spacing w:before="120"/>
      </w:pPr>
    </w:p>
    <w:p>
      <w:r>
        <w:br w:type="page"/>
      </w:r>
    </w:p>
    <w:p>
      <w:pPr>
        <w:pStyle w:val="Heading1"/>
        <w:spacing w:after="160" w:before="300"/>
      </w:pPr>
      <w:r>
        <w:rPr>
          <w:rFonts w:ascii="Arial" w:cs="Arial" w:eastAsia="Arial" w:hAnsi="Arial"/>
          <w:b/>
          <w:bCs/>
          <w:color w:val="1A2B4A"/>
          <w:sz w:val="32"/>
          <w:szCs w:val="32"/>
        </w:rPr>
        <w:t xml:space="preserve">14. Milestones &amp; Success Metrics</w:t>
      </w:r>
    </w:p>
    <w:p>
      <w:pPr>
        <w:pStyle w:val="Heading2"/>
        <w:spacing w:after="120" w:before="240"/>
      </w:pPr>
      <w:r>
        <w:rPr>
          <w:rFonts w:ascii="Arial" w:cs="Arial" w:eastAsia="Arial" w:hAnsi="Arial"/>
          <w:b/>
          <w:bCs/>
          <w:color w:val="2563EB"/>
          <w:sz w:val="26"/>
          <w:szCs w:val="26"/>
        </w:rPr>
        <w:t xml:space="preserve">14.1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7632"/>
      </w:tblGrid>
      <w:tr>
        <w:tc>
          <w:tcPr>
            <w:tcW w:type="dxa" w:w="1728"/>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7632"/>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Q2 2026</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MVP live; first design-partner pilot scoped and signed; demo environment deployed</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Q3 2026</w:t>
            </w:r>
          </w:p>
        </w:tc>
        <w:tc>
          <w:tcPr>
            <w:tcW w:type="dxa" w:w="763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2 paying design partners; SaFIR data feed integration live; first pilot case study data collected</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Q4 2026</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4–5 paying institutions; EUR 300K ARR; SOC 2 Type II audit initiated; Phase 1 legal opinion received</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Q1 2027</w:t>
            </w:r>
          </w:p>
        </w:tc>
        <w:tc>
          <w:tcPr>
            <w:tcW w:type="dxa" w:w="763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500K ARR; first case study published; pre-seed fundraising process launched</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Q2 2027</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Pre-seed closed; 8+ institutions; first CEE market conversation initiated</w:t>
            </w:r>
          </w:p>
        </w:tc>
      </w:tr>
      <w:tr>
        <w:tc>
          <w:tcPr>
            <w:tcW w:type="dxa" w:w="1728"/>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Q4 2027</w:t>
            </w:r>
          </w:p>
        </w:tc>
        <w:tc>
          <w:tcPr>
            <w:tcW w:type="dxa" w:w="7632"/>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1.5M ARR; 12–15 institutions; Series A pipeline building; Phase 2 (Digital Positions) beta</w:t>
            </w:r>
          </w:p>
        </w:tc>
      </w:tr>
      <w:tr>
        <w:tc>
          <w:tcPr>
            <w:tcW w:type="dxa" w:w="1728"/>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Q4 2028</w:t>
            </w:r>
          </w:p>
        </w:tc>
        <w:tc>
          <w:tcPr>
            <w:tcW w:type="dxa" w:w="7632"/>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 3M–4M ARR; 20+ institutions across 2–3 CEE markets; Series A deployed; Phase 3 scoped</w:t>
            </w:r>
          </w:p>
        </w:tc>
      </w:tr>
    </w:tbl>
    <w:p>
      <w:pPr>
        <w:spacing w:before="60"/>
      </w:pPr>
    </w:p>
    <w:p>
      <w:pPr>
        <w:pStyle w:val="Heading2"/>
        <w:spacing w:after="120" w:before="240"/>
      </w:pPr>
      <w:r>
        <w:rPr>
          <w:rFonts w:ascii="Arial" w:cs="Arial" w:eastAsia="Arial" w:hAnsi="Arial"/>
          <w:b/>
          <w:bCs/>
          <w:color w:val="2563EB"/>
          <w:sz w:val="26"/>
          <w:szCs w:val="26"/>
        </w:rPr>
        <w:t xml:space="preserve">14.2  North Star KPIs</w:t>
      </w:r>
    </w:p>
    <w:p>
      <w:pPr>
        <w:spacing w:after="80" w:before="80"/>
      </w:pPr>
      <w:r>
        <w:rPr>
          <w:rFonts w:ascii="Arial" w:cs="Arial" w:eastAsia="Arial" w:hAnsi="Arial"/>
          <w:color w:val="1E293B"/>
          <w:sz w:val="21"/>
          <w:szCs w:val="21"/>
        </w:rPr>
        <w:t xml:space="preserve">The following metrics are the primary measures of product-market fit, operational health, and commercial progress:</w:t>
      </w:r>
    </w:p>
    <w:p>
      <w:pPr>
        <w:pStyle w:val="ListParagraph"/>
        <w:numPr>
          <w:ilvl w:val="0"/>
          <w:numId w:val="2"/>
        </w:numPr>
        <w:spacing w:after="60" w:before="60"/>
      </w:pPr>
      <w:r>
        <w:rPr>
          <w:rFonts w:ascii="Arial" w:cs="Arial" w:eastAsia="Arial" w:hAnsi="Arial"/>
          <w:color w:val="1E293B"/>
          <w:sz w:val="21"/>
          <w:szCs w:val="21"/>
        </w:rPr>
        <w:t xml:space="preserve">ARR and net new ARR per quarter</w:t>
      </w:r>
    </w:p>
    <w:p>
      <w:pPr>
        <w:pStyle w:val="ListParagraph"/>
        <w:numPr>
          <w:ilvl w:val="0"/>
          <w:numId w:val="2"/>
        </w:numPr>
        <w:spacing w:after="60" w:before="60"/>
      </w:pPr>
      <w:r>
        <w:rPr>
          <w:rFonts w:ascii="Arial" w:cs="Arial" w:eastAsia="Arial" w:hAnsi="Arial"/>
          <w:color w:val="1E293B"/>
          <w:sz w:val="21"/>
          <w:szCs w:val="21"/>
        </w:rPr>
        <w:t xml:space="preserve">Net Revenue Retention (target: &gt;115% — driven by module expansion and connector upsells)</w:t>
      </w:r>
    </w:p>
    <w:p>
      <w:pPr>
        <w:pStyle w:val="ListParagraph"/>
        <w:numPr>
          <w:ilvl w:val="0"/>
          <w:numId w:val="2"/>
        </w:numPr>
        <w:spacing w:after="60" w:before="60"/>
      </w:pPr>
      <w:r>
        <w:rPr>
          <w:rFonts w:ascii="Arial" w:cs="Arial" w:eastAsia="Arial" w:hAnsi="Arial"/>
          <w:color w:val="1E293B"/>
          <w:sz w:val="21"/>
          <w:szCs w:val="21"/>
        </w:rPr>
        <w:t xml:space="preserve">Time-to-value: weeks from pilot contract signed to first live workflow (target: &lt;8 weeks)</w:t>
      </w:r>
    </w:p>
    <w:p>
      <w:pPr>
        <w:pStyle w:val="ListParagraph"/>
        <w:numPr>
          <w:ilvl w:val="0"/>
          <w:numId w:val="2"/>
        </w:numPr>
        <w:spacing w:after="60" w:before="60"/>
      </w:pPr>
      <w:r>
        <w:rPr>
          <w:rFonts w:ascii="Arial" w:cs="Arial" w:eastAsia="Arial" w:hAnsi="Arial"/>
          <w:color w:val="1E293B"/>
          <w:sz w:val="21"/>
          <w:szCs w:val="21"/>
        </w:rPr>
        <w:t xml:space="preserve">Workflow volume processed monthly per institution (proxy for stickiness)</w:t>
      </w:r>
    </w:p>
    <w:p>
      <w:pPr>
        <w:pStyle w:val="ListParagraph"/>
        <w:numPr>
          <w:ilvl w:val="0"/>
          <w:numId w:val="2"/>
        </w:numPr>
        <w:spacing w:after="60" w:before="60"/>
      </w:pPr>
      <w:r>
        <w:rPr>
          <w:rFonts w:ascii="Arial" w:cs="Arial" w:eastAsia="Arial" w:hAnsi="Arial"/>
          <w:color w:val="1E293B"/>
          <w:sz w:val="21"/>
          <w:szCs w:val="21"/>
        </w:rPr>
        <w:t xml:space="preserve">Customer NPS — measured quarterly (target: &gt;60)</w:t>
      </w:r>
    </w:p>
    <w:p>
      <w:pPr>
        <w:pStyle w:val="ListParagraph"/>
        <w:numPr>
          <w:ilvl w:val="0"/>
          <w:numId w:val="2"/>
        </w:numPr>
        <w:spacing w:after="60" w:before="60"/>
      </w:pPr>
      <w:r>
        <w:rPr>
          <w:rFonts w:ascii="Arial" w:cs="Arial" w:eastAsia="Arial" w:hAnsi="Arial"/>
          <w:color w:val="1E293B"/>
          <w:sz w:val="21"/>
          <w:szCs w:val="21"/>
        </w:rPr>
        <w:t xml:space="preserve">Manual steps per repo trade (measured at each customer — target: &gt;60% reduction vs. baseline)</w:t>
      </w:r>
    </w:p>
    <w:p>
      <w:pPr>
        <w:pStyle w:val="ListParagraph"/>
        <w:numPr>
          <w:ilvl w:val="0"/>
          <w:numId w:val="2"/>
        </w:numPr>
        <w:spacing w:after="60" w:before="60"/>
      </w:pPr>
      <w:r>
        <w:rPr>
          <w:rFonts w:ascii="Arial" w:cs="Arial" w:eastAsia="Arial" w:hAnsi="Arial"/>
          <w:color w:val="1E293B"/>
          <w:sz w:val="21"/>
          <w:szCs w:val="21"/>
        </w:rPr>
        <w:t xml:space="preserve">CAC Payback Period (target: &lt;24 months for pilot-sourced deals)</w:t>
      </w:r>
    </w:p>
    <w:p>
      <w:pPr>
        <w:pStyle w:val="Heading2"/>
        <w:spacing w:after="120" w:before="240"/>
      </w:pPr>
      <w:r>
        <w:rPr>
          <w:rFonts w:ascii="Arial" w:cs="Arial" w:eastAsia="Arial" w:hAnsi="Arial"/>
          <w:b/>
          <w:bCs/>
          <w:color w:val="2563EB"/>
          <w:sz w:val="26"/>
          <w:szCs w:val="26"/>
        </w:rPr>
        <w:t xml:space="preserve">14.3  Customer Discovery Metrics (Pre-Revenue)</w:t>
      </w:r>
    </w:p>
    <w:p>
      <w:pPr>
        <w:spacing w:after="80" w:before="80"/>
      </w:pPr>
      <w:r>
        <w:rPr>
          <w:rFonts w:ascii="Arial" w:cs="Arial" w:eastAsia="Arial" w:hAnsi="Arial"/>
          <w:color w:val="1E293B"/>
          <w:sz w:val="21"/>
          <w:szCs w:val="21"/>
        </w:rPr>
        <w:t xml:space="preserve">Before any sales motion, the following discovery milestones should be treated as foundational:</w:t>
      </w:r>
    </w:p>
    <w:p>
      <w:pPr>
        <w:pStyle w:val="ListParagraph"/>
        <w:numPr>
          <w:ilvl w:val="0"/>
          <w:numId w:val="2"/>
        </w:numPr>
        <w:spacing w:after="60" w:before="60"/>
      </w:pPr>
      <w:r>
        <w:rPr>
          <w:rFonts w:ascii="Arial" w:cs="Arial" w:eastAsia="Arial" w:hAnsi="Arial"/>
          <w:color w:val="1E293B"/>
          <w:sz w:val="21"/>
          <w:szCs w:val="21"/>
        </w:rPr>
        <w:t xml:space="preserve">8–12 structured discovery interviews completed with treasury, collateral, and operations personas at Romanian banks</w:t>
      </w:r>
    </w:p>
    <w:p>
      <w:pPr>
        <w:pStyle w:val="ListParagraph"/>
        <w:numPr>
          <w:ilvl w:val="0"/>
          <w:numId w:val="2"/>
        </w:numPr>
        <w:spacing w:after="60" w:before="60"/>
      </w:pPr>
      <w:r>
        <w:rPr>
          <w:rFonts w:ascii="Arial" w:cs="Arial" w:eastAsia="Arial" w:hAnsi="Arial"/>
          <w:color w:val="1E293B"/>
          <w:sz w:val="21"/>
          <w:szCs w:val="21"/>
        </w:rPr>
        <w:t xml:space="preserve">3+ budget holders confirm willingness to pay EUR 40K+ for a scoped pilot</w:t>
      </w:r>
    </w:p>
    <w:p>
      <w:pPr>
        <w:pStyle w:val="ListParagraph"/>
        <w:numPr>
          <w:ilvl w:val="0"/>
          <w:numId w:val="2"/>
        </w:numPr>
        <w:spacing w:after="60" w:before="60"/>
      </w:pPr>
      <w:r>
        <w:rPr>
          <w:rFonts w:ascii="Arial" w:cs="Arial" w:eastAsia="Arial" w:hAnsi="Arial"/>
          <w:color w:val="1E293B"/>
          <w:sz w:val="21"/>
          <w:szCs w:val="21"/>
        </w:rPr>
        <w:t xml:space="preserve">Pain point ranking validated: collateral inventory opacity and margin management are top-2 priorities (not just acknowledged as problems)</w:t>
      </w:r>
    </w:p>
    <w:p>
      <w:pPr>
        <w:pStyle w:val="ListParagraph"/>
        <w:numPr>
          <w:ilvl w:val="0"/>
          <w:numId w:val="2"/>
        </w:numPr>
        <w:spacing w:after="60" w:before="60"/>
      </w:pPr>
      <w:r>
        <w:rPr>
          <w:rFonts w:ascii="Arial" w:cs="Arial" w:eastAsia="Arial" w:hAnsi="Arial"/>
          <w:color w:val="1E293B"/>
          <w:sz w:val="21"/>
          <w:szCs w:val="21"/>
        </w:rPr>
        <w:t xml:space="preserve">SaFIR integration path documented and at least 1 bank IT team engaged on connectivity feasibility</w:t>
      </w:r>
    </w:p>
    <w:p>
      <w:pPr>
        <w:spacing w:before="120"/>
      </w:pPr>
    </w:p>
    <w:p>
      <w:r>
        <w:br w:type="page"/>
      </w:r>
    </w:p>
    <w:p>
      <w:pPr>
        <w:pStyle w:val="Heading1"/>
        <w:spacing w:after="160" w:before="300"/>
      </w:pPr>
      <w:r>
        <w:rPr>
          <w:rFonts w:ascii="Arial" w:cs="Arial" w:eastAsia="Arial" w:hAnsi="Arial"/>
          <w:b/>
          <w:bCs/>
          <w:color w:val="1A2B4A"/>
          <w:sz w:val="32"/>
          <w:szCs w:val="32"/>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200"/>
            <w:gridSpan w:val="1"/>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ARR</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Annual Recurring Revenue — total contracted annual subscription revenue</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ACV</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Annual Contract Value — the annualised value of a customer contract</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BNR</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Banca Nationala a Romaniei — the National Bank of Romania, central bank and primary banking regulator</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ASF</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Autoritatea de Supraveghere Financiara — Romanian Financial Supervisory Authority</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EMIR</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European Market Infrastructure Regulation — EU regulation governing OTC derivative reporting and clearing</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HQLA</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High-Quality Liquid Assets — assets eligible for LCR/NSFR liquidity buffer requirements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ICP</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Ideal Customer Profile — the definition of the target customer most likely to buy and succeed with the product</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LCR/NSFR</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Liquidity Coverage Ratio / Net Stable Funding Ratio — Basel III/IV liquidity requirements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LEI</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Legal Entity Identifier — global standard unique identifier for legal entities in financial transactions</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MiCA</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Markets in Crypto-Assets Regulation — EU regulation for crypto-asset issuers and service providers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MT543</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ISO 15022 message type for free delivery settlement instructions (securities settlement)</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NRR</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Net Revenue Retention — measures revenue retained from existing customers including expansion and churn</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Repo</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Repurchase Agreement — short-term collateralised borrowing where securities are sold with an agreement to repurchase</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SaFIR</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System of Automated Financial Instruments Registration — BNR's government securities registry and settlement infrastructure</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SFTR</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Securities Financing Transaction Regulation (EU 2015/2365) — requires daily reporting of repo, securities lending, and other SFT activity</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SOC 2</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Service Organisation Control 2 — security audit standard required by enterprise buyers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UTI</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Unique Trade Identifier — mandatory identifier for each SFTR-reportable transaction</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DLT</w:t>
            </w:r>
          </w:p>
        </w:tc>
        <w:tc>
          <w:tcPr>
            <w:tcW w:type="dxa" w:w="7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Distributed Ledger Technology — the infrastructure category underlying blockchain-based settlement systems</w:t>
            </w:r>
          </w:p>
        </w:tc>
      </w:tr>
      <w:tr>
        <w:tc>
          <w:tcPr>
            <w:tcW w:type="dxa" w:w="216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bCs/>
                <w:color w:val="1E293B"/>
                <w:sz w:val="20"/>
                <w:szCs w:val="20"/>
              </w:rPr>
              <w:t xml:space="preserve">ARM</w:t>
            </w:r>
          </w:p>
        </w:tc>
        <w:tc>
          <w:tcPr>
            <w:tcW w:type="dxa" w:w="7200"/>
            <w:tcBorders>
              <w:top w:val="single" w:color="CCCCCC" w:sz="1"/>
              <w:left w:val="single" w:color="CCCCCC" w:sz="1"/>
              <w:bottom w:val="single" w:color="CCCCCC" w:sz="1"/>
              <w:right w:val="single" w:color="CCCCCC" w:sz="1"/>
            </w:tcBorders>
            <w:shd w:fill="F1F5F9" w:val="clear"/>
            <w:tcMar>
              <w:top w:type="dxa" w:w="72"/>
              <w:left w:type="dxa" w:w="120"/>
              <w:bottom w:type="dxa" w:w="72"/>
              <w:right w:type="dxa" w:w="120"/>
            </w:tcMar>
            <w:vAlign w:val="center"/>
          </w:tcPr>
          <w:p>
            <w:pPr>
              <w:jc w:val="left"/>
            </w:pPr>
            <w:r>
              <w:rPr>
                <w:rFonts w:ascii="Arial" w:cs="Arial" w:eastAsia="Arial" w:hAnsi="Arial"/>
                <w:b w:val="false"/>
                <w:bCs w:val="false"/>
                <w:color w:val="1E293B"/>
                <w:sz w:val="20"/>
                <w:szCs w:val="20"/>
              </w:rPr>
              <w:t xml:space="preserve">Approved Reporting Mechanism — SFTR-authorised reporting gateway to regulators</w:t>
            </w:r>
          </w:p>
        </w:tc>
      </w:tr>
    </w:tbl>
    <w:p>
      <w:pPr>
        <w:spacing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before="80"/>
    </w:pPr>
    <w:r>
      <w:rPr>
        <w:rFonts w:ascii="Arial" w:cs="Arial" w:eastAsia="Arial" w:hAnsi="Arial"/>
        <w:color w:val="475569"/>
        <w:sz w:val="18"/>
        <w:szCs w:val="18"/>
      </w:rPr>
      <w:t xml:space="preserve">Internal — Not for Distribution</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026"/>
      </w:tabs>
      <w:spacing w:after="80"/>
    </w:pPr>
    <w:r>
      <w:rPr>
        <w:rFonts w:ascii="Arial" w:cs="Arial" w:eastAsia="Arial" w:hAnsi="Arial"/>
        <w:b/>
        <w:bCs/>
        <w:color w:val="1A2B4A"/>
        <w:sz w:val="18"/>
        <w:szCs w:val="18"/>
      </w:rPr>
      <w:t xml:space="preserve">COLLATERAL ORCHESTRATOR</w:t>
    </w:r>
    <w:r>
      <w:rPr>
        <w:rFonts w:ascii="Arial" w:cs="Arial" w:eastAsia="Arial" w:hAnsi="Arial"/>
        <w:color w:val="475569"/>
        <w:sz w:val="18"/>
        <w:szCs w:val="18"/>
      </w:rPr>
      <w:t xml:space="preserve">	BUSINESS PLAN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B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2026-04-10T14:03:40.498Z</dcterms:created>
  <dcterms:modified xsi:type="dcterms:W3CDTF">2026-04-10T14:03:40.498Z</dcterms:modified>
</cp:coreProperties>
</file>

<file path=docProps/custom.xml><?xml version="1.0" encoding="utf-8"?>
<Properties xmlns="http://schemas.openxmlformats.org/officeDocument/2006/custom-properties" xmlns:vt="http://schemas.openxmlformats.org/officeDocument/2006/docPropsVTypes"/>
</file>