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120" w:before="1200"/>
        <w:ind w:left="0" w:right="0"/>
      </w:pPr>
      <w:r>
        <w:rPr>
          <w:rFonts w:ascii="Arial" w:cs="Arial" w:eastAsia="Arial" w:hAnsi="Arial"/>
          <w:b/>
          <w:bCs/>
          <w:color w:val="FFFFFF"/>
          <w:sz w:val="60"/>
          <w:szCs w:val="60"/>
        </w:rPr>
        <w:t xml:space="preserve">  Collateral Orchestrator</w:t>
      </w:r>
    </w:p>
    <w:p>
      <w:pPr>
        <w:shd w:fill="1E3A5F" w:val="clear"/>
        <w:spacing w:after="0" w:before="0"/>
      </w:pPr>
      <w:r>
        <w:rPr>
          <w:rFonts w:ascii="Arial" w:cs="Arial" w:eastAsia="Arial" w:hAnsi="Arial"/>
          <w:i/>
          <w:iCs/>
          <w:color w:val="A8C4E0"/>
          <w:sz w:val="28"/>
          <w:szCs w:val="28"/>
        </w:rPr>
        <w:t xml:space="preserve">  Live Demo Script  —  20-Minute Bank Walk-Through</w:t>
      </w:r>
    </w:p>
    <w:p>
      <w:pPr>
        <w:shd w:fill="1E3A5F" w:val="clear"/>
        <w:spacing w:after="800" w:before="0"/>
      </w:pPr>
      <w:r>
        <w:rPr>
          <w:rFonts w:ascii="Arial" w:cs="Arial" w:eastAsia="Arial" w:hAnsi="Arial"/>
          <w:color w:val="6699BB"/>
          <w:sz w:val="20"/>
          <w:szCs w:val="20"/>
        </w:rPr>
        <w:t xml:space="preserve">  Banca Demo Romania  |  Pilot Environment  |  April 2026</w:t>
      </w:r>
    </w:p>
    <w:p>
      <w:pPr>
        <w:spacing w:after="0" w:before="200"/>
      </w:pPr>
    </w:p>
    <w:p>
      <w:pPr>
        <w:spacing w:after="60" w:before="0"/>
      </w:pPr>
      <w:r>
        <w:rPr>
          <w:rFonts w:ascii="Arial" w:cs="Arial" w:eastAsia="Arial" w:hAnsi="Arial"/>
          <w:b/>
          <w:bCs/>
          <w:color w:val="1E3A5F"/>
          <w:sz w:val="24"/>
          <w:szCs w:val="24"/>
        </w:rPr>
        <w:t xml:space="preserve">Purpose of This Document</w:t>
      </w:r>
    </w:p>
    <w:p>
      <w:pPr>
        <w:spacing w:after="60" w:before="60"/>
      </w:pPr>
      <w:r>
        <w:rPr>
          <w:rFonts w:ascii="Arial" w:cs="Arial" w:eastAsia="Arial" w:hAnsi="Arial"/>
          <w:b w:val="false"/>
          <w:bCs w:val="false"/>
          <w:i w:val="false"/>
          <w:iCs w:val="false"/>
          <w:color w:val="333333"/>
          <w:sz w:val="22"/>
          <w:szCs w:val="22"/>
        </w:rPr>
        <w:t xml:space="preserve">This script guides a presenter through a structured 20-minute demonstration of the Collateral Orchestrator platform for a bank audience. Each section includes exact steps to perform in the app and suggested talking points. Timing markers keep the session on track.</w:t>
      </w:r>
    </w:p>
    <w:p>
      <w:pPr>
        <w:spacing w:after="0" w:before="60"/>
      </w:pPr>
    </w:p>
    <w:p>
      <w:pPr>
        <w:spacing w:after="60" w:before="60"/>
      </w:pPr>
      <w:r>
        <w:rPr>
          <w:rFonts w:ascii="Arial" w:cs="Arial" w:eastAsia="Arial" w:hAnsi="Arial"/>
          <w:b w:val="false"/>
          <w:bCs w:val="false"/>
          <w:i w:val="false"/>
          <w:iCs w:val="false"/>
          <w:color w:val="333333"/>
          <w:sz w:val="22"/>
          <w:szCs w:val="22"/>
        </w:rPr>
        <w:t xml:space="preserve">Audience: Treasury, Collateral, Risk, and Operations leads at a prospective Romanian or CEE bank.</w:t>
      </w:r>
    </w:p>
    <w:p>
      <w:pPr>
        <w:spacing w:after="60" w:before="60"/>
      </w:pPr>
      <w:r>
        <w:rPr>
          <w:rFonts w:ascii="Arial" w:cs="Arial" w:eastAsia="Arial" w:hAnsi="Arial"/>
          <w:b w:val="false"/>
          <w:bCs w:val="false"/>
          <w:i w:val="false"/>
          <w:iCs w:val="false"/>
          <w:color w:val="333333"/>
          <w:sz w:val="22"/>
          <w:szCs w:val="22"/>
        </w:rPr>
        <w:t xml:space="preserve">Goal: Show that the platform solves real operational pain with a production-ready workflow — live, not slides.</w:t>
      </w:r>
    </w:p>
    <w:p>
      <w:pPr>
        <w:spacing w:after="0" w:before="300"/>
      </w:pPr>
    </w:p>
    <w:p>
      <w:pPr>
        <w:spacing w:after="120" w:before="0"/>
      </w:pPr>
      <w:r>
        <w:rPr>
          <w:rFonts w:ascii="Arial" w:cs="Arial" w:eastAsia="Arial" w:hAnsi="Arial"/>
          <w:b/>
          <w:bCs/>
          <w:color w:val="1E3A5F"/>
          <w:sz w:val="24"/>
          <w:szCs w:val="24"/>
        </w:rPr>
        <w:t xml:space="preserve">Run-of-Show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Time</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Section</w:t>
            </w:r>
          </w:p>
        </w:tc>
        <w:tc>
          <w:tcPr>
            <w:tcW w:type="dxa" w:w="57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Actions</w:t>
            </w:r>
          </w:p>
        </w:tc>
      </w:tr>
      <w:tr>
        <w:tc>
          <w:tcPr>
            <w:tcW w:type="dxa" w:w="144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0:00</w:t>
            </w:r>
          </w:p>
        </w:tc>
        <w:tc>
          <w:tcPr>
            <w:tcW w:type="dxa" w:w="21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Setup &amp; Login</w:t>
            </w:r>
          </w:p>
        </w:tc>
        <w:tc>
          <w:tcPr>
            <w:tcW w:type="dxa" w:w="57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Reset demo, log in as Treasury Manager</w:t>
            </w:r>
          </w:p>
        </w:tc>
      </w:tr>
      <w:tr>
        <w:tc>
          <w:tcPr>
            <w:tcW w:type="dxa" w:w="144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1:00</w:t>
            </w:r>
          </w:p>
        </w:tc>
        <w:tc>
          <w:tcPr>
            <w:tcW w:type="dxa" w:w="21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Dashboard</w:t>
            </w:r>
          </w:p>
        </w:tc>
        <w:tc>
          <w:tcPr>
            <w:tcW w:type="dxa" w:w="57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Portfolio overview, KPIs, live alerts</w:t>
            </w:r>
          </w:p>
        </w:tc>
      </w:tr>
      <w:tr>
        <w:tc>
          <w:tcPr>
            <w:tcW w:type="dxa" w:w="144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3:00</w:t>
            </w:r>
          </w:p>
        </w:tc>
        <w:tc>
          <w:tcPr>
            <w:tcW w:type="dxa" w:w="21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Inventory</w:t>
            </w:r>
          </w:p>
        </w:tc>
        <w:tc>
          <w:tcPr>
            <w:tcW w:type="dxa" w:w="57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Browse assets, status filters, asset detail sheet</w:t>
            </w:r>
          </w:p>
        </w:tc>
      </w:tr>
      <w:tr>
        <w:tc>
          <w:tcPr>
            <w:tcW w:type="dxa" w:w="144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5:00</w:t>
            </w:r>
          </w:p>
        </w:tc>
        <w:tc>
          <w:tcPr>
            <w:tcW w:type="dxa" w:w="21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Book a Repo</w:t>
            </w:r>
          </w:p>
        </w:tc>
        <w:tc>
          <w:tcPr>
            <w:tcW w:type="dxa" w:w="57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4-step wizard, auto-proposed collateral basket</w:t>
            </w:r>
          </w:p>
        </w:tc>
      </w:tr>
      <w:tr>
        <w:tc>
          <w:tcPr>
            <w:tcW w:type="dxa" w:w="144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9:00</w:t>
            </w:r>
          </w:p>
        </w:tc>
        <w:tc>
          <w:tcPr>
            <w:tcW w:type="dxa" w:w="21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Margin Alert</w:t>
            </w:r>
          </w:p>
        </w:tc>
        <w:tc>
          <w:tcPr>
            <w:tcW w:type="dxa" w:w="57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Simulate margin call, top-up approval</w:t>
            </w:r>
          </w:p>
        </w:tc>
      </w:tr>
      <w:tr>
        <w:tc>
          <w:tcPr>
            <w:tcW w:type="dxa" w:w="144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12:00</w:t>
            </w:r>
          </w:p>
        </w:tc>
        <w:tc>
          <w:tcPr>
            <w:tcW w:type="dxa" w:w="21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Substitution</w:t>
            </w:r>
          </w:p>
        </w:tc>
        <w:tc>
          <w:tcPr>
            <w:tcW w:type="dxa" w:w="57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Role-switch to Collateral Manager, substitute asset</w:t>
            </w:r>
          </w:p>
        </w:tc>
      </w:tr>
      <w:tr>
        <w:tc>
          <w:tcPr>
            <w:tcW w:type="dxa" w:w="144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14:00</w:t>
            </w:r>
          </w:p>
        </w:tc>
        <w:tc>
          <w:tcPr>
            <w:tcW w:type="dxa" w:w="21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Operations</w:t>
            </w:r>
          </w:p>
        </w:tc>
        <w:tc>
          <w:tcPr>
            <w:tcW w:type="dxa" w:w="57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MT543 settlement instruction preview</w:t>
            </w:r>
          </w:p>
        </w:tc>
      </w:tr>
      <w:tr>
        <w:tc>
          <w:tcPr>
            <w:tcW w:type="dxa" w:w="144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16:00</w:t>
            </w:r>
          </w:p>
        </w:tc>
        <w:tc>
          <w:tcPr>
            <w:tcW w:type="dxa" w:w="21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SFTR Report</w:t>
            </w:r>
          </w:p>
        </w:tc>
        <w:tc>
          <w:tcPr>
            <w:tcW w:type="dxa" w:w="57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Regulatory output, UTI, counterparty LEI</w:t>
            </w:r>
          </w:p>
        </w:tc>
      </w:tr>
      <w:tr>
        <w:tc>
          <w:tcPr>
            <w:tcW w:type="dxa" w:w="144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18:00</w:t>
            </w:r>
          </w:p>
        </w:tc>
        <w:tc>
          <w:tcPr>
            <w:tcW w:type="dxa" w:w="21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Audit Trail</w:t>
            </w:r>
          </w:p>
        </w:tc>
        <w:tc>
          <w:tcPr>
            <w:tcW w:type="dxa" w:w="57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Tamper-evident log, every action captured</w:t>
            </w:r>
          </w:p>
        </w:tc>
      </w:tr>
      <w:tr>
        <w:tc>
          <w:tcPr>
            <w:tcW w:type="dxa" w:w="144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19:00</w:t>
            </w:r>
          </w:p>
        </w:tc>
        <w:tc>
          <w:tcPr>
            <w:tcW w:type="dxa" w:w="21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Q&amp;A Prompt</w:t>
            </w:r>
          </w:p>
        </w:tc>
        <w:tc>
          <w:tcPr>
            <w:tcW w:type="dxa" w:w="57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Open questions, next-step conversation</w:t>
            </w:r>
          </w:p>
        </w:tc>
      </w:tr>
    </w:tbl>
    <w:p>
      <w:pPr>
        <w:spacing w:after="0" w:before="300"/>
      </w:pPr>
    </w:p>
    <w:p>
      <w:pPr>
        <w:spacing w:after="120" w:before="0"/>
      </w:pPr>
      <w:r>
        <w:rPr>
          <w:rFonts w:ascii="Arial" w:cs="Arial" w:eastAsia="Arial" w:hAnsi="Arial"/>
          <w:b/>
          <w:bCs/>
          <w:color w:val="1E3A5F"/>
          <w:sz w:val="24"/>
          <w:szCs w:val="24"/>
        </w:rPr>
        <w:t xml:space="preserve">Demo Accounts</w:t>
      </w:r>
    </w:p>
    <w:p>
      <w:pPr>
        <w:spacing w:after="60" w:before="60"/>
      </w:pPr>
      <w:r>
        <w:rPr>
          <w:rFonts w:ascii="Arial" w:cs="Arial" w:eastAsia="Arial" w:hAnsi="Arial"/>
          <w:b w:val="false"/>
          <w:bCs w:val="false"/>
          <w:i w:val="false"/>
          <w:iCs w:val="false"/>
          <w:color w:val="333333"/>
          <w:sz w:val="22"/>
          <w:szCs w:val="22"/>
        </w:rPr>
        <w:t xml:space="preserve">All passwords: demo1234</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c>
          <w:tcPr>
            <w:tcW w:type="dxa" w:w="22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76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Email</w:t>
            </w:r>
          </w:p>
        </w:tc>
        <w:tc>
          <w:tcPr>
            <w:tcW w:type="dxa" w:w="4400"/>
            <w:tcBorders>
              <w:top w:val="single" w:color="1E3A5F" w:sz="4"/>
              <w:left w:val="single" w:color="1E3A5F" w:sz="4"/>
              <w:bottom w:val="single" w:color="1E3A5F" w:sz="4"/>
              <w:right w:val="single" w:color="1E3A5F" w:sz="4"/>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Capabilities</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Treasury Manager</w:t>
            </w:r>
          </w:p>
        </w:tc>
        <w:tc>
          <w:tcPr>
            <w:tcW w:type="dxa" w:w="27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treasury@banca-demo.ro</w:t>
            </w:r>
          </w:p>
        </w:tc>
        <w:tc>
          <w:tcPr>
            <w:tcW w:type="dxa" w:w="440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Booking, basket proposal, collateral overview</w:t>
            </w:r>
          </w:p>
        </w:tc>
      </w:tr>
      <w:tr>
        <w:tc>
          <w:tcPr>
            <w:tcW w:type="dxa" w:w="220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Collateral Manager</w:t>
            </w:r>
          </w:p>
        </w:tc>
        <w:tc>
          <w:tcPr>
            <w:tcW w:type="dxa" w:w="27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collateral@banca-demo.ro</w:t>
            </w:r>
          </w:p>
        </w:tc>
        <w:tc>
          <w:tcPr>
            <w:tcW w:type="dxa" w:w="440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Top-up, substitution, inventory management</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Operations Analyst</w:t>
            </w:r>
          </w:p>
        </w:tc>
        <w:tc>
          <w:tcPr>
            <w:tcW w:type="dxa" w:w="276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operations@banca-demo.ro</w:t>
            </w:r>
          </w:p>
        </w:tc>
        <w:tc>
          <w:tcPr>
            <w:tcW w:type="dxa" w:w="4400"/>
            <w:tcBorders>
              <w:top w:val="single" w:color="DDDDDD" w:sz="2"/>
              <w:left w:val="single" w:color="DDDDDD" w:sz="2"/>
              <w:bottom w:val="single" w:color="DDDDDD" w:sz="2"/>
              <w:right w:val="single" w:color="DDDDDD" w:sz="2"/>
            </w:tcBorders>
            <w:shd w:fill="FFFFFF" w:val="clear"/>
            <w:tcMar>
              <w:top w:type="dxa" w:w="80"/>
              <w:left w:type="dxa" w:w="160"/>
              <w:bottom w:type="dxa" w:w="80"/>
              <w:right w:type="dxa" w:w="160"/>
            </w:tcMar>
          </w:tcPr>
          <w:p>
            <w:r>
              <w:rPr>
                <w:rFonts w:ascii="Arial" w:cs="Arial" w:eastAsia="Arial" w:hAnsi="Arial"/>
                <w:color w:val="333333"/>
                <w:sz w:val="20"/>
                <w:szCs w:val="20"/>
              </w:rPr>
              <w:t xml:space="preserve">Settlement instructions, MT543 preview</w:t>
            </w:r>
          </w:p>
        </w:tc>
      </w:tr>
      <w:tr>
        <w:tc>
          <w:tcPr>
            <w:tcW w:type="dxa" w:w="220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Risk Reviewer</w:t>
            </w:r>
          </w:p>
        </w:tc>
        <w:tc>
          <w:tcPr>
            <w:tcW w:type="dxa" w:w="276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risk@banca-demo.ro</w:t>
            </w:r>
          </w:p>
        </w:tc>
        <w:tc>
          <w:tcPr>
            <w:tcW w:type="dxa" w:w="4400"/>
            <w:tcBorders>
              <w:top w:val="single" w:color="DDDDDD" w:sz="2"/>
              <w:left w:val="single" w:color="DDDDDD" w:sz="2"/>
              <w:bottom w:val="single" w:color="DDDDDD" w:sz="2"/>
              <w:right w:val="single" w:color="DDDDDD" w:sz="2"/>
            </w:tcBorders>
            <w:shd w:fill="F5F7FA" w:val="clear"/>
            <w:tcMar>
              <w:top w:type="dxa" w:w="80"/>
              <w:left w:type="dxa" w:w="160"/>
              <w:bottom w:type="dxa" w:w="80"/>
              <w:right w:type="dxa" w:w="160"/>
            </w:tcMar>
          </w:tcPr>
          <w:p>
            <w:r>
              <w:rPr>
                <w:rFonts w:ascii="Arial" w:cs="Arial" w:eastAsia="Arial" w:hAnsi="Arial"/>
                <w:color w:val="333333"/>
                <w:sz w:val="20"/>
                <w:szCs w:val="20"/>
              </w:rPr>
              <w:t xml:space="preserve">Margin monitoring, audit trail, SFTR report</w:t>
            </w:r>
          </w:p>
        </w:tc>
      </w:tr>
    </w:tbl>
    <w:p>
      <w:pPr>
        <w:pBdr>
          <w:bottom w:val="single" w:color="DDDDDD" w:sz="4" w:space="1"/>
        </w:pBdr>
        <w:spacing w:after="160" w:before="160"/>
      </w:pPr>
    </w:p>
    <w:p>
      <w:pPr>
        <w:pageBreakBefore/>
        <w:spacing w:after="0" w:before="0"/>
      </w:pPr>
    </w:p>
    <w:p>
      <w:pPr>
        <w:pStyle w:val="Heading2"/>
        <w:pBdr>
          <w:bottom w:val="single" w:color="2E75B6" w:sz="4" w:space="2"/>
        </w:pBdr>
        <w:spacing w:after="100" w:before="300"/>
      </w:pPr>
      <w:r>
        <w:rPr>
          <w:rFonts w:ascii="Arial" w:cs="Arial" w:eastAsia="Arial" w:hAnsi="Arial"/>
          <w:b/>
          <w:bCs/>
          <w:color w:val="1E3A5F"/>
          <w:sz w:val="28"/>
          <w:szCs w:val="28"/>
        </w:rPr>
        <w:t xml:space="preserve">Section 1 — Setup &amp; Login (0:00 – 1:00)</w:t>
      </w:r>
    </w:p>
    <w:p>
      <w:pPr>
        <w:spacing w:after="60" w:before="60"/>
      </w:pPr>
      <w:r>
        <w:rPr>
          <w:rFonts w:ascii="Arial" w:cs="Arial" w:eastAsia="Arial" w:hAnsi="Arial"/>
          <w:b w:val="false"/>
          <w:bCs w:val="false"/>
          <w:i/>
          <w:iCs/>
          <w:color w:val="333333"/>
          <w:sz w:val="22"/>
          <w:szCs w:val="22"/>
        </w:rPr>
        <w:t xml:space="preserve">Goal: Start from a clean state, establish context for the audience.</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Open the app in your browser. Click Reset Demo in the top-right corner and confirm. Wait for the spinner to stop.</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Click the Sign Out icon (if already logged in).</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On the login screen, click the Treasury Manager row. Credentials fill automatically.</w:t>
      </w:r>
    </w:p>
    <w:p>
      <w:pPr>
        <w:spacing w:after="60" w:before="60"/>
        <w:ind w:left="360"/>
      </w:pPr>
      <w:r>
        <w:rPr>
          <w:rFonts w:ascii="Arial" w:cs="Arial" w:eastAsia="Arial" w:hAnsi="Arial"/>
          <w:b/>
          <w:bCs/>
          <w:color w:val="2E75B6"/>
          <w:sz w:val="22"/>
          <w:szCs w:val="22"/>
        </w:rPr>
        <w:t xml:space="preserve">4. </w:t>
      </w:r>
      <w:r>
        <w:rPr>
          <w:rFonts w:ascii="Arial" w:cs="Arial" w:eastAsia="Arial" w:hAnsi="Arial"/>
          <w:color w:val="222222"/>
          <w:sz w:val="22"/>
          <w:szCs w:val="22"/>
        </w:rPr>
        <w:t xml:space="preserve">Click Sign In.</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This is a live system, not a slide deck. Everything you’ll see today is real — real role-based logins, real data mutations, real audit events being written as we go. Let me start as the Treasury Manager.</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If the backend is unreachable, a red banner appears. Start the API first: cd collateral-api &amp;&amp; npm run dev</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2 — Dashboard (1:00 – 3:00)</w:t>
      </w:r>
    </w:p>
    <w:p>
      <w:pPr>
        <w:spacing w:after="60" w:before="60"/>
      </w:pPr>
      <w:r>
        <w:rPr>
          <w:rFonts w:ascii="Arial" w:cs="Arial" w:eastAsia="Arial" w:hAnsi="Arial"/>
          <w:b w:val="false"/>
          <w:bCs w:val="false"/>
          <w:i/>
          <w:iCs/>
          <w:color w:val="333333"/>
          <w:sz w:val="22"/>
          <w:szCs w:val="22"/>
        </w:rPr>
        <w:t xml:space="preserve">Goal: Orient the audience to the portfolio at a glance.</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Point to the KPI strip: Total Collateral Value, Total Repos, Margin Deficit count, Available Assets.</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Scroll to the Active Repos table. Click a repo row to navigate to Repo Detail.</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Point out the notification bell — click it to show pending alerts.</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Every morning, the treasury desk sees this — portfolio-wide coverage ratios, live margin status, and any alerts that fired overnight. No spreadsheets, no email chains. Everything is in one place.</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Keep the bell open briefly to show the notification list, then close it. Don’t dismiss notifications yet — save that for later.</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3 — Collateral Inventory (3:00 – 5:00)</w:t>
      </w:r>
    </w:p>
    <w:p>
      <w:pPr>
        <w:spacing w:after="60" w:before="60"/>
      </w:pPr>
      <w:r>
        <w:rPr>
          <w:rFonts w:ascii="Arial" w:cs="Arial" w:eastAsia="Arial" w:hAnsi="Arial"/>
          <w:b w:val="false"/>
          <w:bCs w:val="false"/>
          <w:i/>
          <w:iCs/>
          <w:color w:val="333333"/>
          <w:sz w:val="22"/>
          <w:szCs w:val="22"/>
        </w:rPr>
        <w:t xml:space="preserve">Goal: Show the asset universe, eligibility, and custody context.</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Click Inventory in the left nav.</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Type “BNR” in the search bar. Point out instant filter across ISIN, name, and issuer fields.</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Change the Status filter to “Available”. Show only unencumbered assets.</w:t>
      </w:r>
    </w:p>
    <w:p>
      <w:pPr>
        <w:spacing w:after="60" w:before="60"/>
        <w:ind w:left="360"/>
      </w:pPr>
      <w:r>
        <w:rPr>
          <w:rFonts w:ascii="Arial" w:cs="Arial" w:eastAsia="Arial" w:hAnsi="Arial"/>
          <w:b/>
          <w:bCs/>
          <w:color w:val="2E75B6"/>
          <w:sz w:val="22"/>
          <w:szCs w:val="22"/>
        </w:rPr>
        <w:t xml:space="preserve">4. </w:t>
      </w:r>
      <w:r>
        <w:rPr>
          <w:rFonts w:ascii="Arial" w:cs="Arial" w:eastAsia="Arial" w:hAnsi="Arial"/>
          <w:color w:val="222222"/>
          <w:sz w:val="22"/>
          <w:szCs w:val="22"/>
        </w:rPr>
        <w:t xml:space="preserve">Click any row to open the asset detail sheet. Point out Adjusted Value (Market Value minus haircut), Custody Location, and Encumbrance State.</w:t>
      </w:r>
    </w:p>
    <w:p>
      <w:pPr>
        <w:spacing w:after="60" w:before="60"/>
        <w:ind w:left="360"/>
      </w:pPr>
      <w:r>
        <w:rPr>
          <w:rFonts w:ascii="Arial" w:cs="Arial" w:eastAsia="Arial" w:hAnsi="Arial"/>
          <w:b/>
          <w:bCs/>
          <w:color w:val="2E75B6"/>
          <w:sz w:val="22"/>
          <w:szCs w:val="22"/>
        </w:rPr>
        <w:t xml:space="preserve">5. </w:t>
      </w:r>
      <w:r>
        <w:rPr>
          <w:rFonts w:ascii="Arial" w:cs="Arial" w:eastAsia="Arial" w:hAnsi="Arial"/>
          <w:color w:val="222222"/>
          <w:sz w:val="22"/>
          <w:szCs w:val="22"/>
        </w:rPr>
        <w:t xml:space="preserve">Close the sheet. Clear filters.</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Each asset carries its haircut, eligibility rule, and custody location. When we propose a collateral basket for a repo, the system already knows which assets are eligible and what their adjusted value is. No manual cross-referencing.</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If asked about importing assets, click Template to download the CSV template, then point to Import CSV. Don’t actually import during the demo unless pre-planned.</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4 — Book a Repo (5:00 – 9:00)</w:t>
      </w:r>
    </w:p>
    <w:p>
      <w:pPr>
        <w:spacing w:after="60" w:before="60"/>
      </w:pPr>
      <w:r>
        <w:rPr>
          <w:rFonts w:ascii="Arial" w:cs="Arial" w:eastAsia="Arial" w:hAnsi="Arial"/>
          <w:b w:val="false"/>
          <w:bCs w:val="false"/>
          <w:i/>
          <w:iCs/>
          <w:color w:val="333333"/>
          <w:sz w:val="22"/>
          <w:szCs w:val="22"/>
        </w:rPr>
        <w:t xml:space="preserve">Goal: Show the end-to-end trade booking workflow with auto-proposed basket.</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Click Repos in the left nav. Click New Repo.</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Step 1 — Trade Terms: Enter Counterparty “Raiffeisen Romania”, Amount “5000000”, Rate “3.8”. Click Continue.</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Step 2 — Basket: The system auto-proposes eligible assets. Point out the coverage ratio (must be ≥ 102%). Walk through which assets were selected and why.</w:t>
      </w:r>
    </w:p>
    <w:p>
      <w:pPr>
        <w:spacing w:after="60" w:before="60"/>
        <w:ind w:left="360"/>
      </w:pPr>
      <w:r>
        <w:rPr>
          <w:rFonts w:ascii="Arial" w:cs="Arial" w:eastAsia="Arial" w:hAnsi="Arial"/>
          <w:b/>
          <w:bCs/>
          <w:color w:val="2E75B6"/>
          <w:sz w:val="22"/>
          <w:szCs w:val="22"/>
        </w:rPr>
        <w:t xml:space="preserve">4. </w:t>
      </w:r>
      <w:r>
        <w:rPr>
          <w:rFonts w:ascii="Arial" w:cs="Arial" w:eastAsia="Arial" w:hAnsi="Arial"/>
          <w:color w:val="222222"/>
          <w:sz w:val="22"/>
          <w:szCs w:val="22"/>
        </w:rPr>
        <w:t xml:space="preserve">Step 3 — Review: Show the full trade summary — counterparty, amount, basket, buffer.</w:t>
      </w:r>
    </w:p>
    <w:p>
      <w:pPr>
        <w:spacing w:after="60" w:before="60"/>
        <w:ind w:left="360"/>
      </w:pPr>
      <w:r>
        <w:rPr>
          <w:rFonts w:ascii="Arial" w:cs="Arial" w:eastAsia="Arial" w:hAnsi="Arial"/>
          <w:b/>
          <w:bCs/>
          <w:color w:val="2E75B6"/>
          <w:sz w:val="22"/>
          <w:szCs w:val="22"/>
        </w:rPr>
        <w:t xml:space="preserve">5. </w:t>
      </w:r>
      <w:r>
        <w:rPr>
          <w:rFonts w:ascii="Arial" w:cs="Arial" w:eastAsia="Arial" w:hAnsi="Arial"/>
          <w:color w:val="222222"/>
          <w:sz w:val="22"/>
          <w:szCs w:val="22"/>
        </w:rPr>
        <w:t xml:space="preserve">Step 4 — Confirm: Click Confirm &amp; Book. The system books the repo, locks the assets, writes to the audit trail, and fires a settlement notification.</w:t>
      </w:r>
    </w:p>
    <w:p>
      <w:pPr>
        <w:spacing w:after="60" w:before="60"/>
        <w:ind w:left="360"/>
      </w:pPr>
      <w:r>
        <w:rPr>
          <w:rFonts w:ascii="Arial" w:cs="Arial" w:eastAsia="Arial" w:hAnsi="Arial"/>
          <w:b/>
          <w:bCs/>
          <w:color w:val="2E75B6"/>
          <w:sz w:val="22"/>
          <w:szCs w:val="22"/>
        </w:rPr>
        <w:t xml:space="preserve">6. </w:t>
      </w:r>
      <w:r>
        <w:rPr>
          <w:rFonts w:ascii="Arial" w:cs="Arial" w:eastAsia="Arial" w:hAnsi="Arial"/>
          <w:color w:val="222222"/>
          <w:sz w:val="22"/>
          <w:szCs w:val="22"/>
        </w:rPr>
        <w:t xml:space="preserve">The view auto-navigates to the new Repo Detail page.</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From trade input to collateral basket to confirmation in under 60 seconds. The system enforces a 103% over-collateralization rule automatically. The Treasury Manager doesn’t need to check a spreadsheet — the platform calculates it, shows the buffer, and locks the assets the moment the trade is confirmed.</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Pause on the basket step. This is often the most impressive part for treasury teams. Point out that the system chose assets by eligibility and coverage, not just by value.</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5 — Margin Alert &amp; Top-Up (9:00 – 12:00)</w:t>
      </w:r>
    </w:p>
    <w:p>
      <w:pPr>
        <w:spacing w:after="60" w:before="60"/>
      </w:pPr>
      <w:r>
        <w:rPr>
          <w:rFonts w:ascii="Arial" w:cs="Arial" w:eastAsia="Arial" w:hAnsi="Arial"/>
          <w:b w:val="false"/>
          <w:bCs w:val="false"/>
          <w:i/>
          <w:iCs/>
          <w:color w:val="333333"/>
          <w:sz w:val="22"/>
          <w:szCs w:val="22"/>
        </w:rPr>
        <w:t xml:space="preserve">Goal: Show the margin monitoring and exception handling workflow.</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Click Margin &amp; Exceptions in the left nav.</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Find a repo with a negative buffer (shown in red). Click it.</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Point out the Margin Deficit alert — the coverage has dropped below 100%.</w:t>
      </w:r>
    </w:p>
    <w:p>
      <w:pPr>
        <w:spacing w:after="60" w:before="60"/>
        <w:ind w:left="360"/>
      </w:pPr>
      <w:r>
        <w:rPr>
          <w:rFonts w:ascii="Arial" w:cs="Arial" w:eastAsia="Arial" w:hAnsi="Arial"/>
          <w:b/>
          <w:bCs/>
          <w:color w:val="2E75B6"/>
          <w:sz w:val="22"/>
          <w:szCs w:val="22"/>
        </w:rPr>
        <w:t xml:space="preserve">4. </w:t>
      </w:r>
      <w:r>
        <w:rPr>
          <w:rFonts w:ascii="Arial" w:cs="Arial" w:eastAsia="Arial" w:hAnsi="Arial"/>
          <w:color w:val="222222"/>
          <w:sz w:val="22"/>
          <w:szCs w:val="22"/>
        </w:rPr>
        <w:t xml:space="preserve">Click Top-Up Collateral. A list of available assets appears. Click Add for one of them.</w:t>
      </w:r>
    </w:p>
    <w:p>
      <w:pPr>
        <w:spacing w:after="60" w:before="60"/>
        <w:ind w:left="360"/>
      </w:pPr>
      <w:r>
        <w:rPr>
          <w:rFonts w:ascii="Arial" w:cs="Arial" w:eastAsia="Arial" w:hAnsi="Arial"/>
          <w:b/>
          <w:bCs/>
          <w:color w:val="2E75B6"/>
          <w:sz w:val="22"/>
          <w:szCs w:val="22"/>
        </w:rPr>
        <w:t xml:space="preserve">5. </w:t>
      </w:r>
      <w:r>
        <w:rPr>
          <w:rFonts w:ascii="Arial" w:cs="Arial" w:eastAsia="Arial" w:hAnsi="Arial"/>
          <w:color w:val="222222"/>
          <w:sz w:val="22"/>
          <w:szCs w:val="22"/>
        </w:rPr>
        <w:t xml:space="preserve">The repo’s Posted Collateral increases, the buffer turns green, and the asset status changes to Locked.</w:t>
      </w:r>
    </w:p>
    <w:p>
      <w:pPr>
        <w:spacing w:after="60" w:before="60"/>
        <w:ind w:left="360"/>
      </w:pPr>
      <w:r>
        <w:rPr>
          <w:rFonts w:ascii="Arial" w:cs="Arial" w:eastAsia="Arial" w:hAnsi="Arial"/>
          <w:b/>
          <w:bCs/>
          <w:color w:val="2E75B6"/>
          <w:sz w:val="22"/>
          <w:szCs w:val="22"/>
        </w:rPr>
        <w:t xml:space="preserve">6. </w:t>
      </w:r>
      <w:r>
        <w:rPr>
          <w:rFonts w:ascii="Arial" w:cs="Arial" w:eastAsia="Arial" w:hAnsi="Arial"/>
          <w:color w:val="222222"/>
          <w:sz w:val="22"/>
          <w:szCs w:val="22"/>
        </w:rPr>
        <w:t xml:space="preserve">Open the notification bell — the margin deficit alert has been cleared automatically.</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Margin calls are the most operationally sensitive events in collateral management. Today at most banks, this means phone calls and emails. Here, the system flags the deficit, shows which assets can plug the gap, and writes the approval to the audit trail — all in one workflow.</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If no repo has a negative buffer after the demo reset, go to Repos, open any active repo, and explain that a margin call would trigger this same flow when market values shift.</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6 — Collateral Substitution (12:00 – 14:00)</w:t>
      </w:r>
    </w:p>
    <w:p>
      <w:pPr>
        <w:spacing w:after="60" w:before="60"/>
      </w:pPr>
      <w:r>
        <w:rPr>
          <w:rFonts w:ascii="Arial" w:cs="Arial" w:eastAsia="Arial" w:hAnsi="Arial"/>
          <w:b w:val="false"/>
          <w:bCs w:val="false"/>
          <w:i/>
          <w:iCs/>
          <w:color w:val="333333"/>
          <w:sz w:val="22"/>
          <w:szCs w:val="22"/>
        </w:rPr>
        <w:t xml:space="preserve">Goal: Show role-switching and the substitution workflow.</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Sign out. Sign back in as Collateral Manager (collateral@banca-demo.ro / demo1234).</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Click Repos. Open an active repo.</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Click Substitute Collateral. A side panel opens showing the current basket and available substitutes.</w:t>
      </w:r>
    </w:p>
    <w:p>
      <w:pPr>
        <w:spacing w:after="60" w:before="60"/>
        <w:ind w:left="360"/>
      </w:pPr>
      <w:r>
        <w:rPr>
          <w:rFonts w:ascii="Arial" w:cs="Arial" w:eastAsia="Arial" w:hAnsi="Arial"/>
          <w:b/>
          <w:bCs/>
          <w:color w:val="2E75B6"/>
          <w:sz w:val="22"/>
          <w:szCs w:val="22"/>
        </w:rPr>
        <w:t xml:space="preserve">4. </w:t>
      </w:r>
      <w:r>
        <w:rPr>
          <w:rFonts w:ascii="Arial" w:cs="Arial" w:eastAsia="Arial" w:hAnsi="Arial"/>
          <w:color w:val="222222"/>
          <w:sz w:val="22"/>
          <w:szCs w:val="22"/>
        </w:rPr>
        <w:t xml:space="preserve">Click Replace next to one asset. Choose a substitute. The basket updates, collateral values recalculate, and the old asset returns to Available.</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Substitution happens constantly — a counterparty requests it, or you want to free up a specific bond. This workflow shows how the Collateral Manager acts on that request without needing to touch a spreadsheet or call the back office. The system recalculates coverage instantly.</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Mention that role separation is enforced by JWT claims — the Treasury Manager cannot perform substitution. This matters for audit and compliance teams.</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7 — Operations &amp; MT543 (14:00 – 16:00)</w:t>
      </w:r>
    </w:p>
    <w:p>
      <w:pPr>
        <w:spacing w:after="60" w:before="60"/>
      </w:pPr>
      <w:r>
        <w:rPr>
          <w:rFonts w:ascii="Arial" w:cs="Arial" w:eastAsia="Arial" w:hAnsi="Arial"/>
          <w:b w:val="false"/>
          <w:bCs w:val="false"/>
          <w:i/>
          <w:iCs/>
          <w:color w:val="333333"/>
          <w:sz w:val="22"/>
          <w:szCs w:val="22"/>
        </w:rPr>
        <w:t xml:space="preserve">Goal: Show the settlement instruction layer.</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Sign out. Sign back in as Operations Analyst (operations@banca-demo.ro / demo1234).</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Click Operations in the left nav.</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Click any repo row to open the instruction sheet.</w:t>
      </w:r>
    </w:p>
    <w:p>
      <w:pPr>
        <w:spacing w:after="60" w:before="60"/>
        <w:ind w:left="360"/>
      </w:pPr>
      <w:r>
        <w:rPr>
          <w:rFonts w:ascii="Arial" w:cs="Arial" w:eastAsia="Arial" w:hAnsi="Arial"/>
          <w:b/>
          <w:bCs/>
          <w:color w:val="2E75B6"/>
          <w:sz w:val="22"/>
          <w:szCs w:val="22"/>
        </w:rPr>
        <w:t xml:space="preserve">4. </w:t>
      </w:r>
      <w:r>
        <w:rPr>
          <w:rFonts w:ascii="Arial" w:cs="Arial" w:eastAsia="Arial" w:hAnsi="Arial"/>
          <w:color w:val="222222"/>
          <w:sz w:val="22"/>
          <w:szCs w:val="22"/>
        </w:rPr>
        <w:t xml:space="preserve">Show the MT543 instruction preview: SAFEKEEPING ACCOUNT, ISIN, Trade Date, Settlement Date, delivery leg, payment leg.</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The operations team generates ISO 15022 MT543 settlement instructions directly from the platform. In the current pilot, these are previewed and confirmed manually. The integration roadmap includes direct connectivity to Euroclear, Clearstream, and the BNR settlement layer.</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Don’t get into deep SWIFT detail unless the audience is operations-focused. Mention the format, show it exists, and move on.</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8 — SFTR Report (16:00 – 18:00)</w:t>
      </w:r>
    </w:p>
    <w:p>
      <w:pPr>
        <w:spacing w:after="60" w:before="60"/>
      </w:pPr>
      <w:r>
        <w:rPr>
          <w:rFonts w:ascii="Arial" w:cs="Arial" w:eastAsia="Arial" w:hAnsi="Arial"/>
          <w:b w:val="false"/>
          <w:bCs w:val="false"/>
          <w:i/>
          <w:iCs/>
          <w:color w:val="333333"/>
          <w:sz w:val="22"/>
          <w:szCs w:val="22"/>
        </w:rPr>
        <w:t xml:space="preserve">Goal: Show regulatory reporting output.</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Click SFTR Report in the left nav.</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Walk through the KPI summary: Total Notional, Active Repos, Unique Counterparties, Total Collateral Posted.</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Scroll to the transactions table. Point out UTI (Unique Trade Identifier), Report Type, Counterparty LEI, Maturity Date, and Collateral ISIN.</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SFTR reporting is mandatory for any Romanian bank doing repo transactions. The platform generates the full trade report in real time. In the next phase, we export directly to the ARM — no manual data entry, no reconciliation spreadsheets.</w:t>
      </w:r>
    </w:p>
    <w:p>
      <w:pPr>
        <w:pBdr>
          <w:left w:val="single" w:color="2E75B6" w:sz="12" w:space="4"/>
        </w:pBdr>
        <w:shd w:fill="D5E8F0" w:val="clear"/>
        <w:spacing w:after="80" w:before="80"/>
        <w:ind w:left="200" w:right="200"/>
      </w:pPr>
      <w:r>
        <w:rPr>
          <w:rFonts w:ascii="Arial" w:cs="Arial" w:eastAsia="Arial" w:hAnsi="Arial"/>
          <w:b/>
          <w:bCs/>
          <w:color w:val="2E75B6"/>
          <w:sz w:val="20"/>
          <w:szCs w:val="20"/>
        </w:rPr>
        <w:t xml:space="preserve">TIP: </w:t>
      </w:r>
      <w:r>
        <w:rPr>
          <w:rFonts w:ascii="Arial" w:cs="Arial" w:eastAsia="Arial" w:hAnsi="Arial"/>
          <w:i/>
          <w:iCs/>
          <w:color w:val="444444"/>
          <w:sz w:val="20"/>
          <w:szCs w:val="20"/>
        </w:rPr>
        <w:t xml:space="preserve">If asked about the ARM connection, say: “The data model is SFTR-ready. ARM connectivity is on the Q3 roadmap.”</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9 — Audit Trail (18:00 – 19:00)</w:t>
      </w:r>
    </w:p>
    <w:p>
      <w:pPr>
        <w:spacing w:after="60" w:before="60"/>
      </w:pPr>
      <w:r>
        <w:rPr>
          <w:rFonts w:ascii="Arial" w:cs="Arial" w:eastAsia="Arial" w:hAnsi="Arial"/>
          <w:b w:val="false"/>
          <w:bCs w:val="false"/>
          <w:i/>
          <w:iCs/>
          <w:color w:val="333333"/>
          <w:sz w:val="22"/>
          <w:szCs w:val="22"/>
        </w:rPr>
        <w:t xml:space="preserve">Goal: Show tamper-evident operational history.</w:t>
      </w:r>
    </w:p>
    <w:p>
      <w:pPr>
        <w:spacing w:after="0" w:before="80"/>
      </w:pPr>
    </w:p>
    <w:p>
      <w:pPr>
        <w:spacing w:after="80" w:before="200"/>
      </w:pPr>
      <w:r>
        <w:rPr>
          <w:rFonts w:ascii="Arial" w:cs="Arial" w:eastAsia="Arial" w:hAnsi="Arial"/>
          <w:b/>
          <w:bCs/>
          <w:color w:val="1A1A2E"/>
          <w:sz w:val="24"/>
          <w:szCs w:val="24"/>
        </w:rPr>
        <w:t xml:space="preserve">Steps</w:t>
      </w:r>
    </w:p>
    <w:p>
      <w:pPr>
        <w:spacing w:after="60" w:before="60"/>
        <w:ind w:left="360"/>
      </w:pPr>
      <w:r>
        <w:rPr>
          <w:rFonts w:ascii="Arial" w:cs="Arial" w:eastAsia="Arial" w:hAnsi="Arial"/>
          <w:b/>
          <w:bCs/>
          <w:color w:val="2E75B6"/>
          <w:sz w:val="22"/>
          <w:szCs w:val="22"/>
        </w:rPr>
        <w:t xml:space="preserve">1. </w:t>
      </w:r>
      <w:r>
        <w:rPr>
          <w:rFonts w:ascii="Arial" w:cs="Arial" w:eastAsia="Arial" w:hAnsi="Arial"/>
          <w:color w:val="222222"/>
          <w:sz w:val="22"/>
          <w:szCs w:val="22"/>
        </w:rPr>
        <w:t xml:space="preserve">Click Audit Trail in the left nav.</w:t>
      </w:r>
    </w:p>
    <w:p>
      <w:pPr>
        <w:spacing w:after="60" w:before="60"/>
        <w:ind w:left="360"/>
      </w:pPr>
      <w:r>
        <w:rPr>
          <w:rFonts w:ascii="Arial" w:cs="Arial" w:eastAsia="Arial" w:hAnsi="Arial"/>
          <w:b/>
          <w:bCs/>
          <w:color w:val="2E75B6"/>
          <w:sz w:val="22"/>
          <w:szCs w:val="22"/>
        </w:rPr>
        <w:t xml:space="preserve">2. </w:t>
      </w:r>
      <w:r>
        <w:rPr>
          <w:rFonts w:ascii="Arial" w:cs="Arial" w:eastAsia="Arial" w:hAnsi="Arial"/>
          <w:color w:val="222222"/>
          <w:sz w:val="22"/>
          <w:szCs w:val="22"/>
        </w:rPr>
        <w:t xml:space="preserve">Point to the log: every action from today’s demo is recorded — repo created, top-up approved, collateral substituted.</w:t>
      </w:r>
    </w:p>
    <w:p>
      <w:pPr>
        <w:spacing w:after="60" w:before="60"/>
        <w:ind w:left="360"/>
      </w:pPr>
      <w:r>
        <w:rPr>
          <w:rFonts w:ascii="Arial" w:cs="Arial" w:eastAsia="Arial" w:hAnsi="Arial"/>
          <w:b/>
          <w:bCs/>
          <w:color w:val="2E75B6"/>
          <w:sz w:val="22"/>
          <w:szCs w:val="22"/>
        </w:rPr>
        <w:t xml:space="preserve">3. </w:t>
      </w:r>
      <w:r>
        <w:rPr>
          <w:rFonts w:ascii="Arial" w:cs="Arial" w:eastAsia="Arial" w:hAnsi="Arial"/>
          <w:color w:val="222222"/>
          <w:sz w:val="22"/>
          <w:szCs w:val="22"/>
        </w:rPr>
        <w:t xml:space="preserve">Show the columns: timestamp, user name, role, action, object, before-state, after-state, comment.</w:t>
      </w:r>
    </w:p>
    <w:p>
      <w:pPr>
        <w:spacing w:after="0" w:before="80"/>
      </w:pP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Every action on this platform is immutable. Before and after states are captured, the user and role that performed the action are recorded, and the timestamp is exact. This is what your compliance team and internal audit will ask for during an ECB inspection.</w:t>
      </w:r>
    </w:p>
    <w:p>
      <w:pPr>
        <w:pBdr>
          <w:bottom w:val="single" w:color="DDDDDD" w:sz="4" w:space="1"/>
        </w:pBdr>
        <w:spacing w:after="160" w:before="160"/>
      </w:pPr>
    </w:p>
    <w:p>
      <w:pPr>
        <w:pStyle w:val="Heading2"/>
        <w:pBdr>
          <w:bottom w:val="single" w:color="2E75B6" w:sz="4" w:space="2"/>
        </w:pBdr>
        <w:spacing w:after="100" w:before="300"/>
      </w:pPr>
      <w:r>
        <w:rPr>
          <w:rFonts w:ascii="Arial" w:cs="Arial" w:eastAsia="Arial" w:hAnsi="Arial"/>
          <w:b/>
          <w:bCs/>
          <w:color w:val="1E3A5F"/>
          <w:sz w:val="28"/>
          <w:szCs w:val="28"/>
        </w:rPr>
        <w:t xml:space="preserve">Section 10 — Q&amp;A &amp; Close (19:00 – 20:00)</w:t>
      </w:r>
    </w:p>
    <w:p>
      <w:pPr>
        <w:spacing w:after="60" w:before="60"/>
      </w:pPr>
      <w:r>
        <w:rPr>
          <w:rFonts w:ascii="Arial" w:cs="Arial" w:eastAsia="Arial" w:hAnsi="Arial"/>
          <w:b w:val="false"/>
          <w:bCs w:val="false"/>
          <w:i/>
          <w:iCs/>
          <w:color w:val="333333"/>
          <w:sz w:val="22"/>
          <w:szCs w:val="22"/>
        </w:rPr>
        <w:t xml:space="preserve">Goal: Open the conversation and advance the sale.</w:t>
      </w:r>
    </w:p>
    <w:p>
      <w:pPr>
        <w:spacing w:after="0" w:before="80"/>
      </w:pPr>
    </w:p>
    <w:p>
      <w:pPr>
        <w:spacing w:after="80" w:before="200"/>
      </w:pPr>
      <w:r>
        <w:rPr>
          <w:rFonts w:ascii="Arial" w:cs="Arial" w:eastAsia="Arial" w:hAnsi="Arial"/>
          <w:b/>
          <w:bCs/>
          <w:color w:val="1A1A2E"/>
          <w:sz w:val="24"/>
          <w:szCs w:val="24"/>
        </w:rPr>
        <w:t xml:space="preserve">Suggested Closing</w:t>
      </w:r>
    </w:p>
    <w:p>
      <w:pPr>
        <w:pBdr>
          <w:left w:val="single" w:color="F59E0B" w:sz="12" w:space="4"/>
        </w:pBdr>
        <w:shd w:fill="FFF8E1" w:val="clear"/>
        <w:spacing w:after="80" w:before="80"/>
        <w:ind w:left="200" w:right="200"/>
      </w:pPr>
      <w:r>
        <w:rPr>
          <w:rFonts w:ascii="Arial" w:cs="Arial" w:eastAsia="Arial" w:hAnsi="Arial"/>
          <w:b/>
          <w:bCs/>
          <w:color w:val="92400E"/>
          <w:sz w:val="20"/>
          <w:szCs w:val="20"/>
        </w:rPr>
        <w:t xml:space="preserve">SAY: </w:t>
      </w:r>
      <w:r>
        <w:rPr>
          <w:rFonts w:ascii="Arial" w:cs="Arial" w:eastAsia="Arial" w:hAnsi="Arial"/>
          <w:i/>
          <w:iCs/>
          <w:color w:val="78350F"/>
          <w:sz w:val="20"/>
          <w:szCs w:val="20"/>
        </w:rPr>
        <w:t xml:space="preserve">That’s the full workflow — from booking a repo to settlement instructions to SFTR output to audit trail — in 20 minutes, on live infrastructure. The next step is a scoped pilot using your actual asset universe and counterparty list. What questions do you have?</w:t>
      </w:r>
    </w:p>
    <w:p>
      <w:pPr>
        <w:spacing w:after="0" w:before="80"/>
      </w:pPr>
    </w:p>
    <w:p>
      <w:pPr>
        <w:spacing w:after="80" w:before="200"/>
      </w:pPr>
      <w:r>
        <w:rPr>
          <w:rFonts w:ascii="Arial" w:cs="Arial" w:eastAsia="Arial" w:hAnsi="Arial"/>
          <w:b/>
          <w:bCs/>
          <w:color w:val="1A1A2E"/>
          <w:sz w:val="24"/>
          <w:szCs w:val="24"/>
        </w:rPr>
        <w:t xml:space="preserve">Likely Questions &amp; Answers</w:t>
      </w:r>
    </w:p>
    <w:p>
      <w:pPr>
        <w:spacing w:after="60" w:before="60"/>
      </w:pPr>
      <w:r>
        <w:rPr>
          <w:rFonts w:ascii="Arial" w:cs="Arial" w:eastAsia="Arial" w:hAnsi="Arial"/>
          <w:b/>
          <w:bCs/>
          <w:i w:val="false"/>
          <w:iCs w:val="false"/>
          <w:color w:val="333333"/>
          <w:sz w:val="22"/>
          <w:szCs w:val="22"/>
        </w:rPr>
        <w:t xml:space="preserve">Q: Can it connect to our core banking system?</w:t>
      </w:r>
    </w:p>
    <w:p>
      <w:pPr>
        <w:spacing w:after="60" w:before="60"/>
        <w:ind w:left="360"/>
      </w:pPr>
      <w:r>
        <w:rPr>
          <w:rFonts w:ascii="Arial" w:cs="Arial" w:eastAsia="Arial" w:hAnsi="Arial"/>
          <w:b w:val="false"/>
          <w:bCs w:val="false"/>
          <w:i w:val="false"/>
          <w:iCs w:val="false"/>
          <w:color w:val="333333"/>
          <w:sz w:val="22"/>
          <w:szCs w:val="22"/>
        </w:rPr>
        <w:t xml:space="preserve">A: Yes. The API layer is REST-based and designed for integration. We scope the connector in the pilot phase.</w:t>
      </w:r>
    </w:p>
    <w:p>
      <w:pPr>
        <w:spacing w:after="0" w:before="40"/>
      </w:pPr>
    </w:p>
    <w:p>
      <w:pPr>
        <w:spacing w:after="60" w:before="60"/>
      </w:pPr>
      <w:r>
        <w:rPr>
          <w:rFonts w:ascii="Arial" w:cs="Arial" w:eastAsia="Arial" w:hAnsi="Arial"/>
          <w:b/>
          <w:bCs/>
          <w:i w:val="false"/>
          <w:iCs w:val="false"/>
          <w:color w:val="333333"/>
          <w:sz w:val="22"/>
          <w:szCs w:val="22"/>
        </w:rPr>
        <w:t xml:space="preserve">Q: What about Euroclear / Clearstream connectivity?</w:t>
      </w:r>
    </w:p>
    <w:p>
      <w:pPr>
        <w:spacing w:after="60" w:before="60"/>
        <w:ind w:left="360"/>
      </w:pPr>
      <w:r>
        <w:rPr>
          <w:rFonts w:ascii="Arial" w:cs="Arial" w:eastAsia="Arial" w:hAnsi="Arial"/>
          <w:b w:val="false"/>
          <w:bCs w:val="false"/>
          <w:i w:val="false"/>
          <w:iCs w:val="false"/>
          <w:color w:val="333333"/>
          <w:sz w:val="22"/>
          <w:szCs w:val="22"/>
        </w:rPr>
        <w:t xml:space="preserve">A: The MT543 instruction format is already in the platform. Direct CSD connectivity is on the roadmap for Q3.</w:t>
      </w:r>
    </w:p>
    <w:p>
      <w:pPr>
        <w:spacing w:after="0" w:before="40"/>
      </w:pPr>
    </w:p>
    <w:p>
      <w:pPr>
        <w:spacing w:after="60" w:before="60"/>
      </w:pPr>
      <w:r>
        <w:rPr>
          <w:rFonts w:ascii="Arial" w:cs="Arial" w:eastAsia="Arial" w:hAnsi="Arial"/>
          <w:b/>
          <w:bCs/>
          <w:i w:val="false"/>
          <w:iCs w:val="false"/>
          <w:color w:val="333333"/>
          <w:sz w:val="22"/>
          <w:szCs w:val="22"/>
        </w:rPr>
        <w:t xml:space="preserve">Q: Is this on-premise or cloud?</w:t>
      </w:r>
    </w:p>
    <w:p>
      <w:pPr>
        <w:spacing w:after="60" w:before="60"/>
        <w:ind w:left="360"/>
      </w:pPr>
      <w:r>
        <w:rPr>
          <w:rFonts w:ascii="Arial" w:cs="Arial" w:eastAsia="Arial" w:hAnsi="Arial"/>
          <w:b w:val="false"/>
          <w:bCs w:val="false"/>
          <w:i w:val="false"/>
          <w:iCs w:val="false"/>
          <w:color w:val="333333"/>
          <w:sz w:val="22"/>
          <w:szCs w:val="22"/>
        </w:rPr>
        <w:t xml:space="preserve">A: Both options are available. The pilot runs on a private VPS. We support on-premise deployment for BNR-regulated environments.</w:t>
      </w:r>
    </w:p>
    <w:p>
      <w:pPr>
        <w:spacing w:after="0" w:before="40"/>
      </w:pPr>
    </w:p>
    <w:p>
      <w:pPr>
        <w:spacing w:after="60" w:before="60"/>
      </w:pPr>
      <w:r>
        <w:rPr>
          <w:rFonts w:ascii="Arial" w:cs="Arial" w:eastAsia="Arial" w:hAnsi="Arial"/>
          <w:b/>
          <w:bCs/>
          <w:i w:val="false"/>
          <w:iCs w:val="false"/>
          <w:color w:val="333333"/>
          <w:sz w:val="22"/>
          <w:szCs w:val="22"/>
        </w:rPr>
        <w:t xml:space="preserve">Q: How long does a pilot take?</w:t>
      </w:r>
    </w:p>
    <w:p>
      <w:pPr>
        <w:spacing w:after="60" w:before="60"/>
        <w:ind w:left="360"/>
      </w:pPr>
      <w:r>
        <w:rPr>
          <w:rFonts w:ascii="Arial" w:cs="Arial" w:eastAsia="Arial" w:hAnsi="Arial"/>
          <w:b w:val="false"/>
          <w:bCs w:val="false"/>
          <w:i w:val="false"/>
          <w:iCs w:val="false"/>
          <w:color w:val="333333"/>
          <w:sz w:val="22"/>
          <w:szCs w:val="22"/>
        </w:rPr>
        <w:t xml:space="preserve">A: 6–8 weeks to go live with your real data. We handle the data migration and configuration.</w:t>
      </w:r>
    </w:p>
    <w:p>
      <w:pPr>
        <w:spacing w:after="0" w:before="40"/>
      </w:pPr>
    </w:p>
    <w:p>
      <w:pPr>
        <w:spacing w:after="60" w:before="60"/>
      </w:pPr>
      <w:r>
        <w:rPr>
          <w:rFonts w:ascii="Arial" w:cs="Arial" w:eastAsia="Arial" w:hAnsi="Arial"/>
          <w:b/>
          <w:bCs/>
          <w:i w:val="false"/>
          <w:iCs w:val="false"/>
          <w:color w:val="333333"/>
          <w:sz w:val="22"/>
          <w:szCs w:val="22"/>
        </w:rPr>
        <w:t xml:space="preserve">Q: What does it cost?</w:t>
      </w:r>
    </w:p>
    <w:p>
      <w:pPr>
        <w:spacing w:after="60" w:before="60"/>
        <w:ind w:left="360"/>
      </w:pPr>
      <w:r>
        <w:rPr>
          <w:rFonts w:ascii="Arial" w:cs="Arial" w:eastAsia="Arial" w:hAnsi="Arial"/>
          <w:b w:val="false"/>
          <w:bCs w:val="false"/>
          <w:i w:val="false"/>
          <w:iCs w:val="false"/>
          <w:color w:val="333333"/>
          <w:sz w:val="22"/>
          <w:szCs w:val="22"/>
        </w:rPr>
        <w:t xml:space="preserve">A: Pilot is a fixed-fee engagement. Production is SaaS-priced per active user per month, with a minimum commitment. We can walk through the commercial model in a follow-up.</w:t>
      </w:r>
    </w:p>
    <w:p>
      <w:pPr>
        <w:pBdr>
          <w:bottom w:val="single" w:color="DDDDDD" w:sz="4" w:space="1"/>
        </w:pBdr>
        <w:spacing w:after="160" w:before="160"/>
      </w:pPr>
    </w:p>
    <w:p>
      <w:pPr>
        <w:pageBreakBefore/>
      </w:pPr>
    </w:p>
    <w:p>
      <w:pPr>
        <w:pStyle w:val="Heading2"/>
        <w:pBdr>
          <w:bottom w:val="single" w:color="2E75B6" w:sz="4" w:space="2"/>
        </w:pBdr>
        <w:spacing w:after="100" w:before="300"/>
      </w:pPr>
      <w:r>
        <w:rPr>
          <w:rFonts w:ascii="Arial" w:cs="Arial" w:eastAsia="Arial" w:hAnsi="Arial"/>
          <w:b/>
          <w:bCs/>
          <w:color w:val="1E3A5F"/>
          <w:sz w:val="28"/>
          <w:szCs w:val="28"/>
        </w:rPr>
        <w:t xml:space="preserve">Appendix — Before You Start</w:t>
      </w:r>
    </w:p>
    <w:p>
      <w:pPr>
        <w:spacing w:after="0" w:before="60"/>
      </w:pPr>
    </w:p>
    <w:p>
      <w:pPr>
        <w:spacing w:after="80" w:before="200"/>
      </w:pPr>
      <w:r>
        <w:rPr>
          <w:rFonts w:ascii="Arial" w:cs="Arial" w:eastAsia="Arial" w:hAnsi="Arial"/>
          <w:b/>
          <w:bCs/>
          <w:color w:val="1A1A2E"/>
          <w:sz w:val="24"/>
          <w:szCs w:val="24"/>
        </w:rPr>
        <w:t xml:space="preserve">Pre-Demo Checklist</w:t>
      </w:r>
    </w:p>
    <w:p>
      <w:pPr>
        <w:pStyle w:val="ListParagraph"/>
        <w:numPr>
          <w:ilvl w:val="0"/>
          <w:numId w:val="2"/>
        </w:numPr>
        <w:spacing w:after="40" w:before="40"/>
      </w:pPr>
      <w:r>
        <w:rPr>
          <w:rFonts w:ascii="Arial" w:cs="Arial" w:eastAsia="Arial" w:hAnsi="Arial"/>
          <w:color w:val="333333"/>
          <w:sz w:val="22"/>
          <w:szCs w:val="22"/>
        </w:rPr>
        <w:t xml:space="preserve">Backend running: cd collateral-api &amp;&amp; npm run dev (port 3001)</w:t>
      </w:r>
    </w:p>
    <w:p>
      <w:pPr>
        <w:pStyle w:val="ListParagraph"/>
        <w:numPr>
          <w:ilvl w:val="0"/>
          <w:numId w:val="2"/>
        </w:numPr>
        <w:spacing w:after="40" w:before="40"/>
      </w:pPr>
      <w:r>
        <w:rPr>
          <w:rFonts w:ascii="Arial" w:cs="Arial" w:eastAsia="Arial" w:hAnsi="Arial"/>
          <w:color w:val="333333"/>
          <w:sz w:val="22"/>
          <w:szCs w:val="22"/>
        </w:rPr>
        <w:t xml:space="preserve">Frontend running: cd collateral-app &amp;&amp; npm run dev (port 5173) OR production build served</w:t>
      </w:r>
    </w:p>
    <w:p>
      <w:pPr>
        <w:pStyle w:val="ListParagraph"/>
        <w:numPr>
          <w:ilvl w:val="0"/>
          <w:numId w:val="2"/>
        </w:numPr>
        <w:spacing w:after="40" w:before="40"/>
      </w:pPr>
      <w:r>
        <w:rPr>
          <w:rFonts w:ascii="Arial" w:cs="Arial" w:eastAsia="Arial" w:hAnsi="Arial"/>
          <w:color w:val="333333"/>
          <w:sz w:val="22"/>
          <w:szCs w:val="22"/>
        </w:rPr>
        <w:t xml:space="preserve">Browser open to localhost:5173 or production URL</w:t>
      </w:r>
    </w:p>
    <w:p>
      <w:pPr>
        <w:pStyle w:val="ListParagraph"/>
        <w:numPr>
          <w:ilvl w:val="0"/>
          <w:numId w:val="2"/>
        </w:numPr>
        <w:spacing w:after="40" w:before="40"/>
      </w:pPr>
      <w:r>
        <w:rPr>
          <w:rFonts w:ascii="Arial" w:cs="Arial" w:eastAsia="Arial" w:hAnsi="Arial"/>
          <w:color w:val="333333"/>
          <w:sz w:val="22"/>
          <w:szCs w:val="22"/>
        </w:rPr>
        <w:t xml:space="preserve">Reset Demo clicked and confirmed — always start from clean data</w:t>
      </w:r>
    </w:p>
    <w:p>
      <w:pPr>
        <w:pStyle w:val="ListParagraph"/>
        <w:numPr>
          <w:ilvl w:val="0"/>
          <w:numId w:val="2"/>
        </w:numPr>
        <w:spacing w:after="40" w:before="40"/>
      </w:pPr>
      <w:r>
        <w:rPr>
          <w:rFonts w:ascii="Arial" w:cs="Arial" w:eastAsia="Arial" w:hAnsi="Arial"/>
          <w:color w:val="333333"/>
          <w:sz w:val="22"/>
          <w:szCs w:val="22"/>
        </w:rPr>
        <w:t xml:space="preserve">Laptop connected to HDMI / screen share ready</w:t>
      </w:r>
    </w:p>
    <w:p>
      <w:pPr>
        <w:pStyle w:val="ListParagraph"/>
        <w:numPr>
          <w:ilvl w:val="0"/>
          <w:numId w:val="2"/>
        </w:numPr>
        <w:spacing w:after="40" w:before="40"/>
      </w:pPr>
      <w:r>
        <w:rPr>
          <w:rFonts w:ascii="Arial" w:cs="Arial" w:eastAsia="Arial" w:hAnsi="Arial"/>
          <w:color w:val="333333"/>
          <w:sz w:val="22"/>
          <w:szCs w:val="22"/>
        </w:rPr>
        <w:t xml:space="preserve">Notifications visible in bell: at least 3–4 items</w:t>
      </w:r>
    </w:p>
    <w:p>
      <w:pPr>
        <w:pStyle w:val="ListParagraph"/>
        <w:numPr>
          <w:ilvl w:val="0"/>
          <w:numId w:val="2"/>
        </w:numPr>
        <w:spacing w:after="40" w:before="40"/>
      </w:pPr>
      <w:r>
        <w:rPr>
          <w:rFonts w:ascii="Arial" w:cs="Arial" w:eastAsia="Arial" w:hAnsi="Arial"/>
          <w:color w:val="333333"/>
          <w:sz w:val="22"/>
          <w:szCs w:val="22"/>
        </w:rPr>
        <w:t xml:space="preserve">This script printed or open on a second screen</w:t>
      </w:r>
    </w:p>
    <w:p>
      <w:pPr>
        <w:spacing w:after="0" w:before="120"/>
      </w:pPr>
    </w:p>
    <w:p>
      <w:pPr>
        <w:spacing w:after="80" w:before="200"/>
      </w:pPr>
      <w:r>
        <w:rPr>
          <w:rFonts w:ascii="Arial" w:cs="Arial" w:eastAsia="Arial" w:hAnsi="Arial"/>
          <w:b/>
          <w:bCs/>
          <w:color w:val="1A1A2E"/>
          <w:sz w:val="24"/>
          <w:szCs w:val="24"/>
        </w:rPr>
        <w:t xml:space="preserve">Recovery Playbook</w:t>
      </w:r>
    </w:p>
    <w:p>
      <w:pPr>
        <w:spacing w:after="60" w:before="60"/>
      </w:pPr>
      <w:r>
        <w:rPr>
          <w:rFonts w:ascii="Arial" w:cs="Arial" w:eastAsia="Arial" w:hAnsi="Arial"/>
          <w:b/>
          <w:bCs/>
          <w:i w:val="false"/>
          <w:iCs w:val="false"/>
          <w:color w:val="333333"/>
          <w:sz w:val="22"/>
          <w:szCs w:val="22"/>
        </w:rPr>
        <w:t xml:space="preserve">If the API is unreachable:</w:t>
      </w:r>
    </w:p>
    <w:p>
      <w:pPr>
        <w:pStyle w:val="ListParagraph"/>
        <w:numPr>
          <w:ilvl w:val="0"/>
          <w:numId w:val="2"/>
        </w:numPr>
        <w:spacing w:after="40" w:before="40"/>
      </w:pPr>
      <w:r>
        <w:rPr>
          <w:rFonts w:ascii="Arial" w:cs="Arial" w:eastAsia="Arial" w:hAnsi="Arial"/>
          <w:color w:val="333333"/>
          <w:sz w:val="22"/>
          <w:szCs w:val="22"/>
        </w:rPr>
        <w:t xml:space="preserve">A red banner appears in the app. Click Retry.</w:t>
      </w:r>
    </w:p>
    <w:p>
      <w:pPr>
        <w:pStyle w:val="ListParagraph"/>
        <w:numPr>
          <w:ilvl w:val="0"/>
          <w:numId w:val="2"/>
        </w:numPr>
        <w:spacing w:after="40" w:before="40"/>
      </w:pPr>
      <w:r>
        <w:rPr>
          <w:rFonts w:ascii="Arial" w:cs="Arial" w:eastAsia="Arial" w:hAnsi="Arial"/>
          <w:color w:val="333333"/>
          <w:sz w:val="22"/>
          <w:szCs w:val="22"/>
        </w:rPr>
        <w:t xml:space="preserve">Open a terminal: cd collateral-api &amp;&amp; npm run dev</w:t>
      </w:r>
    </w:p>
    <w:p>
      <w:pPr>
        <w:pStyle w:val="ListParagraph"/>
        <w:numPr>
          <w:ilvl w:val="0"/>
          <w:numId w:val="2"/>
        </w:numPr>
        <w:spacing w:after="40" w:before="40"/>
      </w:pPr>
      <w:r>
        <w:rPr>
          <w:rFonts w:ascii="Arial" w:cs="Arial" w:eastAsia="Arial" w:hAnsi="Arial"/>
          <w:color w:val="333333"/>
          <w:sz w:val="22"/>
          <w:szCs w:val="22"/>
        </w:rPr>
        <w:t xml:space="preserve">Refresh the browser.</w:t>
      </w:r>
    </w:p>
    <w:p>
      <w:pPr>
        <w:spacing w:after="0" w:before="60"/>
      </w:pPr>
    </w:p>
    <w:p>
      <w:pPr>
        <w:spacing w:after="60" w:before="60"/>
      </w:pPr>
      <w:r>
        <w:rPr>
          <w:rFonts w:ascii="Arial" w:cs="Arial" w:eastAsia="Arial" w:hAnsi="Arial"/>
          <w:b/>
          <w:bCs/>
          <w:i w:val="false"/>
          <w:iCs w:val="false"/>
          <w:color w:val="333333"/>
          <w:sz w:val="22"/>
          <w:szCs w:val="22"/>
        </w:rPr>
        <w:t xml:space="preserve">If data looks wrong:</w:t>
      </w:r>
    </w:p>
    <w:p>
      <w:pPr>
        <w:pStyle w:val="ListParagraph"/>
        <w:numPr>
          <w:ilvl w:val="0"/>
          <w:numId w:val="2"/>
        </w:numPr>
        <w:spacing w:after="40" w:before="40"/>
      </w:pPr>
      <w:r>
        <w:rPr>
          <w:rFonts w:ascii="Arial" w:cs="Arial" w:eastAsia="Arial" w:hAnsi="Arial"/>
          <w:color w:val="333333"/>
          <w:sz w:val="22"/>
          <w:szCs w:val="22"/>
        </w:rPr>
        <w:t xml:space="preserve">Click Reset Demo in the top-right corner.</w:t>
      </w:r>
    </w:p>
    <w:p>
      <w:pPr>
        <w:pStyle w:val="ListParagraph"/>
        <w:numPr>
          <w:ilvl w:val="0"/>
          <w:numId w:val="2"/>
        </w:numPr>
        <w:spacing w:after="40" w:before="40"/>
      </w:pPr>
      <w:r>
        <w:rPr>
          <w:rFonts w:ascii="Arial" w:cs="Arial" w:eastAsia="Arial" w:hAnsi="Arial"/>
          <w:color w:val="333333"/>
          <w:sz w:val="22"/>
          <w:szCs w:val="22"/>
        </w:rPr>
        <w:t xml:space="preserve">Wait for the spinner to complete, then refresh.</w:t>
      </w:r>
    </w:p>
    <w:p>
      <w:pPr>
        <w:spacing w:after="0" w:before="60"/>
      </w:pPr>
    </w:p>
    <w:p>
      <w:pPr>
        <w:spacing w:after="60" w:before="60"/>
      </w:pPr>
      <w:r>
        <w:rPr>
          <w:rFonts w:ascii="Arial" w:cs="Arial" w:eastAsia="Arial" w:hAnsi="Arial"/>
          <w:b/>
          <w:bCs/>
          <w:i w:val="false"/>
          <w:iCs w:val="false"/>
          <w:color w:val="333333"/>
          <w:sz w:val="22"/>
          <w:szCs w:val="22"/>
        </w:rPr>
        <w:t xml:space="preserve">If the build is not running:</w:t>
      </w:r>
    </w:p>
    <w:p>
      <w:pPr>
        <w:pStyle w:val="ListParagraph"/>
        <w:numPr>
          <w:ilvl w:val="0"/>
          <w:numId w:val="2"/>
        </w:numPr>
        <w:spacing w:after="40" w:before="40"/>
      </w:pPr>
      <w:r>
        <w:rPr>
          <w:rFonts w:ascii="Arial" w:cs="Arial" w:eastAsia="Arial" w:hAnsi="Arial"/>
          <w:color w:val="333333"/>
          <w:sz w:val="22"/>
          <w:szCs w:val="22"/>
        </w:rPr>
        <w:t xml:space="preserve">cd collateral-app &amp;&amp; npm run dev</w:t>
      </w:r>
    </w:p>
    <w:p>
      <w:pPr>
        <w:pStyle w:val="ListParagraph"/>
        <w:numPr>
          <w:ilvl w:val="0"/>
          <w:numId w:val="2"/>
        </w:numPr>
        <w:spacing w:after="40" w:before="40"/>
      </w:pPr>
      <w:r>
        <w:rPr>
          <w:rFonts w:ascii="Arial" w:cs="Arial" w:eastAsia="Arial" w:hAnsi="Arial"/>
          <w:color w:val="333333"/>
          <w:sz w:val="22"/>
          <w:szCs w:val="22"/>
        </w:rPr>
        <w:t xml:space="preserve">Open http://localhost:5173 in the browser.</w:t>
      </w:r>
    </w:p>
    <w:p>
      <w:pPr>
        <w:spacing w:after="0" w:before="120"/>
      </w:pPr>
    </w:p>
    <w:p>
      <w:pPr>
        <w:spacing w:after="80" w:before="200"/>
      </w:pPr>
      <w:r>
        <w:rPr>
          <w:rFonts w:ascii="Arial" w:cs="Arial" w:eastAsia="Arial" w:hAnsi="Arial"/>
          <w:b/>
          <w:bCs/>
          <w:color w:val="1A1A2E"/>
          <w:sz w:val="24"/>
          <w:szCs w:val="24"/>
        </w:rPr>
        <w:t xml:space="preserve">Role Credentials Quick Reference</w:t>
      </w:r>
    </w:p>
    <w:p>
      <w:pPr>
        <w:spacing w:after="60" w:before="60"/>
      </w:pPr>
      <w:r>
        <w:rPr>
          <w:rFonts w:ascii="Arial" w:cs="Arial" w:eastAsia="Arial" w:hAnsi="Arial"/>
          <w:b w:val="false"/>
          <w:bCs w:val="false"/>
          <w:i w:val="false"/>
          <w:iCs w:val="false"/>
          <w:color w:val="333333"/>
          <w:sz w:val="22"/>
          <w:szCs w:val="22"/>
        </w:rPr>
        <w:t xml:space="preserve">treasury@banca-demo.ro / demo1234 — Treasury Manager</w:t>
      </w:r>
    </w:p>
    <w:p>
      <w:pPr>
        <w:spacing w:after="60" w:before="60"/>
      </w:pPr>
      <w:r>
        <w:rPr>
          <w:rFonts w:ascii="Arial" w:cs="Arial" w:eastAsia="Arial" w:hAnsi="Arial"/>
          <w:b w:val="false"/>
          <w:bCs w:val="false"/>
          <w:i w:val="false"/>
          <w:iCs w:val="false"/>
          <w:color w:val="333333"/>
          <w:sz w:val="22"/>
          <w:szCs w:val="22"/>
        </w:rPr>
        <w:t xml:space="preserve">collateral@banca-demo.ro / demo1234 — Collateral Manager</w:t>
      </w:r>
    </w:p>
    <w:p>
      <w:pPr>
        <w:spacing w:after="60" w:before="60"/>
      </w:pPr>
      <w:r>
        <w:rPr>
          <w:rFonts w:ascii="Arial" w:cs="Arial" w:eastAsia="Arial" w:hAnsi="Arial"/>
          <w:b w:val="false"/>
          <w:bCs w:val="false"/>
          <w:i w:val="false"/>
          <w:iCs w:val="false"/>
          <w:color w:val="333333"/>
          <w:sz w:val="22"/>
          <w:szCs w:val="22"/>
        </w:rPr>
        <w:t xml:space="preserve">operations@banca-demo.ro / demo1234 — Operations Analyst</w:t>
      </w:r>
    </w:p>
    <w:p>
      <w:pPr>
        <w:spacing w:after="60" w:before="60"/>
      </w:pPr>
      <w:r>
        <w:rPr>
          <w:rFonts w:ascii="Arial" w:cs="Arial" w:eastAsia="Arial" w:hAnsi="Arial"/>
          <w:b w:val="false"/>
          <w:bCs w:val="false"/>
          <w:i w:val="false"/>
          <w:iCs w:val="false"/>
          <w:color w:val="333333"/>
          <w:sz w:val="22"/>
          <w:szCs w:val="22"/>
        </w:rPr>
        <w:t xml:space="preserve">risk@banca-demo.ro / demo1234 — Risk Reviewer</w:t>
      </w:r>
    </w:p>
    <w:p>
      <w:pPr>
        <w:spacing w:after="0" w:before="200"/>
      </w:pPr>
    </w:p>
    <w:p>
      <w:pPr>
        <w:spacing w:after="0" w:before="0"/>
        <w:jc w:val="center"/>
      </w:pPr>
      <w:r>
        <w:rPr>
          <w:rFonts w:ascii="Arial" w:cs="Arial" w:eastAsia="Arial" w:hAnsi="Arial"/>
          <w:i/>
          <w:iCs/>
          <w:color w:val="AAAAAA"/>
          <w:sz w:val="18"/>
          <w:szCs w:val="18"/>
        </w:rPr>
        <w:t xml:space="preserve">Collateral Orchestrator  |  Internal Demo Use Only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026"/>
      </w:tabs>
    </w:pPr>
    <w:r>
      <w:rPr>
        <w:rFonts w:ascii="Arial" w:cs="Arial" w:eastAsia="Arial" w:hAnsi="Arial"/>
        <w:color w:val="AAAAAA"/>
        <w:sz w:val="16"/>
        <w:szCs w:val="16"/>
      </w:rPr>
      <w:t xml:space="preserve">Banca Demo Romania  —  Pilot Environment</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rFonts w:ascii="Arial" w:cs="Arial" w:eastAsia="Arial" w:hAnsi="Arial"/>
        <w:color w:val="888888"/>
        <w:sz w:val="18"/>
        <w:szCs w:val="18"/>
      </w:rPr>
      <w:t xml:space="preserve">Collateral Orchestrator  |  Demo Script</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2026-04-02T20:32:31.757Z</dcterms:created>
  <dcterms:modified xsi:type="dcterms:W3CDTF">2026-04-02T20:32:31.767Z</dcterms:modified>
</cp:coreProperties>
</file>

<file path=docProps/custom.xml><?xml version="1.0" encoding="utf-8"?>
<Properties xmlns="http://schemas.openxmlformats.org/officeDocument/2006/custom-properties" xmlns:vt="http://schemas.openxmlformats.org/officeDocument/2006/docPropsVTypes"/>
</file>