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0F172A"/>
          <w:sz w:val="72"/>
        </w:rPr>
        <w:t>Collateral Orchestrator</w:t>
      </w:r>
    </w:p>
    <w:p>
      <w:pPr>
        <w:jc w:val="center"/>
      </w:pPr>
      <w:r>
        <w:rPr>
          <w:rFonts w:ascii="Arial" w:hAnsi="Arial"/>
          <w:color w:val="5A5A5A"/>
          <w:sz w:val="32"/>
        </w:rPr>
        <w:t>Romania-First Platform for Sovereign Collateral &amp; Repo Workflows</w:t>
      </w:r>
    </w:p>
    <w:p/>
    <w:p>
      <w:pPr>
        <w:spacing w:before="80" w:after="80"/>
        <w:pBdr>
          <w:bottom w:val="single" w:sz="6" w:space="1" w:color="CCCCCC"/>
        </w:pBdr>
      </w:pPr>
    </w:p>
    <w:p/>
    <w:p>
      <w:pPr>
        <w:jc w:val="center"/>
      </w:pPr>
      <w:r>
        <w:rPr>
          <w:rFonts w:ascii="Arial" w:hAnsi="Arial"/>
          <w:color w:val="666666"/>
          <w:sz w:val="24"/>
        </w:rPr>
        <w:t>Comprehensive Review: Business Plan &amp; Product Prototype</w:t>
        <w:br/>
        <w:t>April 2026</w:t>
      </w:r>
    </w:p>
    <w:p/>
    <w:p>
      <w:pPr>
        <w:jc w:val="center"/>
      </w:pPr>
      <w:r>
        <w:rPr>
          <w:b/>
          <w:color w:val="CC3333"/>
          <w:sz w:val="22"/>
        </w:rPr>
        <w:t>CONFIDENTIAL</w:t>
      </w:r>
    </w:p>
    <w:p>
      <w:r>
        <w:br w:type="page"/>
      </w:r>
    </w:p>
    <w:p>
      <w:pPr>
        <w:pStyle w:val="Heading1"/>
      </w:pPr>
      <w:r>
        <w:t>Contents</w:t>
      </w:r>
    </w:p>
    <w:p>
      <w:pPr>
        <w:spacing w:after="40"/>
      </w:pPr>
      <w:r>
        <w:rPr>
          <w:rFonts w:ascii="Arial" w:hAnsi="Arial"/>
          <w:b/>
          <w:color w:val="1E3A5F"/>
          <w:sz w:val="22"/>
        </w:rPr>
        <w:t>Part I: Business Plan Review</w:t>
      </w:r>
    </w:p>
    <w:p>
      <w:pPr>
        <w:spacing w:after="40"/>
      </w:pPr>
      <w:r>
        <w:rPr>
          <w:rFonts w:ascii="Arial" w:hAnsi="Arial"/>
          <w:color w:val="555555"/>
          <w:sz w:val="22"/>
        </w:rPr>
        <w:t xml:space="preserve">  1. Executive Assessment</w:t>
      </w:r>
    </w:p>
    <w:p>
      <w:pPr>
        <w:spacing w:after="40"/>
      </w:pPr>
      <w:r>
        <w:rPr>
          <w:rFonts w:ascii="Arial" w:hAnsi="Arial"/>
          <w:color w:val="555555"/>
          <w:sz w:val="22"/>
        </w:rPr>
        <w:t xml:space="preserve">  2. Strategic Strengths</w:t>
      </w:r>
    </w:p>
    <w:p>
      <w:pPr>
        <w:spacing w:after="40"/>
      </w:pPr>
      <w:r>
        <w:rPr>
          <w:rFonts w:ascii="Arial" w:hAnsi="Arial"/>
          <w:color w:val="555555"/>
          <w:sz w:val="22"/>
        </w:rPr>
        <w:t xml:space="preserve">  3. Critical Gaps &amp; Risks</w:t>
      </w:r>
    </w:p>
    <w:p>
      <w:pPr>
        <w:spacing w:after="40"/>
      </w:pPr>
      <w:r>
        <w:rPr>
          <w:rFonts w:ascii="Arial" w:hAnsi="Arial"/>
          <w:color w:val="555555"/>
          <w:sz w:val="22"/>
        </w:rPr>
        <w:t xml:space="preserve">  4. Market Sizing &amp; Revenue Model</w:t>
      </w:r>
    </w:p>
    <w:p>
      <w:pPr>
        <w:spacing w:after="40"/>
      </w:pPr>
      <w:r>
        <w:rPr>
          <w:rFonts w:ascii="Arial" w:hAnsi="Arial"/>
          <w:color w:val="555555"/>
          <w:sz w:val="22"/>
        </w:rPr>
        <w:t xml:space="preserve">  5. Go-to-Market Improvements</w:t>
      </w:r>
    </w:p>
    <w:p>
      <w:pPr>
        <w:spacing w:after="40"/>
      </w:pPr>
      <w:r>
        <w:rPr>
          <w:rFonts w:ascii="Arial" w:hAnsi="Arial"/>
          <w:color w:val="555555"/>
          <w:sz w:val="22"/>
        </w:rPr>
        <w:t xml:space="preserve">  6. Legal &amp; Regulatory Depth</w:t>
      </w:r>
    </w:p>
    <w:p>
      <w:pPr>
        <w:spacing w:after="40"/>
      </w:pPr>
      <w:r>
        <w:rPr>
          <w:rFonts w:ascii="Arial" w:hAnsi="Arial"/>
          <w:color w:val="555555"/>
          <w:sz w:val="22"/>
        </w:rPr>
        <w:t xml:space="preserve">  7. Competitive Positioning</w:t>
      </w:r>
    </w:p>
    <w:p>
      <w:pPr>
        <w:spacing w:after="40"/>
      </w:pPr>
      <w:r>
        <w:rPr>
          <w:rFonts w:ascii="Arial" w:hAnsi="Arial"/>
          <w:b/>
          <w:color w:val="1E3A5F"/>
          <w:sz w:val="22"/>
        </w:rPr>
        <w:t>Part II: Prototype Review</w:t>
      </w:r>
    </w:p>
    <w:p>
      <w:pPr>
        <w:spacing w:after="40"/>
      </w:pPr>
      <w:r>
        <w:rPr>
          <w:rFonts w:ascii="Arial" w:hAnsi="Arial"/>
          <w:color w:val="555555"/>
          <w:sz w:val="22"/>
        </w:rPr>
        <w:t xml:space="preserve">  8. Architecture &amp; Code Quality</w:t>
      </w:r>
    </w:p>
    <w:p>
      <w:pPr>
        <w:spacing w:after="40"/>
      </w:pPr>
      <w:r>
        <w:rPr>
          <w:rFonts w:ascii="Arial" w:hAnsi="Arial"/>
          <w:color w:val="555555"/>
          <w:sz w:val="22"/>
        </w:rPr>
        <w:t xml:space="preserve">  9. UX &amp; Interaction Design</w:t>
      </w:r>
    </w:p>
    <w:p>
      <w:pPr>
        <w:spacing w:after="40"/>
      </w:pPr>
      <w:r>
        <w:rPr>
          <w:rFonts w:ascii="Arial" w:hAnsi="Arial"/>
          <w:color w:val="555555"/>
          <w:sz w:val="22"/>
        </w:rPr>
        <w:t xml:space="preserve">  10. Functional Completeness</w:t>
      </w:r>
    </w:p>
    <w:p>
      <w:pPr>
        <w:spacing w:after="40"/>
      </w:pPr>
      <w:r>
        <w:rPr>
          <w:rFonts w:ascii="Arial" w:hAnsi="Arial"/>
          <w:color w:val="555555"/>
          <w:sz w:val="22"/>
        </w:rPr>
        <w:t xml:space="preserve">  11. Missing Features for Demo Readiness</w:t>
      </w:r>
    </w:p>
    <w:p>
      <w:pPr>
        <w:spacing w:after="40"/>
      </w:pPr>
      <w:r>
        <w:rPr>
          <w:rFonts w:ascii="Arial" w:hAnsi="Arial"/>
          <w:b/>
          <w:color w:val="1E3A5F"/>
          <w:sz w:val="22"/>
        </w:rPr>
        <w:t>Part III: Integrated Recommendations</w:t>
      </w:r>
    </w:p>
    <w:p>
      <w:pPr>
        <w:spacing w:after="40"/>
      </w:pPr>
      <w:r>
        <w:rPr>
          <w:rFonts w:ascii="Arial" w:hAnsi="Arial"/>
          <w:color w:val="555555"/>
          <w:sz w:val="22"/>
        </w:rPr>
        <w:t xml:space="preserve">  12. Priority Action Items</w:t>
      </w:r>
    </w:p>
    <w:p>
      <w:pPr>
        <w:spacing w:after="40"/>
      </w:pPr>
      <w:r>
        <w:rPr>
          <w:rFonts w:ascii="Arial" w:hAnsi="Arial"/>
          <w:color w:val="555555"/>
          <w:sz w:val="22"/>
        </w:rPr>
        <w:t xml:space="preserve">  13. 90-Day Execution Roadmap</w:t>
      </w:r>
    </w:p>
    <w:p>
      <w:r>
        <w:br w:type="page"/>
      </w:r>
    </w:p>
    <w:p>
      <w:pPr>
        <w:pStyle w:val="Heading1"/>
      </w:pPr>
      <w:r>
        <w:t>Part I: Business Plan Review</w:t>
      </w:r>
    </w:p>
    <w:p>
      <w:pPr>
        <w:spacing w:before="80" w:after="80"/>
        <w:pBdr>
          <w:bottom w:val="single" w:sz="6" w:space="1" w:color="CCCCCC"/>
        </w:pBdr>
      </w:pPr>
    </w:p>
    <w:p>
      <w:pPr>
        <w:pStyle w:val="Heading2"/>
      </w:pPr>
      <w:r>
        <w:t>1. Executive Assessment</w:t>
      </w:r>
    </w:p>
    <w:p>
      <w:r>
        <w:t>The business plan presents a well-researched, intellectually honest case for building a collateral orchestration platform targeting Romanian banks. Its core thesis is sound: sell workflow efficiency first, build tokenisation capability in stages. The plan correctly identifies that Romania is under-digitised in post-trade infrastructure while being structurally dependent on sovereign paper, creating a genuine gap between institutional need and tooling maturity.</w:t>
      </w:r>
    </w:p>
    <w:p>
      <w:r>
        <w:t>The phased commercial strategy (control layer, then digital twin, then tokenisation adapter) is well-calibrated to both Romanian market readiness and the Eurosystem trajectory. The explicit decision not to lead with blockchain messaging is a meaningful strategic advantage in a market where institutional buyers are skeptical of crypto narratives but open to operational efficiency.</w:t>
      </w:r>
    </w:p>
    <w:p>
      <w:pPr>
        <w:spacing w:before="120" w:after="120"/>
        <w:shd w:val="clear" w:color="auto" w:fill="E8F4FD"/>
        <w:ind w:left="432" w:right="432"/>
      </w:pPr>
      <w:r>
        <w:rPr>
          <w:i/>
          <w:color w:val="1E3A5F"/>
          <w:sz w:val="21"/>
        </w:rPr>
        <w:t>Overall verdict: This is a credible B2B infrastructure plan with a defensible beachhead. However, it needs sharpening in several areas before it is investor-ready or pilot-ready. The gaps below are fixable, but they matter.</w:t>
      </w:r>
    </w:p>
    <w:p>
      <w:pPr>
        <w:pStyle w:val="Heading2"/>
      </w:pPr>
      <w:r>
        <w:t>2. Strategic Strengths</w:t>
      </w:r>
    </w:p>
    <w:p>
      <w:pPr>
        <w:spacing w:after="160"/>
      </w:pPr>
      <w:r>
        <w:rPr>
          <w:b/>
          <w:sz w:val="22"/>
        </w:rPr>
        <w:t xml:space="preserve">Honest market framing. </w:t>
      </w:r>
      <w:r>
        <w:rPr>
          <w:sz w:val="22"/>
        </w:rPr>
        <w:t>The plan does not oversell Romania as a crypto-ready market. It accurately positions it as a traditional, sovereign-paper-heavy banking system where the pain is operational, not ideological. This builds credibility with institutional buyers and sophisticated investors.</w:t>
      </w:r>
    </w:p>
    <w:p>
      <w:pPr>
        <w:spacing w:after="160"/>
      </w:pPr>
      <w:r>
        <w:rPr>
          <w:b/>
          <w:sz w:val="22"/>
        </w:rPr>
        <w:t xml:space="preserve">Phased tokenisation strategy. </w:t>
      </w:r>
      <w:r>
        <w:rPr>
          <w:sz w:val="22"/>
        </w:rPr>
        <w:t>The three-phase approach (control layer, digital twin, DLT adapter) mirrors how successful enterprise infrastructure companies have historically entered regulated markets. Selling the painkiller first and deferring the vision sale is correct.</w:t>
      </w:r>
    </w:p>
    <w:p>
      <w:pPr>
        <w:spacing w:after="160"/>
      </w:pPr>
      <w:r>
        <w:rPr>
          <w:b/>
          <w:sz w:val="22"/>
        </w:rPr>
        <w:t xml:space="preserve">Regulatory awareness. </w:t>
      </w:r>
      <w:r>
        <w:rPr>
          <w:sz w:val="22"/>
        </w:rPr>
        <w:t>The plan demonstrates genuine understanding of the DLT Pilot Regime, SFTR, MiCA perimeter issues, and the Eurosystem exploratory work (Appia, Pontes). This is not surface-level research.</w:t>
      </w:r>
    </w:p>
    <w:p>
      <w:pPr>
        <w:spacing w:after="160"/>
      </w:pPr>
      <w:r>
        <w:rPr>
          <w:b/>
          <w:sz w:val="22"/>
        </w:rPr>
        <w:t xml:space="preserve">Competitive realism. </w:t>
      </w:r>
      <w:r>
        <w:rPr>
          <w:sz w:val="22"/>
        </w:rPr>
        <w:t>Acknowledging Broadridge at $368B daily repo volume and Euroclear/Digital Asset while positioning as a local integration layer shows mature competitive thinking. The plan does not claim to compete with global incumbents head-on.</w:t>
      </w:r>
    </w:p>
    <w:p>
      <w:pPr>
        <w:spacing w:after="160"/>
      </w:pPr>
      <w:r>
        <w:rPr>
          <w:b/>
          <w:sz w:val="22"/>
        </w:rPr>
        <w:t xml:space="preserve">Design-partner GTM. </w:t>
      </w:r>
      <w:r>
        <w:rPr>
          <w:sz w:val="22"/>
        </w:rPr>
        <w:t>The 3-5 institution pilot approach is appropriate for this category. Enterprise infrastructure sales in banking require trust, not marketing funnels.</w:t>
      </w:r>
    </w:p>
    <w:p>
      <w:pPr>
        <w:pStyle w:val="Heading2"/>
      </w:pPr>
      <w:r>
        <w:t>3. Critical Gaps &amp; Risks</w:t>
      </w:r>
    </w:p>
    <w:p>
      <w:r>
        <w:t>While the plan is directionally strong, several areas need significant deepening before this is investor-grade or pilot-ready:</w:t>
      </w:r>
    </w:p>
    <w:p>
      <w:pPr>
        <w:spacing w:after="200"/>
      </w:pPr>
      <w:r>
        <w:rPr>
          <w:b/>
          <w:color w:val="CC3333"/>
          <w:sz w:val="22"/>
        </w:rPr>
        <w:t xml:space="preserve">1. No specific TAM/SAM/SOM quantification. </w:t>
      </w:r>
      <w:r>
        <w:rPr>
          <w:sz w:val="22"/>
        </w:rPr>
        <w:t>The plan describes the market qualitatively (32 banks, RON 918.9B total assets, 22% government securities exposure) but never converts this into a concrete addressable market figure. An investor will want to see: how many treasury/collateral desks exist, what is the estimated annual spend on collateral operations tooling, and what is the realistic penetration rate. Even rough estimates with stated assumptions are better than none. Recommendation: build a bottoms-up TAM model. Start with the number of banks that are primary dealers or significant sovereign bond holders (likely 8-12), estimate their current operations spend on collateral management, and derive a realistic first-market figure.</w:t>
      </w:r>
    </w:p>
    <w:p>
      <w:pPr>
        <w:spacing w:after="200"/>
      </w:pPr>
      <w:r>
        <w:rPr>
          <w:b/>
          <w:color w:val="CC3333"/>
          <w:sz w:val="22"/>
        </w:rPr>
        <w:t xml:space="preserve">2. Revenue model lacks pricing anchors. </w:t>
      </w:r>
      <w:r>
        <w:rPr>
          <w:sz w:val="22"/>
        </w:rPr>
        <w:t>The plan explicitly avoids providing pricing assumptions, noting it would be misleading without customer conversations. This is intellectually honest but commercially incomplete. Even a planning assumption range (e.g., pilot fees of EUR 50-150K, annual subscriptions of EUR 100-300K) would make the financial plan more useful. Recommendation: benchmark against comparable enterprise infrastructure pricing in CEE banking (regulatory reporting tools, treasury management systems, risk platforms) and provide a range with stated assumptions.</w:t>
      </w:r>
    </w:p>
    <w:p>
      <w:pPr>
        <w:spacing w:after="200"/>
      </w:pPr>
      <w:r>
        <w:rPr>
          <w:b/>
          <w:color w:val="CC3333"/>
          <w:sz w:val="22"/>
        </w:rPr>
        <w:t xml:space="preserve">3. Customer discovery evidence is absent. </w:t>
      </w:r>
      <w:r>
        <w:rPr>
          <w:sz w:val="22"/>
        </w:rPr>
        <w:t>The plan reads as desk research rather than market-validated insight. There is no mention of conversations with Romanian bank treasury desks, custodians, or operations teams. Has anyone confirmed that the pain points described are actually prioritised by budget holders? Recommendation: before finalising the plan, conduct 8-12 structured interviews with treasury managers, heads of collateral operations, and CIO/CTO offices at target banks. Document the findings as a customer discovery appendix.</w:t>
      </w:r>
    </w:p>
    <w:p>
      <w:pPr>
        <w:spacing w:after="200"/>
      </w:pPr>
      <w:r>
        <w:rPr>
          <w:b/>
          <w:color w:val="CC3333"/>
          <w:sz w:val="22"/>
        </w:rPr>
        <w:t xml:space="preserve">4. SaFIR integration complexity is underexplored. </w:t>
      </w:r>
      <w:r>
        <w:rPr>
          <w:sz w:val="22"/>
        </w:rPr>
        <w:t>The plan correctly identifies SaFIR as the central government securities infrastructure but does not address integration complexity. Is there an API? What are the connectivity options for third-party software? Are there regulatory or contractual barriers to accessing SaFIR data flows? This is a critical path dependency. Recommendation: add a dedicated section on integration architecture and SaFIR connectivity, including whether the initial product works alongside SaFIR (via bank-side data feeds) or requires direct infrastructure integration.</w:t>
      </w:r>
    </w:p>
    <w:p>
      <w:pPr>
        <w:spacing w:after="200"/>
      </w:pPr>
      <w:r>
        <w:rPr>
          <w:b/>
          <w:color w:val="CC3333"/>
          <w:sz w:val="22"/>
        </w:rPr>
        <w:t xml:space="preserve">5. Team section is too thin. </w:t>
      </w:r>
      <w:r>
        <w:rPr>
          <w:sz w:val="22"/>
        </w:rPr>
        <w:t>The plan mentions a founding setup of CEO/product, backend engineer, and market-structure/legal lead, plus external counsel and a repo adviser. For an investor, this needs names, track records, and domain credibility. In institutional infrastructure, the team is the product in the first 18 months. Recommendation: if the founding team is not yet fully assembled, at least specify the profile requirements in detail and describe the recruitment strategy.</w:t>
      </w:r>
    </w:p>
    <w:p>
      <w:pPr>
        <w:spacing w:after="200"/>
      </w:pPr>
      <w:r>
        <w:rPr>
          <w:b/>
          <w:color w:val="CC3333"/>
          <w:sz w:val="22"/>
        </w:rPr>
        <w:t xml:space="preserve">6. No unit economics or cash burn modelling. </w:t>
      </w:r>
      <w:r>
        <w:rPr>
          <w:sz w:val="22"/>
        </w:rPr>
        <w:t>The plan describes revenue streams qualitatively but provides no projection of monthly burn, runway requirements, or break-even timing. Even a simple 24-month cash flow model with stated assumptions would significantly strengthen the financial section. Recommendation: build a scenario-based model (base/upside/downside) showing monthly cash position, cumulative burn, and the funding required to reach each milestone.</w:t>
      </w:r>
    </w:p>
    <w:p>
      <w:pPr>
        <w:spacing w:after="200"/>
      </w:pPr>
      <w:r>
        <w:rPr>
          <w:b/>
          <w:color w:val="CC3333"/>
          <w:sz w:val="22"/>
        </w:rPr>
        <w:t xml:space="preserve">7. Regional expansion path is vague. </w:t>
      </w:r>
      <w:r>
        <w:rPr>
          <w:sz w:val="22"/>
        </w:rPr>
        <w:t>The plan mentions that Romania alone may not support venture-scale outcomes and notes potential CEE expansion, but provides no specifics. Which markets would be next? Bulgaria, Hungary, Poland? What makes them similar or different? Recommendation: add a one-page expansion strategy identifying 2-3 target markets with brief justification for each.</w:t>
      </w:r>
    </w:p>
    <w:p>
      <w:pPr>
        <w:pStyle w:val="Heading2"/>
      </w:pPr>
      <w:r>
        <w:t>4. Market Sizing &amp; Revenue Model Recommendations</w:t>
      </w:r>
    </w:p>
    <w:p>
      <w:r>
        <w:t>To move from a credible thesis to an investable plan, the financial section needs a structured framework. Below is a suggested approach for building the TAM model and pricing assumptions:</w:t>
      </w:r>
    </w:p>
    <w:tbl>
      <w:tblPr>
        <w:tblStyle w:val="TableGrid"/>
        <w:tblW w:type="auto" w:w="0"/>
        <w:jc w:val="center"/>
        <w:tblLook w:firstColumn="1" w:firstRow="1" w:lastColumn="0" w:lastRow="0" w:noHBand="0" w:noVBand="1" w:val="04A0"/>
      </w:tblPr>
      <w:tblGrid>
        <w:gridCol w:w="2928"/>
        <w:gridCol w:w="2928"/>
        <w:gridCol w:w="2928"/>
      </w:tblGrid>
      <w:tr>
        <w:tc>
          <w:tcPr>
            <w:tcW w:type="dxa" w:w="1440"/>
            <w:shd w:val="clear" w:color="auto" w:fill="1E3A5F"/>
          </w:tcPr>
          <w:p>
            <w:r/>
            <w:r>
              <w:rPr>
                <w:rFonts w:ascii="Arial" w:hAnsi="Arial"/>
                <w:b/>
                <w:color w:val="FFFFFF"/>
                <w:sz w:val="20"/>
              </w:rPr>
              <w:t>Layer</w:t>
            </w:r>
          </w:p>
        </w:tc>
        <w:tc>
          <w:tcPr>
            <w:tcW w:type="dxa" w:w="2880"/>
            <w:shd w:val="clear" w:color="auto" w:fill="1E3A5F"/>
          </w:tcPr>
          <w:p>
            <w:r/>
            <w:r>
              <w:rPr>
                <w:rFonts w:ascii="Arial" w:hAnsi="Arial"/>
                <w:b/>
                <w:color w:val="FFFFFF"/>
                <w:sz w:val="20"/>
              </w:rPr>
              <w:t>Metric</w:t>
            </w:r>
          </w:p>
        </w:tc>
        <w:tc>
          <w:tcPr>
            <w:tcW w:type="dxa" w:w="4464"/>
            <w:shd w:val="clear" w:color="auto" w:fill="1E3A5F"/>
          </w:tcPr>
          <w:p>
            <w:r/>
            <w:r>
              <w:rPr>
                <w:rFonts w:ascii="Arial" w:hAnsi="Arial"/>
                <w:b/>
                <w:color w:val="FFFFFF"/>
                <w:sz w:val="20"/>
              </w:rPr>
              <w:t>Suggested Approach</w:t>
            </w:r>
          </w:p>
        </w:tc>
      </w:tr>
      <w:tr>
        <w:tc>
          <w:tcPr>
            <w:tcW w:type="dxa" w:w="1440"/>
            <w:shd w:val="clear" w:color="auto" w:fill="F5F7FA"/>
          </w:tcPr>
          <w:p>
            <w:r/>
            <w:r>
              <w:rPr>
                <w:rFonts w:ascii="Arial" w:hAnsi="Arial"/>
                <w:sz w:val="20"/>
              </w:rPr>
              <w:t>TAM</w:t>
            </w:r>
          </w:p>
        </w:tc>
        <w:tc>
          <w:tcPr>
            <w:tcW w:type="dxa" w:w="2880"/>
            <w:shd w:val="clear" w:color="auto" w:fill="F5F7FA"/>
          </w:tcPr>
          <w:p>
            <w:r/>
            <w:r>
              <w:rPr>
                <w:rFonts w:ascii="Arial" w:hAnsi="Arial"/>
                <w:sz w:val="20"/>
              </w:rPr>
              <w:t>Total addressable market for collateral/repo tooling in Romania</w:t>
            </w:r>
          </w:p>
        </w:tc>
        <w:tc>
          <w:tcPr>
            <w:tcW w:type="dxa" w:w="4464"/>
            <w:shd w:val="clear" w:color="auto" w:fill="F5F7FA"/>
          </w:tcPr>
          <w:p>
            <w:r/>
            <w:r>
              <w:rPr>
                <w:rFonts w:ascii="Arial" w:hAnsi="Arial"/>
                <w:sz w:val="20"/>
              </w:rPr>
              <w:t>Start with the 8-12 banks that are primary dealers or hold &gt;5% of total government securities. Estimate annual operations cost per desk (treasury, collateral, ops). Apply a software-displacement ratio.</w:t>
            </w:r>
          </w:p>
        </w:tc>
      </w:tr>
      <w:tr>
        <w:tc>
          <w:tcPr>
            <w:tcW w:type="dxa" w:w="1440"/>
          </w:tcPr>
          <w:p>
            <w:r/>
            <w:r>
              <w:rPr>
                <w:rFonts w:ascii="Arial" w:hAnsi="Arial"/>
                <w:sz w:val="20"/>
              </w:rPr>
              <w:t>SAM</w:t>
            </w:r>
          </w:p>
        </w:tc>
        <w:tc>
          <w:tcPr>
            <w:tcW w:type="dxa" w:w="2880"/>
          </w:tcPr>
          <w:p>
            <w:r/>
            <w:r>
              <w:rPr>
                <w:rFonts w:ascii="Arial" w:hAnsi="Arial"/>
                <w:sz w:val="20"/>
              </w:rPr>
              <w:t>Serviceable addressable market</w:t>
            </w:r>
          </w:p>
        </w:tc>
        <w:tc>
          <w:tcPr>
            <w:tcW w:type="dxa" w:w="4464"/>
          </w:tcPr>
          <w:p>
            <w:r/>
            <w:r>
              <w:rPr>
                <w:rFonts w:ascii="Arial" w:hAnsi="Arial"/>
                <w:sz w:val="20"/>
              </w:rPr>
              <w:t>Narrow to banks with active bilateral repo programs and sufficient IT budget for pilot adoption. Likely 5-8 institutions in year 1-3.</w:t>
            </w:r>
          </w:p>
        </w:tc>
      </w:tr>
      <w:tr>
        <w:tc>
          <w:tcPr>
            <w:tcW w:type="dxa" w:w="1440"/>
            <w:shd w:val="clear" w:color="auto" w:fill="F5F7FA"/>
          </w:tcPr>
          <w:p>
            <w:r/>
            <w:r>
              <w:rPr>
                <w:rFonts w:ascii="Arial" w:hAnsi="Arial"/>
                <w:sz w:val="20"/>
              </w:rPr>
              <w:t>SOM</w:t>
            </w:r>
          </w:p>
        </w:tc>
        <w:tc>
          <w:tcPr>
            <w:tcW w:type="dxa" w:w="2880"/>
            <w:shd w:val="clear" w:color="auto" w:fill="F5F7FA"/>
          </w:tcPr>
          <w:p>
            <w:r/>
            <w:r>
              <w:rPr>
                <w:rFonts w:ascii="Arial" w:hAnsi="Arial"/>
                <w:sz w:val="20"/>
              </w:rPr>
              <w:t>Serviceable obtainable market</w:t>
            </w:r>
          </w:p>
        </w:tc>
        <w:tc>
          <w:tcPr>
            <w:tcW w:type="dxa" w:w="4464"/>
            <w:shd w:val="clear" w:color="auto" w:fill="F5F7FA"/>
          </w:tcPr>
          <w:p>
            <w:r/>
            <w:r>
              <w:rPr>
                <w:rFonts w:ascii="Arial" w:hAnsi="Arial"/>
                <w:sz w:val="20"/>
              </w:rPr>
              <w:t>Realistic first 3-year penetration: 3-6 paying institutions at estimated ACV of EUR 100-250K, yielding EUR 300K-1.5M ARR range.</w:t>
            </w:r>
          </w:p>
        </w:tc>
      </w:tr>
      <w:tr>
        <w:tc>
          <w:tcPr>
            <w:tcW w:type="dxa" w:w="1440"/>
          </w:tcPr>
          <w:p>
            <w:r/>
            <w:r>
              <w:rPr>
                <w:rFonts w:ascii="Arial" w:hAnsi="Arial"/>
                <w:sz w:val="20"/>
              </w:rPr>
              <w:t>Expansion</w:t>
            </w:r>
          </w:p>
        </w:tc>
        <w:tc>
          <w:tcPr>
            <w:tcW w:type="dxa" w:w="2880"/>
          </w:tcPr>
          <w:p>
            <w:r/>
            <w:r>
              <w:rPr>
                <w:rFonts w:ascii="Arial" w:hAnsi="Arial"/>
                <w:sz w:val="20"/>
              </w:rPr>
              <w:t>CEE and EU addressable market</w:t>
            </w:r>
          </w:p>
        </w:tc>
        <w:tc>
          <w:tcPr>
            <w:tcW w:type="dxa" w:w="4464"/>
          </w:tcPr>
          <w:p>
            <w:r/>
            <w:r>
              <w:rPr>
                <w:rFonts w:ascii="Arial" w:hAnsi="Arial"/>
                <w:sz w:val="20"/>
              </w:rPr>
              <w:t>Identify analogous market structures in Bulgaria, Serbia, Hungary, Poland. Size the second-market opportunity to justify venture-scale fundraising.</w:t>
            </w:r>
          </w:p>
        </w:tc>
      </w:tr>
    </w:tbl>
    <w:p/>
    <w:p>
      <w:r>
        <w:t>For pricing, the plan should benchmark against comparable enterprise infrastructure products sold to CEE banks. Treasury management systems, regulatory reporting platforms, and risk tools from vendors like Murex, Calypso, or regional players typically command EUR 150K-500K annually for mid-tier institutions. A collateral orchestration platform would likely enter at the lower end of this range, with pilot fees of EUR 50-100K and annual subscriptions growing as modules expand.</w:t>
      </w:r>
    </w:p>
    <w:p>
      <w:pPr>
        <w:pStyle w:val="Heading2"/>
      </w:pPr>
      <w:r>
        <w:t>5. Go-to-Market Improvements</w:t>
      </w:r>
    </w:p>
    <w:p>
      <w:r>
        <w:t>The design-partner model is correct, but the plan should be more specific about execution:</w:t>
      </w:r>
    </w:p>
    <w:p>
      <w:pPr>
        <w:spacing w:after="160"/>
      </w:pPr>
      <w:r>
        <w:rPr>
          <w:b/>
        </w:rPr>
        <w:t xml:space="preserve">Target list specificity. </w:t>
      </w:r>
      <w:r>
        <w:t>Name the 8-12 potential design partners by institution type (e.g., top-5 Romanian bank, local subsidiary of Austrian/French/Italian banking group, Romanian custodian). Even without naming specific banks in a public document, the categories should be precise enough to demonstrate market knowledge.</w:t>
      </w:r>
    </w:p>
    <w:p>
      <w:pPr>
        <w:spacing w:after="160"/>
      </w:pPr>
      <w:r>
        <w:rPr>
          <w:b/>
        </w:rPr>
        <w:t xml:space="preserve">Entry point persona. </w:t>
      </w:r>
      <w:r>
        <w:t>The plan mentions treasury desks and collateral management teams but should specify the decision-maker and the champion. In Romanian banks, is the CTO the budget holder? The Head of Treasury? The COO? Understanding the buying committee is essential.</w:t>
      </w:r>
    </w:p>
    <w:p>
      <w:pPr>
        <w:spacing w:after="160"/>
      </w:pPr>
      <w:r>
        <w:rPr>
          <w:b/>
        </w:rPr>
        <w:t xml:space="preserve">Pilot success metrics. </w:t>
      </w:r>
      <w:r>
        <w:t>Define what a successful pilot looks like before entering customer conversations. Suggested metrics: reduction in manual steps per repo trade, time-to-allocation improvement, margin exception response time, and audit trail completeness score.</w:t>
      </w:r>
    </w:p>
    <w:p>
      <w:pPr>
        <w:spacing w:after="160"/>
      </w:pPr>
      <w:r>
        <w:rPr>
          <w:b/>
        </w:rPr>
        <w:t xml:space="preserve">Sales collateral priorities. </w:t>
      </w:r>
      <w:r>
        <w:t>The plan lists demo, compliance memo, architecture note, and ROI estimate. Add: a one-page case study template (to be filled after pilot), a technical integration overview (showing how the platform connects to existing bank systems without replacing infrastructure), and a regulatory positioning paper (clarifying what the product is and is not under current regulation).</w:t>
      </w:r>
    </w:p>
    <w:p>
      <w:pPr>
        <w:spacing w:after="160"/>
      </w:pPr>
      <w:r>
        <w:rPr>
          <w:b/>
        </w:rPr>
        <w:t xml:space="preserve">Conference and ecosystem strategy. </w:t>
      </w:r>
      <w:r>
        <w:t>Romanian financial infrastructure conferences, BNR consultation processes, and EU-level events (Sibos, EuroFinance) should be part of the awareness strategy. The founders should be visible in the Romanian financial infrastructure community from month one.</w:t>
      </w:r>
    </w:p>
    <w:p>
      <w:pPr>
        <w:pStyle w:val="Heading2"/>
      </w:pPr>
      <w:r>
        <w:t>6. Legal &amp; Regulatory Depth</w:t>
      </w:r>
    </w:p>
    <w:p>
      <w:r>
        <w:t>The plan demonstrates strong awareness of the regulatory landscape but needs to go further in two areas:</w:t>
      </w:r>
    </w:p>
    <w:p>
      <w:r>
        <w:t>First, the legal wrapper analysis. The plan correctly identifies that the key legal question is what exactly the digital position represents (evidence of control, contractual claim, record of encumbrance, or transferable instrument). This should be expanded into a formal legal workstream with deliverables: a legal opinion on the Phase 1 product (software orchestration with no token issuance), a framework for evaluating when Phase 2 digital positions might cross regulatory thresholds, and a compliance checklist for SFTR reporting obligations that the platform can help satisfy.</w:t>
      </w:r>
    </w:p>
    <w:p>
      <w:r>
        <w:t>Second, Romanian-specific regulatory engagement. The plan should address whether and how the company will engage with the BNR, ASF (Financial Supervisory Authority), and the Ministry of Finance. In a small market like Romania, regulatory relationships are not optional; they are a core strategic asset. A proactive engagement strategy (presenting the platform concept to relevant regulators early) can prevent future friction and may even create advocacy.</w:t>
      </w:r>
    </w:p>
    <w:p>
      <w:pPr>
        <w:pStyle w:val="Heading2"/>
      </w:pPr>
      <w:r>
        <w:t>7. Competitive Positioning</w:t>
      </w:r>
    </w:p>
    <w:p>
      <w:r>
        <w:t>The competitive analysis is solid but would benefit from a more structured framework. The plan should distinguish between four competitive layers:</w:t>
      </w:r>
    </w:p>
    <w:tbl>
      <w:tblPr>
        <w:tblStyle w:val="TableGrid"/>
        <w:tblW w:type="auto" w:w="0"/>
        <w:jc w:val="center"/>
        <w:tblLook w:firstColumn="1" w:firstRow="1" w:lastColumn="0" w:lastRow="0" w:noHBand="0" w:noVBand="1" w:val="04A0"/>
      </w:tblPr>
      <w:tblGrid>
        <w:gridCol w:w="2928"/>
        <w:gridCol w:w="2928"/>
        <w:gridCol w:w="2928"/>
      </w:tblGrid>
      <w:tr>
        <w:tc>
          <w:tcPr>
            <w:tcW w:type="dxa" w:w="2592"/>
            <w:shd w:val="clear" w:color="auto" w:fill="1E3A5F"/>
          </w:tcPr>
          <w:p>
            <w:r/>
            <w:r>
              <w:rPr>
                <w:rFonts w:ascii="Arial" w:hAnsi="Arial"/>
                <w:b/>
                <w:color w:val="FFFFFF"/>
                <w:sz w:val="20"/>
              </w:rPr>
              <w:t>Competitive Layer</w:t>
            </w:r>
          </w:p>
        </w:tc>
        <w:tc>
          <w:tcPr>
            <w:tcW w:type="dxa" w:w="2592"/>
            <w:shd w:val="clear" w:color="auto" w:fill="1E3A5F"/>
          </w:tcPr>
          <w:p>
            <w:r/>
            <w:r>
              <w:rPr>
                <w:rFonts w:ascii="Arial" w:hAnsi="Arial"/>
                <w:b/>
                <w:color w:val="FFFFFF"/>
                <w:sz w:val="20"/>
              </w:rPr>
              <w:t>Examples</w:t>
            </w:r>
          </w:p>
        </w:tc>
        <w:tc>
          <w:tcPr>
            <w:tcW w:type="dxa" w:w="3600"/>
            <w:shd w:val="clear" w:color="auto" w:fill="1E3A5F"/>
          </w:tcPr>
          <w:p>
            <w:r/>
            <w:r>
              <w:rPr>
                <w:rFonts w:ascii="Arial" w:hAnsi="Arial"/>
                <w:b/>
                <w:color w:val="FFFFFF"/>
                <w:sz w:val="20"/>
              </w:rPr>
              <w:t>Your Positioning</w:t>
            </w:r>
          </w:p>
        </w:tc>
      </w:tr>
      <w:tr>
        <w:tc>
          <w:tcPr>
            <w:tcW w:type="dxa" w:w="2592"/>
            <w:shd w:val="clear" w:color="auto" w:fill="F5F7FA"/>
          </w:tcPr>
          <w:p>
            <w:r/>
            <w:r>
              <w:rPr>
                <w:rFonts w:ascii="Arial" w:hAnsi="Arial"/>
                <w:sz w:val="20"/>
              </w:rPr>
              <w:t>Global post-trade incumbents</w:t>
            </w:r>
          </w:p>
        </w:tc>
        <w:tc>
          <w:tcPr>
            <w:tcW w:type="dxa" w:w="2592"/>
            <w:shd w:val="clear" w:color="auto" w:fill="F5F7FA"/>
          </w:tcPr>
          <w:p>
            <w:r/>
            <w:r>
              <w:rPr>
                <w:rFonts w:ascii="Arial" w:hAnsi="Arial"/>
                <w:sz w:val="20"/>
              </w:rPr>
              <w:t>Broadridge DLR, Euroclear/DTCC, JPMorgan Kinexys</w:t>
            </w:r>
          </w:p>
        </w:tc>
        <w:tc>
          <w:tcPr>
            <w:tcW w:type="dxa" w:w="3600"/>
            <w:shd w:val="clear" w:color="auto" w:fill="F5F7FA"/>
          </w:tcPr>
          <w:p>
            <w:r/>
            <w:r>
              <w:rPr>
                <w:rFonts w:ascii="Arial" w:hAnsi="Arial"/>
                <w:sz w:val="20"/>
              </w:rPr>
              <w:t>Not competing. You are the local integration and control layer that complements, not replaces, global infrastructure.</w:t>
            </w:r>
          </w:p>
        </w:tc>
      </w:tr>
      <w:tr>
        <w:tc>
          <w:tcPr>
            <w:tcW w:type="dxa" w:w="2592"/>
          </w:tcPr>
          <w:p>
            <w:r/>
            <w:r>
              <w:rPr>
                <w:rFonts w:ascii="Arial" w:hAnsi="Arial"/>
                <w:sz w:val="20"/>
              </w:rPr>
              <w:t>Enterprise treasury/collateral vendors</w:t>
            </w:r>
          </w:p>
        </w:tc>
        <w:tc>
          <w:tcPr>
            <w:tcW w:type="dxa" w:w="2592"/>
          </w:tcPr>
          <w:p>
            <w:r/>
            <w:r>
              <w:rPr>
                <w:rFonts w:ascii="Arial" w:hAnsi="Arial"/>
                <w:sz w:val="20"/>
              </w:rPr>
              <w:t>Murex, Calypso, FIS, Finastra</w:t>
            </w:r>
          </w:p>
        </w:tc>
        <w:tc>
          <w:tcPr>
            <w:tcW w:type="dxa" w:w="3600"/>
          </w:tcPr>
          <w:p>
            <w:r/>
            <w:r>
              <w:rPr>
                <w:rFonts w:ascii="Arial" w:hAnsi="Arial"/>
                <w:sz w:val="20"/>
              </w:rPr>
              <w:t>These are the real competitive threat. Position on speed of deployment, Romania-specific workflow fit, and tokenisation-readiness as differentiation.</w:t>
            </w:r>
          </w:p>
        </w:tc>
      </w:tr>
      <w:tr>
        <w:tc>
          <w:tcPr>
            <w:tcW w:type="dxa" w:w="2592"/>
            <w:shd w:val="clear" w:color="auto" w:fill="F5F7FA"/>
          </w:tcPr>
          <w:p>
            <w:r/>
            <w:r>
              <w:rPr>
                <w:rFonts w:ascii="Arial" w:hAnsi="Arial"/>
                <w:sz w:val="20"/>
              </w:rPr>
              <w:t>Internal bank systems</w:t>
            </w:r>
          </w:p>
        </w:tc>
        <w:tc>
          <w:tcPr>
            <w:tcW w:type="dxa" w:w="2592"/>
            <w:shd w:val="clear" w:color="auto" w:fill="F5F7FA"/>
          </w:tcPr>
          <w:p>
            <w:r/>
            <w:r>
              <w:rPr>
                <w:rFonts w:ascii="Arial" w:hAnsi="Arial"/>
                <w:sz w:val="20"/>
              </w:rPr>
              <w:t>Spreadsheets, custom tools, operations teams</w:t>
            </w:r>
          </w:p>
        </w:tc>
        <w:tc>
          <w:tcPr>
            <w:tcW w:type="dxa" w:w="3600"/>
            <w:shd w:val="clear" w:color="auto" w:fill="F5F7FA"/>
          </w:tcPr>
          <w:p>
            <w:r/>
            <w:r>
              <w:rPr>
                <w:rFonts w:ascii="Arial" w:hAnsi="Arial"/>
                <w:sz w:val="20"/>
              </w:rPr>
              <w:t>The most common incumbent. Win by demonstrating measurable time savings, error reduction, and audit improvement.</w:t>
            </w:r>
          </w:p>
        </w:tc>
      </w:tr>
      <w:tr>
        <w:tc>
          <w:tcPr>
            <w:tcW w:type="dxa" w:w="2592"/>
          </w:tcPr>
          <w:p>
            <w:r/>
            <w:r>
              <w:rPr>
                <w:rFonts w:ascii="Arial" w:hAnsi="Arial"/>
                <w:sz w:val="20"/>
              </w:rPr>
              <w:t>Emerging DLT infrastructure</w:t>
            </w:r>
          </w:p>
        </w:tc>
        <w:tc>
          <w:tcPr>
            <w:tcW w:type="dxa" w:w="2592"/>
          </w:tcPr>
          <w:p>
            <w:r/>
            <w:r>
              <w:rPr>
                <w:rFonts w:ascii="Arial" w:hAnsi="Arial"/>
                <w:sz w:val="20"/>
              </w:rPr>
              <w:t>Canton Network, Fnality, HQLAx</w:t>
            </w:r>
          </w:p>
        </w:tc>
        <w:tc>
          <w:tcPr>
            <w:tcW w:type="dxa" w:w="3600"/>
          </w:tcPr>
          <w:p>
            <w:r/>
            <w:r>
              <w:rPr>
                <w:rFonts w:ascii="Arial" w:hAnsi="Arial"/>
                <w:sz w:val="20"/>
              </w:rPr>
              <w:t>Future partners, not competitors. Your adapter architecture should be designed to integrate with these rails.</w:t>
            </w:r>
          </w:p>
        </w:tc>
      </w:tr>
    </w:tbl>
    <w:p/>
    <w:p>
      <w:r>
        <w:br w:type="page"/>
      </w:r>
    </w:p>
    <w:p>
      <w:pPr>
        <w:pStyle w:val="Heading1"/>
      </w:pPr>
      <w:r>
        <w:t>Part II: Prototype Review</w:t>
      </w:r>
    </w:p>
    <w:p>
      <w:pPr>
        <w:spacing w:before="80" w:after="80"/>
        <w:pBdr>
          <w:bottom w:val="single" w:sz="6" w:space="1" w:color="CCCCCC"/>
        </w:pBdr>
      </w:pPr>
    </w:p>
    <w:p>
      <w:pPr>
        <w:pStyle w:val="Heading2"/>
      </w:pPr>
      <w:r>
        <w:t>8. Architecture &amp; Code Quality</w:t>
      </w:r>
    </w:p>
    <w:p>
      <w:r>
        <w:t>The React prototype is a substantial piece of work that demonstrates genuine product thinking. It covers six distinct views (Dashboard, Collateral Inventory, Repo Transactions, Margin Monitor, Settlement/Operations, Audit Trail) plus a repo detail view, all with interactive state management. Here is the technical assessment:</w:t>
      </w:r>
    </w:p>
    <w:p>
      <w:pPr>
        <w:pStyle w:val="Heading3"/>
      </w:pPr>
      <w:r>
        <w:t>Strengths</w:t>
      </w:r>
    </w:p>
    <w:p>
      <w:pPr>
        <w:spacing w:after="120"/>
      </w:pPr>
      <w:r>
        <w:rPr>
          <w:b/>
        </w:rPr>
        <w:t xml:space="preserve">Coherent state model. </w:t>
      </w:r>
      <w:r>
        <w:t>The prototype maintains a unified state for assets, repos, notifications, and audit entries. State mutations (create repo, top-up, close) correctly cascade across all related entities, which demonstrates understanding of the domain model.</w:t>
      </w:r>
    </w:p>
    <w:p>
      <w:pPr>
        <w:spacing w:after="120"/>
      </w:pPr>
      <w:r>
        <w:rPr>
          <w:b/>
        </w:rPr>
        <w:t xml:space="preserve">Realistic seed data. </w:t>
      </w:r>
      <w:r>
        <w:t>The ISINs, counterparty names, custody references, and workflow states are domain-appropriate. This is not generic placeholder data; it reflects actual Romanian market structure (SaFIR/BNR custody, RON currency, government bond types).</w:t>
      </w:r>
    </w:p>
    <w:p>
      <w:pPr>
        <w:spacing w:after="120"/>
      </w:pPr>
      <w:r>
        <w:rPr>
          <w:b/>
        </w:rPr>
        <w:t xml:space="preserve">Multi-step repo creation workflow. </w:t>
      </w:r>
      <w:r>
        <w:t>The four-step repo creation flow (trade terms, eligibility check, basket proposal, approval) mirrors a real institutional workflow. The auto-basket-suggestion logic using haircut-adjusted values is a nice touch.</w:t>
      </w:r>
    </w:p>
    <w:p>
      <w:pPr>
        <w:spacing w:after="120"/>
      </w:pPr>
      <w:r>
        <w:rPr>
          <w:b/>
        </w:rPr>
        <w:t xml:space="preserve">Audit trail integration. </w:t>
      </w:r>
      <w:r>
        <w:t>Every state mutation generates an audit entry with timestamp, user, role, action, previous state, and new state. This demonstrates awareness that auditability is a core selling point.</w:t>
      </w:r>
    </w:p>
    <w:p>
      <w:pPr>
        <w:pStyle w:val="Heading3"/>
      </w:pPr>
      <w:r>
        <w:t>Issues &amp; Improvements</w:t>
      </w:r>
    </w:p>
    <w:p>
      <w:pPr>
        <w:spacing w:after="160"/>
      </w:pPr>
      <w:r>
        <w:rPr>
          <w:b/>
          <w:color w:val="CC6600"/>
        </w:rPr>
        <w:t xml:space="preserve">1. Single monolithic file (~1000+ lines). </w:t>
      </w:r>
      <w:r>
        <w:t>The entire application is in one file. For a demo this is acceptable, but for any further development it should be decomposed into: a data layer (seed data, state logic), individual page components, shared UI components (KpiCard, StatusBadge, InfoField), and a layout shell. This also makes the code reviewable by potential technical co-founders or investors.</w:t>
      </w:r>
    </w:p>
    <w:p>
      <w:pPr>
        <w:spacing w:after="160"/>
      </w:pPr>
      <w:r>
        <w:rPr>
          <w:b/>
          <w:color w:val="CC6600"/>
        </w:rPr>
        <w:t xml:space="preserve">2. Framer Motion dependency is unnecessary. </w:t>
      </w:r>
      <w:r>
        <w:t>The only use of framer-motion is a single whileHover animation on repo timeline cards. This adds a significant bundle dependency for minimal visual benefit. Replace with CSS hover transitions or remove.</w:t>
      </w:r>
    </w:p>
    <w:p>
      <w:pPr>
        <w:spacing w:after="160"/>
      </w:pPr>
      <w:r>
        <w:rPr>
          <w:b/>
          <w:color w:val="CC6600"/>
        </w:rPr>
        <w:t xml:space="preserve">3. No TypeScript. </w:t>
      </w:r>
      <w:r>
        <w:t>For a financial infrastructure product, type safety is not optional. The prototype should use TypeScript interfaces for Asset, Repo, Notification, and AuditEntry to demonstrate engineering discipline and prevent runtime errors.</w:t>
      </w:r>
    </w:p>
    <w:p>
      <w:pPr>
        <w:spacing w:after="160"/>
      </w:pPr>
      <w:r>
        <w:rPr>
          <w:b/>
          <w:color w:val="CC6600"/>
        </w:rPr>
        <w:t xml:space="preserve">4. Currency mixing without explicit handling. </w:t>
      </w:r>
      <w:r>
        <w:t>The seed data includes both RON and EUR assets. The margin calculations and collateral basket builder do not account for cross-currency positions. In a real product, this would require FX conversion logic. For the demo, either restrict to RON-only or add explicit currency handling.</w:t>
      </w:r>
    </w:p>
    <w:p>
      <w:pPr>
        <w:spacing w:after="160"/>
      </w:pPr>
      <w:r>
        <w:rPr>
          <w:b/>
          <w:color w:val="CC6600"/>
        </w:rPr>
        <w:t xml:space="preserve">5. No data persistence or API layer. </w:t>
      </w:r>
      <w:r>
        <w:t>All state is in-memory. While expected for a prototype, the architecture should be structured to make the transition to a real backend straightforward. Consider adding a simple service layer abstraction even in the prototype.</w:t>
      </w:r>
    </w:p>
    <w:p>
      <w:pPr>
        <w:spacing w:after="160"/>
      </w:pPr>
      <w:r>
        <w:rPr>
          <w:b/>
          <w:color w:val="CC6600"/>
        </w:rPr>
        <w:t xml:space="preserve">6. Hardcoded timestamps and user roles. </w:t>
      </w:r>
      <w:r>
        <w:t>Audit entries use hardcoded timestamps and user names. For a more convincing demo, use the current date/time and allow role switching to show the multi-persona workflow.</w:t>
      </w:r>
    </w:p>
    <w:p>
      <w:pPr>
        <w:pStyle w:val="Heading2"/>
      </w:pPr>
      <w:r>
        <w:t>9. UX &amp; Interaction Design</w:t>
      </w:r>
    </w:p>
    <w:p>
      <w:r>
        <w:t>The visual design is clean and professional, using shadcn/ui components consistently. The overall aesthetic is appropriate for an institutional B2B product. Several UX observations:</w:t>
      </w:r>
    </w:p>
    <w:p>
      <w:pPr>
        <w:spacing w:after="160"/>
      </w:pPr>
      <w:r>
        <w:rPr>
          <w:b/>
        </w:rPr>
        <w:t xml:space="preserve">Navigation is clear but static. </w:t>
      </w:r>
      <w:r>
        <w:t>The sidebar navigation covers all major views logically. However, there is no breadcrumb trail or back-navigation from the repo detail view. Users entering a repo detail from the dashboard or margin monitor have no visual context of where they came from. Add breadcrumbs and a contextual back button.</w:t>
      </w:r>
    </w:p>
    <w:p>
      <w:pPr>
        <w:spacing w:after="160"/>
      </w:pPr>
      <w:r>
        <w:rPr>
          <w:b/>
        </w:rPr>
        <w:t xml:space="preserve">Dashboard information density is good. </w:t>
      </w:r>
      <w:r>
        <w:t>The four KPI cards, collateral overview table, action-required panel, and repo timeline provide a comprehensive at-a-glance view. This is well-designed for a treasury manager persona.</w:t>
      </w:r>
    </w:p>
    <w:p>
      <w:pPr>
        <w:spacing w:after="160"/>
      </w:pPr>
      <w:r>
        <w:rPr>
          <w:b/>
        </w:rPr>
        <w:t xml:space="preserve">Margin monitor is the strongest view. </w:t>
      </w:r>
      <w:r>
        <w:t>The combination of compliance status, deficit identification, coverage ratio visualisation, and actionable top-up panels makes this the most compelling module for a demo. Consider making this the hero screen in investor presentations.</w:t>
      </w:r>
    </w:p>
    <w:p>
      <w:pPr>
        <w:spacing w:after="160"/>
      </w:pPr>
      <w:r>
        <w:rPr>
          <w:b/>
        </w:rPr>
        <w:t xml:space="preserve">Create Repo flow lacks validation. </w:t>
      </w:r>
      <w:r>
        <w:t>The multi-step form allows progression without input validation. Empty counterparty names, zero amounts, and non-numeric rates would all pass through. Add basic validation and error states.</w:t>
      </w:r>
    </w:p>
    <w:p>
      <w:pPr>
        <w:spacing w:after="160"/>
      </w:pPr>
      <w:r>
        <w:rPr>
          <w:b/>
        </w:rPr>
        <w:t xml:space="preserve">No responsive design consideration. </w:t>
      </w:r>
      <w:r>
        <w:t>The layout uses a fixed sidebar and assumes desktop viewport. While this is primarily a desktop product, the demo should at minimum handle common laptop screen sizes (1366px, 1440px) gracefully.</w:t>
      </w:r>
    </w:p>
    <w:p>
      <w:pPr>
        <w:spacing w:after="160"/>
      </w:pPr>
      <w:r>
        <w:rPr>
          <w:b/>
        </w:rPr>
        <w:t xml:space="preserve">Missing loading and empty states. </w:t>
      </w:r>
      <w:r>
        <w:t>There are no loading indicators, skeleton screens, or empty-state messages. When all repos are closed, the active repo timeline shows nothing. Add contextual empty states.</w:t>
      </w:r>
    </w:p>
    <w:p>
      <w:pPr>
        <w:pStyle w:val="Heading2"/>
      </w:pPr>
      <w:r>
        <w:t>10. Functional Completeness</w:t>
      </w:r>
    </w:p>
    <w:p>
      <w:r>
        <w:t>Mapping the prototype against the four modules described in the business plan:</w:t>
      </w:r>
    </w:p>
    <w:tbl>
      <w:tblPr>
        <w:tblStyle w:val="TableGrid"/>
        <w:tblW w:type="auto" w:w="0"/>
        <w:jc w:val="center"/>
        <w:tblLook w:firstColumn="1" w:firstRow="1" w:lastColumn="0" w:lastRow="0" w:noHBand="0" w:noVBand="1" w:val="04A0"/>
      </w:tblPr>
      <w:tblGrid>
        <w:gridCol w:w="2196"/>
        <w:gridCol w:w="2196"/>
        <w:gridCol w:w="2196"/>
        <w:gridCol w:w="2196"/>
      </w:tblGrid>
      <w:tr>
        <w:tc>
          <w:tcPr>
            <w:tcW w:type="dxa" w:w="1872"/>
            <w:shd w:val="clear" w:color="auto" w:fill="1E3A5F"/>
          </w:tcPr>
          <w:p>
            <w:r/>
            <w:r>
              <w:rPr>
                <w:rFonts w:ascii="Arial" w:hAnsi="Arial"/>
                <w:b/>
                <w:color w:val="FFFFFF"/>
                <w:sz w:val="20"/>
              </w:rPr>
              <w:t>Module</w:t>
            </w:r>
          </w:p>
        </w:tc>
        <w:tc>
          <w:tcPr>
            <w:tcW w:type="dxa" w:w="2160"/>
            <w:shd w:val="clear" w:color="auto" w:fill="1E3A5F"/>
          </w:tcPr>
          <w:p>
            <w:r/>
            <w:r>
              <w:rPr>
                <w:rFonts w:ascii="Arial" w:hAnsi="Arial"/>
                <w:b/>
                <w:color w:val="FFFFFF"/>
                <w:sz w:val="20"/>
              </w:rPr>
              <w:t>Business Plan Scope</w:t>
            </w:r>
          </w:p>
        </w:tc>
        <w:tc>
          <w:tcPr>
            <w:tcW w:type="dxa" w:w="2304"/>
            <w:shd w:val="clear" w:color="auto" w:fill="1E3A5F"/>
          </w:tcPr>
          <w:p>
            <w:r/>
            <w:r>
              <w:rPr>
                <w:rFonts w:ascii="Arial" w:hAnsi="Arial"/>
                <w:b/>
                <w:color w:val="FFFFFF"/>
                <w:sz w:val="20"/>
              </w:rPr>
              <w:t>Prototype Coverage</w:t>
            </w:r>
          </w:p>
        </w:tc>
        <w:tc>
          <w:tcPr>
            <w:tcW w:type="dxa" w:w="2448"/>
            <w:shd w:val="clear" w:color="auto" w:fill="1E3A5F"/>
          </w:tcPr>
          <w:p>
            <w:r/>
            <w:r>
              <w:rPr>
                <w:rFonts w:ascii="Arial" w:hAnsi="Arial"/>
                <w:b/>
                <w:color w:val="FFFFFF"/>
                <w:sz w:val="20"/>
              </w:rPr>
              <w:t>Assessment</w:t>
            </w:r>
          </w:p>
        </w:tc>
      </w:tr>
      <w:tr>
        <w:tc>
          <w:tcPr>
            <w:tcW w:type="dxa" w:w="1872"/>
            <w:shd w:val="clear" w:color="auto" w:fill="F5F7FA"/>
          </w:tcPr>
          <w:p>
            <w:r/>
            <w:r>
              <w:rPr>
                <w:rFonts w:ascii="Arial" w:hAnsi="Arial"/>
                <w:sz w:val="20"/>
              </w:rPr>
              <w:t>Inventory &amp; Eligibility Engine</w:t>
            </w:r>
          </w:p>
        </w:tc>
        <w:tc>
          <w:tcPr>
            <w:tcW w:type="dxa" w:w="2160"/>
            <w:shd w:val="clear" w:color="auto" w:fill="F5F7FA"/>
          </w:tcPr>
          <w:p>
            <w:r/>
            <w:r>
              <w:rPr>
                <w:rFonts w:ascii="Arial" w:hAnsi="Arial"/>
                <w:sz w:val="20"/>
              </w:rPr>
              <w:t>Ingest positions, show free/pledged, haircut-adjusted values, eligibility scoring</w:t>
            </w:r>
          </w:p>
        </w:tc>
        <w:tc>
          <w:tcPr>
            <w:tcW w:type="dxa" w:w="2304"/>
            <w:shd w:val="clear" w:color="auto" w:fill="F5F7FA"/>
          </w:tcPr>
          <w:p>
            <w:r/>
            <w:r>
              <w:rPr>
                <w:rFonts w:ascii="Arial" w:hAnsi="Arial"/>
                <w:sz w:val="20"/>
              </w:rPr>
              <w:t>Implemented: inventory table, status filtering, haircut calculations, eligibility labels, detail panel</w:t>
            </w:r>
          </w:p>
        </w:tc>
        <w:tc>
          <w:tcPr>
            <w:tcW w:type="dxa" w:w="2448"/>
            <w:shd w:val="clear" w:color="auto" w:fill="F5F7FA"/>
          </w:tcPr>
          <w:p>
            <w:r/>
            <w:r>
              <w:rPr>
                <w:rFonts w:ascii="Arial" w:hAnsi="Arial"/>
                <w:sz w:val="20"/>
              </w:rPr>
              <w:t>Strong. Core functionality is demonstrated.</w:t>
            </w:r>
          </w:p>
        </w:tc>
      </w:tr>
      <w:tr>
        <w:tc>
          <w:tcPr>
            <w:tcW w:type="dxa" w:w="1872"/>
          </w:tcPr>
          <w:p>
            <w:r/>
            <w:r>
              <w:rPr>
                <w:rFonts w:ascii="Arial" w:hAnsi="Arial"/>
                <w:sz w:val="20"/>
              </w:rPr>
              <w:t>Repo Workflow Engine</w:t>
            </w:r>
          </w:p>
        </w:tc>
        <w:tc>
          <w:tcPr>
            <w:tcW w:type="dxa" w:w="2160"/>
          </w:tcPr>
          <w:p>
            <w:r/>
            <w:r>
              <w:rPr>
                <w:rFonts w:ascii="Arial" w:hAnsi="Arial"/>
                <w:sz w:val="20"/>
              </w:rPr>
              <w:t>Create trade, allocate basket, generate instructions, track lifecycle, manage unwind</w:t>
            </w:r>
          </w:p>
        </w:tc>
        <w:tc>
          <w:tcPr>
            <w:tcW w:type="dxa" w:w="2304"/>
          </w:tcPr>
          <w:p>
            <w:r/>
            <w:r>
              <w:rPr>
                <w:rFonts w:ascii="Arial" w:hAnsi="Arial"/>
                <w:sz w:val="20"/>
              </w:rPr>
              <w:t>Implemented: 4-step creation, auto-basket, lifecycle timeline, close/unwind action</w:t>
            </w:r>
          </w:p>
        </w:tc>
        <w:tc>
          <w:tcPr>
            <w:tcW w:type="dxa" w:w="2448"/>
          </w:tcPr>
          <w:p>
            <w:r/>
            <w:r>
              <w:rPr>
                <w:rFonts w:ascii="Arial" w:hAnsi="Arial"/>
                <w:sz w:val="20"/>
              </w:rPr>
              <w:t>Good. Missing settlement instruction generation detail.</w:t>
            </w:r>
          </w:p>
        </w:tc>
      </w:tr>
      <w:tr>
        <w:tc>
          <w:tcPr>
            <w:tcW w:type="dxa" w:w="1872"/>
            <w:shd w:val="clear" w:color="auto" w:fill="F5F7FA"/>
          </w:tcPr>
          <w:p>
            <w:r/>
            <w:r>
              <w:rPr>
                <w:rFonts w:ascii="Arial" w:hAnsi="Arial"/>
                <w:sz w:val="20"/>
              </w:rPr>
              <w:t>Margining &amp; Exception Engine</w:t>
            </w:r>
          </w:p>
        </w:tc>
        <w:tc>
          <w:tcPr>
            <w:tcW w:type="dxa" w:w="2160"/>
            <w:shd w:val="clear" w:color="auto" w:fill="F5F7FA"/>
          </w:tcPr>
          <w:p>
            <w:r/>
            <w:r>
              <w:rPr>
                <w:rFonts w:ascii="Arial" w:hAnsi="Arial"/>
                <w:sz w:val="20"/>
              </w:rPr>
              <w:t>Haircut calculations, exposure tracking, shortfall alerts, approval workflows, audit trail</w:t>
            </w:r>
          </w:p>
        </w:tc>
        <w:tc>
          <w:tcPr>
            <w:tcW w:type="dxa" w:w="2304"/>
            <w:shd w:val="clear" w:color="auto" w:fill="F5F7FA"/>
          </w:tcPr>
          <w:p>
            <w:r/>
            <w:r>
              <w:rPr>
                <w:rFonts w:ascii="Arial" w:hAnsi="Arial"/>
                <w:sz w:val="20"/>
              </w:rPr>
              <w:t>Implemented: margin monitor, deficit detection, top-up workflow, coverage ratios, audit logging</w:t>
            </w:r>
          </w:p>
        </w:tc>
        <w:tc>
          <w:tcPr>
            <w:tcW w:type="dxa" w:w="2448"/>
            <w:shd w:val="clear" w:color="auto" w:fill="F5F7FA"/>
          </w:tcPr>
          <w:p>
            <w:r/>
            <w:r>
              <w:rPr>
                <w:rFonts w:ascii="Arial" w:hAnsi="Arial"/>
                <w:sz w:val="20"/>
              </w:rPr>
              <w:t>Strong. Most complete module in the prototype.</w:t>
            </w:r>
          </w:p>
        </w:tc>
      </w:tr>
      <w:tr>
        <w:tc>
          <w:tcPr>
            <w:tcW w:type="dxa" w:w="1872"/>
          </w:tcPr>
          <w:p>
            <w:r/>
            <w:r>
              <w:rPr>
                <w:rFonts w:ascii="Arial" w:hAnsi="Arial"/>
                <w:sz w:val="20"/>
              </w:rPr>
              <w:t>Tokenisation-Ready Digital Position Layer</w:t>
            </w:r>
          </w:p>
        </w:tc>
        <w:tc>
          <w:tcPr>
            <w:tcW w:type="dxa" w:w="2160"/>
          </w:tcPr>
          <w:p>
            <w:r/>
            <w:r>
              <w:rPr>
                <w:rFonts w:ascii="Arial" w:hAnsi="Arial"/>
                <w:sz w:val="20"/>
              </w:rPr>
              <w:t>Internal digital twin with state, ownership, event history</w:t>
            </w:r>
          </w:p>
        </w:tc>
        <w:tc>
          <w:tcPr>
            <w:tcW w:type="dxa" w:w="2304"/>
          </w:tcPr>
          <w:p>
            <w:r/>
            <w:r>
              <w:rPr>
                <w:rFonts w:ascii="Arial" w:hAnsi="Arial"/>
                <w:sz w:val="20"/>
              </w:rPr>
              <w:t>Partially implied through asset status model, but not explicitly surfaced</w:t>
            </w:r>
          </w:p>
        </w:tc>
        <w:tc>
          <w:tcPr>
            <w:tcW w:type="dxa" w:w="2448"/>
          </w:tcPr>
          <w:p>
            <w:r/>
            <w:r>
              <w:rPr>
                <w:rFonts w:ascii="Arial" w:hAnsi="Arial"/>
                <w:sz w:val="20"/>
              </w:rPr>
              <w:t>Weak. The digital position concept is not visible in the UI. Needs at least a conceptual view.</w:t>
            </w:r>
          </w:p>
        </w:tc>
      </w:tr>
    </w:tbl>
    <w:p/>
    <w:p>
      <w:pPr>
        <w:pStyle w:val="Heading2"/>
      </w:pPr>
      <w:r>
        <w:t>11. Missing Features for Demo Readiness</w:t>
      </w:r>
    </w:p>
    <w:p>
      <w:r>
        <w:t>To use this prototype effectively in design-partner conversations and investor meetings, the following features should be added:</w:t>
      </w:r>
    </w:p>
    <w:p>
      <w:pPr>
        <w:spacing w:after="160"/>
      </w:pPr>
      <w:r>
        <w:rPr>
          <w:b/>
        </w:rPr>
        <w:t xml:space="preserve">1. Substitution workflow. </w:t>
      </w:r>
      <w:r>
        <w:t>The business plan mentions collateral substitution as a key workflow, but the prototype does not support it. Add the ability to swap one collateral asset for another within an active repo, with approval flow and audit trail.</w:t>
      </w:r>
    </w:p>
    <w:p>
      <w:pPr>
        <w:spacing w:after="160"/>
      </w:pPr>
      <w:r>
        <w:rPr>
          <w:b/>
        </w:rPr>
        <w:t xml:space="preserve">2. SFTR reporting preview. </w:t>
      </w:r>
      <w:r>
        <w:t>Since SFTR compliance is a selling point, add a mock SFTR report generation view showing the data fields the platform would populate. This does not need to be functional; it needs to demonstrate awareness.</w:t>
      </w:r>
    </w:p>
    <w:p>
      <w:pPr>
        <w:spacing w:after="160"/>
      </w:pPr>
      <w:r>
        <w:rPr>
          <w:b/>
        </w:rPr>
        <w:t xml:space="preserve">3. Multi-currency support. </w:t>
      </w:r>
      <w:r>
        <w:t>Add explicit FX handling or at minimum a currency filter to prevent cross-currency confusion in the collateral basket.</w:t>
      </w:r>
    </w:p>
    <w:p>
      <w:pPr>
        <w:spacing w:after="160"/>
      </w:pPr>
      <w:r>
        <w:rPr>
          <w:b/>
        </w:rPr>
        <w:t xml:space="preserve">4. Role-based access demo. </w:t>
      </w:r>
      <w:r>
        <w:t>Add a role switcher in the top bar (Treasury Manager, Collateral Manager, Operations Analyst, Risk Reviewer) that filters available actions and views. This demonstrates the approval workflow concept.</w:t>
      </w:r>
    </w:p>
    <w:p>
      <w:pPr>
        <w:spacing w:after="160"/>
      </w:pPr>
      <w:r>
        <w:rPr>
          <w:b/>
        </w:rPr>
        <w:t xml:space="preserve">5. Digital position explorer. </w:t>
      </w:r>
      <w:r>
        <w:t>Add a view that shows the lifecycle of a single collateral position as a state machine (Available, Reserved, Locked, Pledged, Released) with event history. This makes the digital twin concept tangible.</w:t>
      </w:r>
    </w:p>
    <w:p>
      <w:pPr>
        <w:spacing w:after="160"/>
      </w:pPr>
      <w:r>
        <w:rPr>
          <w:b/>
        </w:rPr>
        <w:t xml:space="preserve">6. Export and reporting. </w:t>
      </w:r>
      <w:r>
        <w:t>The Export Inventory button exists but does not function. Implement CSV export for the inventory view and add a basic report generation capability for the audit trail.</w:t>
      </w:r>
    </w:p>
    <w:p>
      <w:pPr>
        <w:spacing w:after="160"/>
      </w:pPr>
      <w:r>
        <w:rPr>
          <w:b/>
        </w:rPr>
        <w:t xml:space="preserve">7. Settlement instruction detail. </w:t>
      </w:r>
      <w:r>
        <w:t>Add a mock settlement instruction view showing what SaFIR-compatible instructions would look like, even as static examples. This demonstrates understanding of the operational integration.</w:t>
      </w:r>
    </w:p>
    <w:p>
      <w:r>
        <w:br w:type="page"/>
      </w:r>
    </w:p>
    <w:p>
      <w:pPr>
        <w:pStyle w:val="Heading1"/>
      </w:pPr>
      <w:r>
        <w:t>Part III: Integrated Recommendations</w:t>
      </w:r>
    </w:p>
    <w:p>
      <w:pPr>
        <w:spacing w:before="80" w:after="80"/>
        <w:pBdr>
          <w:bottom w:val="single" w:sz="6" w:space="1" w:color="CCCCCC"/>
        </w:pBdr>
      </w:pPr>
    </w:p>
    <w:p>
      <w:pPr>
        <w:pStyle w:val="Heading2"/>
      </w:pPr>
      <w:r>
        <w:t>12. Priority Action Items</w:t>
      </w:r>
    </w:p>
    <w:p>
      <w:r>
        <w:t>Ranked by impact on commercial readiness:</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152"/>
            <w:shd w:val="clear" w:color="auto" w:fill="1E3A5F"/>
          </w:tcPr>
          <w:p>
            <w:r/>
            <w:r>
              <w:rPr>
                <w:rFonts w:ascii="Arial" w:hAnsi="Arial"/>
                <w:b/>
                <w:color w:val="FFFFFF"/>
                <w:sz w:val="20"/>
              </w:rPr>
              <w:t>Priority</w:t>
            </w:r>
          </w:p>
        </w:tc>
        <w:tc>
          <w:tcPr>
            <w:tcW w:type="dxa" w:w="3168"/>
            <w:shd w:val="clear" w:color="auto" w:fill="1E3A5F"/>
          </w:tcPr>
          <w:p>
            <w:r/>
            <w:r>
              <w:rPr>
                <w:rFonts w:ascii="Arial" w:hAnsi="Arial"/>
                <w:b/>
                <w:color w:val="FFFFFF"/>
                <w:sz w:val="20"/>
              </w:rPr>
              <w:t>Action</w:t>
            </w:r>
          </w:p>
        </w:tc>
        <w:tc>
          <w:tcPr>
            <w:tcW w:type="dxa" w:w="1440"/>
            <w:shd w:val="clear" w:color="auto" w:fill="1E3A5F"/>
          </w:tcPr>
          <w:p>
            <w:r/>
            <w:r>
              <w:rPr>
                <w:rFonts w:ascii="Arial" w:hAnsi="Arial"/>
                <w:b/>
                <w:color w:val="FFFFFF"/>
                <w:sz w:val="20"/>
              </w:rPr>
              <w:t>Owner</w:t>
            </w:r>
          </w:p>
        </w:tc>
        <w:tc>
          <w:tcPr>
            <w:tcW w:type="dxa" w:w="1152"/>
            <w:shd w:val="clear" w:color="auto" w:fill="1E3A5F"/>
          </w:tcPr>
          <w:p>
            <w:r/>
            <w:r>
              <w:rPr>
                <w:rFonts w:ascii="Arial" w:hAnsi="Arial"/>
                <w:b/>
                <w:color w:val="FFFFFF"/>
                <w:sz w:val="20"/>
              </w:rPr>
              <w:t>Timeline</w:t>
            </w:r>
          </w:p>
        </w:tc>
        <w:tc>
          <w:tcPr>
            <w:tcW w:type="dxa" w:w="1872"/>
            <w:shd w:val="clear" w:color="auto" w:fill="1E3A5F"/>
          </w:tcPr>
          <w:p>
            <w:r/>
            <w:r>
              <w:rPr>
                <w:rFonts w:ascii="Arial" w:hAnsi="Arial"/>
                <w:b/>
                <w:color w:val="FFFFFF"/>
                <w:sz w:val="20"/>
              </w:rPr>
              <w:t>Impact</w:t>
            </w:r>
          </w:p>
        </w:tc>
      </w:tr>
      <w:tr>
        <w:tc>
          <w:tcPr>
            <w:tcW w:type="dxa" w:w="1152"/>
            <w:shd w:val="clear" w:color="auto" w:fill="F5F7FA"/>
          </w:tcPr>
          <w:p>
            <w:r/>
            <w:r>
              <w:rPr>
                <w:rFonts w:ascii="Arial" w:hAnsi="Arial"/>
                <w:sz w:val="20"/>
              </w:rPr>
              <w:t>1 (Critical)</w:t>
            </w:r>
          </w:p>
        </w:tc>
        <w:tc>
          <w:tcPr>
            <w:tcW w:type="dxa" w:w="3168"/>
            <w:shd w:val="clear" w:color="auto" w:fill="F5F7FA"/>
          </w:tcPr>
          <w:p>
            <w:r/>
            <w:r>
              <w:rPr>
                <w:rFonts w:ascii="Arial" w:hAnsi="Arial"/>
                <w:sz w:val="20"/>
              </w:rPr>
              <w:t>Conduct 8-12 customer discovery interviews with Romanian bank treasury/collateral teams</w:t>
            </w:r>
          </w:p>
        </w:tc>
        <w:tc>
          <w:tcPr>
            <w:tcW w:type="dxa" w:w="1440"/>
            <w:shd w:val="clear" w:color="auto" w:fill="F5F7FA"/>
          </w:tcPr>
          <w:p>
            <w:r/>
            <w:r>
              <w:rPr>
                <w:rFonts w:ascii="Arial" w:hAnsi="Arial"/>
                <w:sz w:val="20"/>
              </w:rPr>
              <w:t>CEO/Commercial</w:t>
            </w:r>
          </w:p>
        </w:tc>
        <w:tc>
          <w:tcPr>
            <w:tcW w:type="dxa" w:w="1152"/>
            <w:shd w:val="clear" w:color="auto" w:fill="F5F7FA"/>
          </w:tcPr>
          <w:p>
            <w:r/>
            <w:r>
              <w:rPr>
                <w:rFonts w:ascii="Arial" w:hAnsi="Arial"/>
                <w:sz w:val="20"/>
              </w:rPr>
              <w:t>Weeks 1-6</w:t>
            </w:r>
          </w:p>
        </w:tc>
        <w:tc>
          <w:tcPr>
            <w:tcW w:type="dxa" w:w="1872"/>
            <w:shd w:val="clear" w:color="auto" w:fill="F5F7FA"/>
          </w:tcPr>
          <w:p>
            <w:r/>
            <w:r>
              <w:rPr>
                <w:rFonts w:ascii="Arial" w:hAnsi="Arial"/>
                <w:sz w:val="20"/>
              </w:rPr>
              <w:t>Validates entire thesis and unlocks pricing assumptions</w:t>
            </w:r>
          </w:p>
        </w:tc>
      </w:tr>
      <w:tr>
        <w:tc>
          <w:tcPr>
            <w:tcW w:type="dxa" w:w="1152"/>
          </w:tcPr>
          <w:p>
            <w:r/>
            <w:r>
              <w:rPr>
                <w:rFonts w:ascii="Arial" w:hAnsi="Arial"/>
                <w:sz w:val="20"/>
              </w:rPr>
              <w:t>2 (Critical)</w:t>
            </w:r>
          </w:p>
        </w:tc>
        <w:tc>
          <w:tcPr>
            <w:tcW w:type="dxa" w:w="3168"/>
          </w:tcPr>
          <w:p>
            <w:r/>
            <w:r>
              <w:rPr>
                <w:rFonts w:ascii="Arial" w:hAnsi="Arial"/>
                <w:sz w:val="20"/>
              </w:rPr>
              <w:t>Commission legal opinion on Phase 1 product classification under Romanian and EU law</w:t>
            </w:r>
          </w:p>
        </w:tc>
        <w:tc>
          <w:tcPr>
            <w:tcW w:type="dxa" w:w="1440"/>
          </w:tcPr>
          <w:p>
            <w:r/>
            <w:r>
              <w:rPr>
                <w:rFonts w:ascii="Arial" w:hAnsi="Arial"/>
                <w:sz w:val="20"/>
              </w:rPr>
              <w:t>External Counsel</w:t>
            </w:r>
          </w:p>
        </w:tc>
        <w:tc>
          <w:tcPr>
            <w:tcW w:type="dxa" w:w="1152"/>
          </w:tcPr>
          <w:p>
            <w:r/>
            <w:r>
              <w:rPr>
                <w:rFonts w:ascii="Arial" w:hAnsi="Arial"/>
                <w:sz w:val="20"/>
              </w:rPr>
              <w:t>Weeks 1-8</w:t>
            </w:r>
          </w:p>
        </w:tc>
        <w:tc>
          <w:tcPr>
            <w:tcW w:type="dxa" w:w="1872"/>
          </w:tcPr>
          <w:p>
            <w:r/>
            <w:r>
              <w:rPr>
                <w:rFonts w:ascii="Arial" w:hAnsi="Arial"/>
                <w:sz w:val="20"/>
              </w:rPr>
              <w:t>De-risks the entire regulatory narrative</w:t>
            </w:r>
          </w:p>
        </w:tc>
      </w:tr>
      <w:tr>
        <w:tc>
          <w:tcPr>
            <w:tcW w:type="dxa" w:w="1152"/>
            <w:shd w:val="clear" w:color="auto" w:fill="F5F7FA"/>
          </w:tcPr>
          <w:p>
            <w:r/>
            <w:r>
              <w:rPr>
                <w:rFonts w:ascii="Arial" w:hAnsi="Arial"/>
                <w:sz w:val="20"/>
              </w:rPr>
              <w:t>3 (High)</w:t>
            </w:r>
          </w:p>
        </w:tc>
        <w:tc>
          <w:tcPr>
            <w:tcW w:type="dxa" w:w="3168"/>
            <w:shd w:val="clear" w:color="auto" w:fill="F5F7FA"/>
          </w:tcPr>
          <w:p>
            <w:r/>
            <w:r>
              <w:rPr>
                <w:rFonts w:ascii="Arial" w:hAnsi="Arial"/>
                <w:sz w:val="20"/>
              </w:rPr>
              <w:t>Build bottoms-up TAM model with pricing assumptions</w:t>
            </w:r>
          </w:p>
        </w:tc>
        <w:tc>
          <w:tcPr>
            <w:tcW w:type="dxa" w:w="1440"/>
            <w:shd w:val="clear" w:color="auto" w:fill="F5F7FA"/>
          </w:tcPr>
          <w:p>
            <w:r/>
            <w:r>
              <w:rPr>
                <w:rFonts w:ascii="Arial" w:hAnsi="Arial"/>
                <w:sz w:val="20"/>
              </w:rPr>
              <w:t>CEO/Commercial</w:t>
            </w:r>
          </w:p>
        </w:tc>
        <w:tc>
          <w:tcPr>
            <w:tcW w:type="dxa" w:w="1152"/>
            <w:shd w:val="clear" w:color="auto" w:fill="F5F7FA"/>
          </w:tcPr>
          <w:p>
            <w:r/>
            <w:r>
              <w:rPr>
                <w:rFonts w:ascii="Arial" w:hAnsi="Arial"/>
                <w:sz w:val="20"/>
              </w:rPr>
              <w:t>Weeks 4-8</w:t>
            </w:r>
          </w:p>
        </w:tc>
        <w:tc>
          <w:tcPr>
            <w:tcW w:type="dxa" w:w="1872"/>
            <w:shd w:val="clear" w:color="auto" w:fill="F5F7FA"/>
          </w:tcPr>
          <w:p>
            <w:r/>
            <w:r>
              <w:rPr>
                <w:rFonts w:ascii="Arial" w:hAnsi="Arial"/>
                <w:sz w:val="20"/>
              </w:rPr>
              <w:t>Required for any investor conversation</w:t>
            </w:r>
          </w:p>
        </w:tc>
      </w:tr>
      <w:tr>
        <w:tc>
          <w:tcPr>
            <w:tcW w:type="dxa" w:w="1152"/>
          </w:tcPr>
          <w:p>
            <w:r/>
            <w:r>
              <w:rPr>
                <w:rFonts w:ascii="Arial" w:hAnsi="Arial"/>
                <w:sz w:val="20"/>
              </w:rPr>
              <w:t>4 (High)</w:t>
            </w:r>
          </w:p>
        </w:tc>
        <w:tc>
          <w:tcPr>
            <w:tcW w:type="dxa" w:w="3168"/>
          </w:tcPr>
          <w:p>
            <w:r/>
            <w:r>
              <w:rPr>
                <w:rFonts w:ascii="Arial" w:hAnsi="Arial"/>
                <w:sz w:val="20"/>
              </w:rPr>
              <w:t>Add substitution workflow, role-based demo, and digital position explorer to prototype</w:t>
            </w:r>
          </w:p>
        </w:tc>
        <w:tc>
          <w:tcPr>
            <w:tcW w:type="dxa" w:w="1440"/>
          </w:tcPr>
          <w:p>
            <w:r/>
            <w:r>
              <w:rPr>
                <w:rFonts w:ascii="Arial" w:hAnsi="Arial"/>
                <w:sz w:val="20"/>
              </w:rPr>
              <w:t>Engineering</w:t>
            </w:r>
          </w:p>
        </w:tc>
        <w:tc>
          <w:tcPr>
            <w:tcW w:type="dxa" w:w="1152"/>
          </w:tcPr>
          <w:p>
            <w:r/>
            <w:r>
              <w:rPr>
                <w:rFonts w:ascii="Arial" w:hAnsi="Arial"/>
                <w:sz w:val="20"/>
              </w:rPr>
              <w:t>Weeks 4-10</w:t>
            </w:r>
          </w:p>
        </w:tc>
        <w:tc>
          <w:tcPr>
            <w:tcW w:type="dxa" w:w="1872"/>
          </w:tcPr>
          <w:p>
            <w:r/>
            <w:r>
              <w:rPr>
                <w:rFonts w:ascii="Arial" w:hAnsi="Arial"/>
                <w:sz w:val="20"/>
              </w:rPr>
              <w:t>Transforms demo from functional to compelling</w:t>
            </w:r>
          </w:p>
        </w:tc>
      </w:tr>
      <w:tr>
        <w:tc>
          <w:tcPr>
            <w:tcW w:type="dxa" w:w="1152"/>
            <w:shd w:val="clear" w:color="auto" w:fill="F5F7FA"/>
          </w:tcPr>
          <w:p>
            <w:r/>
            <w:r>
              <w:rPr>
                <w:rFonts w:ascii="Arial" w:hAnsi="Arial"/>
                <w:sz w:val="20"/>
              </w:rPr>
              <w:t>5 (High)</w:t>
            </w:r>
          </w:p>
        </w:tc>
        <w:tc>
          <w:tcPr>
            <w:tcW w:type="dxa" w:w="3168"/>
            <w:shd w:val="clear" w:color="auto" w:fill="F5F7FA"/>
          </w:tcPr>
          <w:p>
            <w:r/>
            <w:r>
              <w:rPr>
                <w:rFonts w:ascii="Arial" w:hAnsi="Arial"/>
                <w:sz w:val="20"/>
              </w:rPr>
              <w:t>Develop 24-month financial model with scenario analysis</w:t>
            </w:r>
          </w:p>
        </w:tc>
        <w:tc>
          <w:tcPr>
            <w:tcW w:type="dxa" w:w="1440"/>
            <w:shd w:val="clear" w:color="auto" w:fill="F5F7FA"/>
          </w:tcPr>
          <w:p>
            <w:r/>
            <w:r>
              <w:rPr>
                <w:rFonts w:ascii="Arial" w:hAnsi="Arial"/>
                <w:sz w:val="20"/>
              </w:rPr>
              <w:t>CEO/Finance</w:t>
            </w:r>
          </w:p>
        </w:tc>
        <w:tc>
          <w:tcPr>
            <w:tcW w:type="dxa" w:w="1152"/>
            <w:shd w:val="clear" w:color="auto" w:fill="F5F7FA"/>
          </w:tcPr>
          <w:p>
            <w:r/>
            <w:r>
              <w:rPr>
                <w:rFonts w:ascii="Arial" w:hAnsi="Arial"/>
                <w:sz w:val="20"/>
              </w:rPr>
              <w:t>Weeks 6-10</w:t>
            </w:r>
          </w:p>
        </w:tc>
        <w:tc>
          <w:tcPr>
            <w:tcW w:type="dxa" w:w="1872"/>
            <w:shd w:val="clear" w:color="auto" w:fill="F5F7FA"/>
          </w:tcPr>
          <w:p>
            <w:r/>
            <w:r>
              <w:rPr>
                <w:rFonts w:ascii="Arial" w:hAnsi="Arial"/>
                <w:sz w:val="20"/>
              </w:rPr>
              <w:t>Required for fundraising and founder planning</w:t>
            </w:r>
          </w:p>
        </w:tc>
      </w:tr>
      <w:tr>
        <w:tc>
          <w:tcPr>
            <w:tcW w:type="dxa" w:w="1152"/>
          </w:tcPr>
          <w:p>
            <w:r/>
            <w:r>
              <w:rPr>
                <w:rFonts w:ascii="Arial" w:hAnsi="Arial"/>
                <w:sz w:val="20"/>
              </w:rPr>
              <w:t>6 (Medium)</w:t>
            </w:r>
          </w:p>
        </w:tc>
        <w:tc>
          <w:tcPr>
            <w:tcW w:type="dxa" w:w="3168"/>
          </w:tcPr>
          <w:p>
            <w:r/>
            <w:r>
              <w:rPr>
                <w:rFonts w:ascii="Arial" w:hAnsi="Arial"/>
                <w:sz w:val="20"/>
              </w:rPr>
              <w:t>Investigate SaFIR integration pathways and document connectivity options</w:t>
            </w:r>
          </w:p>
        </w:tc>
        <w:tc>
          <w:tcPr>
            <w:tcW w:type="dxa" w:w="1440"/>
          </w:tcPr>
          <w:p>
            <w:r/>
            <w:r>
              <w:rPr>
                <w:rFonts w:ascii="Arial" w:hAnsi="Arial"/>
                <w:sz w:val="20"/>
              </w:rPr>
              <w:t>Engineering + Adviser</w:t>
            </w:r>
          </w:p>
        </w:tc>
        <w:tc>
          <w:tcPr>
            <w:tcW w:type="dxa" w:w="1152"/>
          </w:tcPr>
          <w:p>
            <w:r/>
            <w:r>
              <w:rPr>
                <w:rFonts w:ascii="Arial" w:hAnsi="Arial"/>
                <w:sz w:val="20"/>
              </w:rPr>
              <w:t>Weeks 4-12</w:t>
            </w:r>
          </w:p>
        </w:tc>
        <w:tc>
          <w:tcPr>
            <w:tcW w:type="dxa" w:w="1872"/>
          </w:tcPr>
          <w:p>
            <w:r/>
            <w:r>
              <w:rPr>
                <w:rFonts w:ascii="Arial" w:hAnsi="Arial"/>
                <w:sz w:val="20"/>
              </w:rPr>
              <w:t>Critical path dependency for pilot feasibility</w:t>
            </w:r>
          </w:p>
        </w:tc>
      </w:tr>
      <w:tr>
        <w:tc>
          <w:tcPr>
            <w:tcW w:type="dxa" w:w="1152"/>
            <w:shd w:val="clear" w:color="auto" w:fill="F5F7FA"/>
          </w:tcPr>
          <w:p>
            <w:r/>
            <w:r>
              <w:rPr>
                <w:rFonts w:ascii="Arial" w:hAnsi="Arial"/>
                <w:sz w:val="20"/>
              </w:rPr>
              <w:t>7 (Medium)</w:t>
            </w:r>
          </w:p>
        </w:tc>
        <w:tc>
          <w:tcPr>
            <w:tcW w:type="dxa" w:w="3168"/>
            <w:shd w:val="clear" w:color="auto" w:fill="F5F7FA"/>
          </w:tcPr>
          <w:p>
            <w:r/>
            <w:r>
              <w:rPr>
                <w:rFonts w:ascii="Arial" w:hAnsi="Arial"/>
                <w:sz w:val="20"/>
              </w:rPr>
              <w:t>Refactor prototype to TypeScript with component decomposition</w:t>
            </w:r>
          </w:p>
        </w:tc>
        <w:tc>
          <w:tcPr>
            <w:tcW w:type="dxa" w:w="1440"/>
            <w:shd w:val="clear" w:color="auto" w:fill="F5F7FA"/>
          </w:tcPr>
          <w:p>
            <w:r/>
            <w:r>
              <w:rPr>
                <w:rFonts w:ascii="Arial" w:hAnsi="Arial"/>
                <w:sz w:val="20"/>
              </w:rPr>
              <w:t>Engineering</w:t>
            </w:r>
          </w:p>
        </w:tc>
        <w:tc>
          <w:tcPr>
            <w:tcW w:type="dxa" w:w="1152"/>
            <w:shd w:val="clear" w:color="auto" w:fill="F5F7FA"/>
          </w:tcPr>
          <w:p>
            <w:r/>
            <w:r>
              <w:rPr>
                <w:rFonts w:ascii="Arial" w:hAnsi="Arial"/>
                <w:sz w:val="20"/>
              </w:rPr>
              <w:t>Weeks 8-14</w:t>
            </w:r>
          </w:p>
        </w:tc>
        <w:tc>
          <w:tcPr>
            <w:tcW w:type="dxa" w:w="1872"/>
            <w:shd w:val="clear" w:color="auto" w:fill="F5F7FA"/>
          </w:tcPr>
          <w:p>
            <w:r/>
            <w:r>
              <w:rPr>
                <w:rFonts w:ascii="Arial" w:hAnsi="Arial"/>
                <w:sz w:val="20"/>
              </w:rPr>
              <w:t>Engineering credibility for technical due diligence</w:t>
            </w:r>
          </w:p>
        </w:tc>
      </w:tr>
      <w:tr>
        <w:tc>
          <w:tcPr>
            <w:tcW w:type="dxa" w:w="1152"/>
          </w:tcPr>
          <w:p>
            <w:r/>
            <w:r>
              <w:rPr>
                <w:rFonts w:ascii="Arial" w:hAnsi="Arial"/>
                <w:sz w:val="20"/>
              </w:rPr>
              <w:t>8 (Medium)</w:t>
            </w:r>
          </w:p>
        </w:tc>
        <w:tc>
          <w:tcPr>
            <w:tcW w:type="dxa" w:w="3168"/>
          </w:tcPr>
          <w:p>
            <w:r/>
            <w:r>
              <w:rPr>
                <w:rFonts w:ascii="Arial" w:hAnsi="Arial"/>
                <w:sz w:val="20"/>
              </w:rPr>
              <w:t>Prepare regulatory engagement strategy for BNR and ASF</w:t>
            </w:r>
          </w:p>
        </w:tc>
        <w:tc>
          <w:tcPr>
            <w:tcW w:type="dxa" w:w="1440"/>
          </w:tcPr>
          <w:p>
            <w:r/>
            <w:r>
              <w:rPr>
                <w:rFonts w:ascii="Arial" w:hAnsi="Arial"/>
                <w:sz w:val="20"/>
              </w:rPr>
              <w:t>CEO + Counsel</w:t>
            </w:r>
          </w:p>
        </w:tc>
        <w:tc>
          <w:tcPr>
            <w:tcW w:type="dxa" w:w="1152"/>
          </w:tcPr>
          <w:p>
            <w:r/>
            <w:r>
              <w:rPr>
                <w:rFonts w:ascii="Arial" w:hAnsi="Arial"/>
                <w:sz w:val="20"/>
              </w:rPr>
              <w:t>Weeks 8-14</w:t>
            </w:r>
          </w:p>
        </w:tc>
        <w:tc>
          <w:tcPr>
            <w:tcW w:type="dxa" w:w="1872"/>
          </w:tcPr>
          <w:p>
            <w:r/>
            <w:r>
              <w:rPr>
                <w:rFonts w:ascii="Arial" w:hAnsi="Arial"/>
                <w:sz w:val="20"/>
              </w:rPr>
              <w:t>Proactive regulatory positioning</w:t>
            </w:r>
          </w:p>
        </w:tc>
      </w:tr>
    </w:tbl>
    <w:p/>
    <w:p>
      <w:pPr>
        <w:pStyle w:val="Heading2"/>
      </w:pPr>
      <w:r>
        <w:t>13. 90-Day Execution Roadmap</w:t>
      </w:r>
    </w:p>
    <w:p>
      <w:r>
        <w:t>A suggested 90-day plan that sequences the most important actions:</w:t>
      </w:r>
    </w:p>
    <w:p>
      <w:pPr>
        <w:pStyle w:val="Heading3"/>
      </w:pPr>
      <w:r>
        <w:t>Weeks 1-4: Validate</w:t>
      </w:r>
    </w:p>
    <w:p>
      <w:r>
        <w:t>Focus entirely on customer discovery and legal groundwork. Conduct the first 6-8 interviews with target personas at Romanian banks. Engage external counsel to begin the Phase 1 legal opinion. Use the existing prototype as a conversation tool in discovery meetings, not as a sales demo. Document findings in a structured format that feeds directly into the business plan update.</w:t>
      </w:r>
    </w:p>
    <w:p>
      <w:pPr>
        <w:pStyle w:val="Heading3"/>
      </w:pPr>
      <w:r>
        <w:t>Weeks 5-8: Quantify &amp; Sharpen</w:t>
      </w:r>
    </w:p>
    <w:p>
      <w:r>
        <w:t>Build the TAM model and financial projections using discovery findings. Update the business plan with customer-validated pain points and willingness-to-pay signals. Begin prototype improvements: add substitution workflow, role-based access demo, and digital position explorer. Start investigating SaFIR integration options through conversations with bank operations teams and BNR-published documentation.</w:t>
      </w:r>
    </w:p>
    <w:p>
      <w:pPr>
        <w:pStyle w:val="Heading3"/>
      </w:pPr>
      <w:r>
        <w:t>Weeks 9-12: Position &amp; Pitch</w:t>
      </w:r>
    </w:p>
    <w:p>
      <w:r>
        <w:t>Finalise the investor-ready business plan with quantified market opportunity, validated customer need, legal opinion summary, and financial projections. Complete prototype improvements and prepare a structured 20-minute demo flow. Begin conversations with 2-3 potential design partners for a formal pilot proposal. If fundraising: prepare a 12-slide pitch deck that tells the story from problem to opportunity to team.</w:t>
      </w:r>
    </w:p>
    <w:p>
      <w:pPr>
        <w:spacing w:before="80" w:after="80"/>
        <w:pBdr>
          <w:bottom w:val="single" w:sz="6" w:space="1" w:color="CCCCCC"/>
        </w:pBdr>
      </w:pPr>
    </w:p>
    <w:p/>
    <w:p>
      <w:pPr>
        <w:spacing w:before="120" w:after="120"/>
        <w:shd w:val="clear" w:color="auto" w:fill="F0F7E8"/>
        <w:ind w:left="432" w:right="432"/>
      </w:pPr>
      <w:r>
        <w:rPr>
          <w:i/>
          <w:color w:val="2D5F2D"/>
          <w:sz w:val="21"/>
        </w:rPr>
        <w:t>Final note: This business plan and prototype represent a strong starting position. The thesis is sound, the market timing is favourable, and the phased approach is commercially wise. The gaps identified above are normal for this stage of company development. The most important next step is customer discovery: everything else, from pricing to product priorities to fundraising narrative, flows from validated conversations with the people who would actually buy and use this product.</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0F172A"/>
      <w:sz w:val="5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1E3A5F"/>
      <w:sz w:val="36"/>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2D5F8A"/>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