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F172A"/>
          <w:sz w:val="44"/>
        </w:rPr>
        <w:t>CollateralOS — Technical Integration Overview</w:t>
      </w:r>
    </w:p>
    <w:p>
      <w:pPr>
        <w:pStyle w:val="Heading2"/>
      </w:pPr>
      <w:r>
        <w:rPr>
          <w:b/>
          <w:color w:val="1D4ED8"/>
          <w:sz w:val="28"/>
        </w:rPr>
        <w:t>Architecture Summary</w:t>
      </w:r>
    </w:p>
    <w:p>
      <w:r>
        <w:rPr>
          <w:sz w:val="20"/>
        </w:rPr>
        <w:t>CollateralOS is a workflow orchestration layer deployed between your existing systems and the people who manage collateral operations. It does not replace any infrastructure — it adds the coordination, approval routing, and audit capability that existing systems lack.</w:t>
      </w:r>
    </w:p>
    <w:p>
      <w:pPr>
        <w:pBdr>
          <w:bottom w:val="single" w:sz="6" w:space="1" w:color="1d4ed8"/>
        </w:pBdr>
      </w:pPr>
    </w:p>
    <w:p>
      <w:pPr>
        <w:pStyle w:val="Heading2"/>
      </w:pPr>
      <w:r>
        <w:rPr>
          <w:b/>
          <w:color w:val="1D4ED8"/>
          <w:sz w:val="28"/>
        </w:rPr>
        <w:t>Integration Points</w:t>
      </w:r>
    </w:p>
    <w:p>
      <w:pPr>
        <w:pStyle w:val="Heading3"/>
      </w:pPr>
      <w:r>
        <w:rPr>
          <w:b/>
          <w:color w:val="333333"/>
          <w:sz w:val="24"/>
        </w:rPr>
        <w:t>1. SaFIR (BNR Government Securities Registry)</w:t>
      </w:r>
    </w:p>
    <w:p>
      <w:r>
        <w:rPr>
          <w:b/>
          <w:sz w:val="20"/>
        </w:rPr>
        <w:t>Phase 1 — Bank-side data feed (CSV/API)</w:t>
      </w:r>
      <w:r>
        <w:rPr>
          <w:b w:val="0"/>
          <w:sz w:val="20"/>
        </w:rPr>
      </w:r>
    </w:p>
    <w:p>
      <w:r>
        <w:rPr>
          <w:sz w:val="20"/>
        </w:rPr>
        <w:t>The primary integration path in Phase 1 does not require direct SaFIR API access. CollateralOS ingests position and asset data through a bank-side export from your SaFIR interface, eliminating the need for BNR API credentials or a direct infrastructure connection during the pilot phase.</w:t>
      </w:r>
    </w:p>
    <w:p>
      <w:pPr>
        <w:pStyle w:val="ListBullet"/>
      </w:pPr>
      <w:r>
        <w:rPr>
          <w:sz w:val="20"/>
        </w:rPr>
        <w:t>Format: CSV (template provided) or direct API call to your internal SaFIR position feed</w:t>
      </w:r>
    </w:p>
    <w:p>
      <w:pPr>
        <w:pStyle w:val="ListBullet"/>
      </w:pPr>
      <w:r>
        <w:rPr>
          <w:sz w:val="20"/>
        </w:rPr>
        <w:t>Frequency: End-of-day batch or intraday refresh (configurable)</w:t>
      </w:r>
    </w:p>
    <w:p>
      <w:pPr>
        <w:pStyle w:val="ListBullet"/>
      </w:pPr>
      <w:r>
        <w:rPr>
          <w:sz w:val="20"/>
        </w:rPr>
        <w:t>Fields imported: ISIN, quantity, market value, haircut, custody location, encumbrance status, settlement state</w:t>
      </w:r>
    </w:p>
    <w:p>
      <w:pPr>
        <w:pStyle w:val="ListBullet"/>
      </w:pPr>
      <w:r>
        <w:rPr>
          <w:sz w:val="20"/>
        </w:rPr>
        <w:t>No direct SaFIR API access required in Phase 1</w:t>
      </w:r>
    </w:p>
    <w:p>
      <w:r>
        <w:rPr>
          <w:b/>
          <w:sz w:val="20"/>
        </w:rPr>
        <w:t>Phase 2 — Direct SaFIR feed</w:t>
      </w:r>
      <w:r>
        <w:rPr>
          <w:b w:val="0"/>
          <w:sz w:val="20"/>
        </w:rPr>
      </w:r>
    </w:p>
    <w:p>
      <w:r>
        <w:rPr>
          <w:sz w:val="20"/>
        </w:rPr>
        <w:t>Subject to BNR connectivity agreements, Phase 2 will introduce a real-time position feed from SaFIR, eliminating manual export steps.</w:t>
      </w:r>
    </w:p>
    <w:p>
      <w:pPr>
        <w:pStyle w:val="Heading3"/>
      </w:pPr>
      <w:r>
        <w:rPr>
          <w:b/>
          <w:color w:val="333333"/>
          <w:sz w:val="24"/>
        </w:rPr>
        <w:t>2. Core Banking System</w:t>
      </w:r>
    </w:p>
    <w:p>
      <w:r>
        <w:rPr>
          <w:b/>
          <w:sz w:val="20"/>
        </w:rPr>
        <w:t>Integration method:</w:t>
      </w:r>
      <w:r>
        <w:rPr>
          <w:b w:val="0"/>
          <w:sz w:val="20"/>
        </w:rPr>
        <w:t xml:space="preserve"> REST API or CSV export  </w:t>
      </w:r>
    </w:p>
    <w:p>
      <w:r>
        <w:rPr>
          <w:b/>
          <w:sz w:val="20"/>
        </w:rPr>
        <w:t>Data consumed:</w:t>
      </w:r>
      <w:r>
        <w:rPr>
          <w:b w:val="0"/>
          <w:sz w:val="20"/>
        </w:rPr>
        <w:t xml:space="preserve"> Counterparty credit limits, bilateral agreement parameters (GMRA version, coverage ratio, MTA), repo trade confirmations  </w:t>
      </w:r>
    </w:p>
    <w:p>
      <w:r>
        <w:rPr>
          <w:b/>
          <w:sz w:val="20"/>
        </w:rPr>
        <w:t>Data written back:</w:t>
      </w:r>
      <w:r>
        <w:rPr>
          <w:b w:val="0"/>
          <w:sz w:val="20"/>
        </w:rPr>
        <w:t xml:space="preserve"> Optional — CollateralOS can push settled trade confirmations and margin call events to your core banking audit log via webhook</w:t>
      </w:r>
    </w:p>
    <w:p>
      <w:r>
        <w:rPr>
          <w:sz w:val="20"/>
        </w:rPr>
        <w:t>No core banking system modification is required. CollateralOS reads from your existing data surfaces.</w:t>
      </w:r>
    </w:p>
    <w:p>
      <w:pPr>
        <w:pStyle w:val="Heading3"/>
      </w:pPr>
      <w:r>
        <w:rPr>
          <w:b/>
          <w:color w:val="333333"/>
          <w:sz w:val="24"/>
        </w:rPr>
        <w:t>3. Euroclear / Clearstream</w:t>
      </w:r>
    </w:p>
    <w:p>
      <w:r>
        <w:rPr>
          <w:b/>
          <w:sz w:val="20"/>
        </w:rPr>
        <w:t>Phase 1:</w:t>
      </w:r>
      <w:r>
        <w:rPr>
          <w:b w:val="0"/>
          <w:sz w:val="20"/>
        </w:rPr>
        <w:t xml:space="preserve"> Position and collateral data ingested via CSV export from your custodian portal (same pattern as SaFIR above).  </w:t>
      </w:r>
    </w:p>
    <w:p>
      <w:r>
        <w:rPr>
          <w:b/>
          <w:sz w:val="20"/>
        </w:rPr>
        <w:t>Roadmap (Q4 2026 / Q1 2027):</w:t>
      </w:r>
      <w:r>
        <w:rPr>
          <w:b w:val="0"/>
          <w:sz w:val="20"/>
        </w:rPr>
        <w:t xml:space="preserve"> Native Euroclear API connectivity using the SWIFT/ISO 20022 settlement instruction interface for direct MT543 delivery.</w:t>
      </w:r>
    </w:p>
    <w:p>
      <w:pPr>
        <w:pStyle w:val="Heading3"/>
      </w:pPr>
      <w:r>
        <w:rPr>
          <w:b/>
          <w:color w:val="333333"/>
          <w:sz w:val="24"/>
        </w:rPr>
        <w:t>4. Market Data (Bloomberg / Refinitiv)</w:t>
      </w:r>
    </w:p>
    <w:p>
      <w:r>
        <w:rPr>
          <w:b/>
          <w:sz w:val="20"/>
        </w:rPr>
        <w:t>Phase 1:</w:t>
      </w:r>
      <w:r>
        <w:rPr>
          <w:b w:val="0"/>
          <w:sz w:val="20"/>
        </w:rPr>
        <w:t xml:space="preserve"> Asset market values and haircuts are manually maintained or imported with position data.  </w:t>
      </w:r>
    </w:p>
    <w:p>
      <w:r>
        <w:rPr>
          <w:b/>
          <w:sz w:val="20"/>
        </w:rPr>
        <w:t>Roadmap:</w:t>
      </w:r>
      <w:r>
        <w:rPr>
          <w:b w:val="0"/>
          <w:sz w:val="20"/>
        </w:rPr>
        <w:t xml:space="preserve"> Intraday price feed integration for automatic position revaluation and real-time coverage ratio updates.</w:t>
      </w:r>
    </w:p>
    <w:p>
      <w:pPr>
        <w:pStyle w:val="Heading3"/>
      </w:pPr>
      <w:r>
        <w:rPr>
          <w:b/>
          <w:color w:val="333333"/>
          <w:sz w:val="24"/>
        </w:rPr>
        <w:t>5. Trade Repository (SFTR Reporting — Regis-TR)</w:t>
      </w:r>
    </w:p>
    <w:p>
      <w:r>
        <w:rPr>
          <w:b/>
          <w:sz w:val="20"/>
        </w:rPr>
        <w:t>Phase 1:</w:t>
      </w:r>
      <w:r>
        <w:rPr>
          <w:b w:val="0"/>
          <w:sz w:val="20"/>
        </w:rPr>
        <w:t xml:space="preserve"> CollateralOS generates ESMA-compliant SFTR XML reports (UTI, LEI, ISIN, notional, rate, tenor, collateral quality, re-use flag) for manual submission to Regis-TR or your existing ARM.  </w:t>
      </w:r>
    </w:p>
    <w:p>
      <w:r>
        <w:rPr>
          <w:b/>
          <w:sz w:val="20"/>
        </w:rPr>
        <w:t>Phase 2 (Q1 2027):</w:t>
      </w:r>
      <w:r>
        <w:rPr>
          <w:b w:val="0"/>
          <w:sz w:val="20"/>
        </w:rPr>
        <w:t xml:space="preserve"> Direct ARM connectivity — automated T+1 submission without manual intervention.</w:t>
      </w:r>
    </w:p>
    <w:p>
      <w:pPr>
        <w:pBdr>
          <w:bottom w:val="single" w:sz="6" w:space="1" w:color="1d4ed8"/>
        </w:pBdr>
      </w:pPr>
    </w:p>
    <w:p>
      <w:pPr>
        <w:pStyle w:val="Heading2"/>
      </w:pPr>
      <w:r>
        <w:rPr>
          <w:b/>
          <w:color w:val="1D4ED8"/>
          <w:sz w:val="28"/>
        </w:rPr>
        <w:t>Deployment Architecture</w:t>
      </w:r>
    </w:p>
    <w:p>
      <w:pPr>
        <w:pStyle w:val="Heading3"/>
      </w:pPr>
      <w:r>
        <w:rPr>
          <w:b/>
          <w:color w:val="333333"/>
          <w:sz w:val="24"/>
        </w:rPr>
        <w:t>Option A: Cloud-Hosted (Default)</w:t>
      </w:r>
    </w:p>
    <w:p>
      <w:pPr>
        <w:pStyle w:val="ListBullet"/>
      </w:pPr>
      <w:r>
        <w:rPr>
          <w:sz w:val="20"/>
        </w:rPr>
        <w:t>Frontend: Vercel (global CDN, HTTPS, automatic TLS)</w:t>
      </w:r>
    </w:p>
    <w:p>
      <w:pPr>
        <w:pStyle w:val="ListBullet"/>
      </w:pPr>
      <w:r>
        <w:rPr>
          <w:sz w:val="20"/>
        </w:rPr>
        <w:t>API: Railway or AWS (configurable region — EU-West for data residency compliance)</w:t>
      </w:r>
    </w:p>
    <w:p>
      <w:pPr>
        <w:pStyle w:val="ListBullet"/>
      </w:pPr>
      <w:r>
        <w:rPr>
          <w:sz w:val="20"/>
        </w:rPr>
        <w:t>Database: PostgreSQL (isolated per-tenant schema, encrypted at rest)</w:t>
      </w:r>
    </w:p>
    <w:p>
      <w:pPr>
        <w:pStyle w:val="ListBullet"/>
      </w:pPr>
      <w:r>
        <w:rPr>
          <w:sz w:val="20"/>
        </w:rPr>
        <w:t>Auth: JWT in httpOnly cookies, bcrypt password hashing, 8-hour session expiry</w:t>
      </w:r>
    </w:p>
    <w:p>
      <w:pPr>
        <w:pStyle w:val="ListBullet"/>
      </w:pPr>
      <w:r>
        <w:rPr>
          <w:sz w:val="20"/>
        </w:rPr>
        <w:t>Data residency: EU (Frankfurt or Paris region, configurable)</w:t>
      </w:r>
    </w:p>
    <w:p>
      <w:pPr>
        <w:pStyle w:val="Heading3"/>
      </w:pPr>
      <w:r>
        <w:rPr>
          <w:b/>
          <w:color w:val="333333"/>
          <w:sz w:val="24"/>
        </w:rPr>
        <w:t>Option B: On-Premise / Private Cloud</w:t>
      </w:r>
    </w:p>
    <w:p>
      <w:r>
        <w:rPr>
          <w:sz w:val="20"/>
        </w:rPr>
        <w:t>Available for institutions with BNR data residency requirements or internal IT security policies that restrict SaaS deployments. Delivered as a Docker Compose stack deployable on your existing infrastructure.</w:t>
      </w:r>
    </w:p>
    <w:p>
      <w:r>
        <w:rPr>
          <w:sz w:val="20"/>
        </w:rPr>
        <w:t>Requirements: 2 vCPU / 4GB RAM minimum, PostgreSQL 15+, outbound HTTPS for optional ARM connectivity.</w:t>
      </w:r>
    </w:p>
    <w:p>
      <w:pPr>
        <w:pBdr>
          <w:bottom w:val="single" w:sz="6" w:space="1" w:color="1d4ed8"/>
        </w:pBdr>
      </w:pPr>
    </w:p>
    <w:p>
      <w:pPr>
        <w:pStyle w:val="Heading2"/>
      </w:pPr>
      <w:r>
        <w:rPr>
          <w:b/>
          <w:color w:val="1D4ED8"/>
          <w:sz w:val="28"/>
        </w:rPr>
        <w:t>Security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533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JWT (httpOnly cookie, Secure, SameSite=Strict), bcrypt password hashing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Session management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8-hour expiry, server-side invalidation on logout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Transport security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TLS 1.2+ enforced, HSTS enabled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API rate limiting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10 login attempts / 15 min; 120 write ops / min per session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Input validation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Server-side validation on all endpoints; parameterised queries throughout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Audit logging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Every API write operation produces an immutable audit event (timestamp, user, role, action, before/after state)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Role-based access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Four roles enforced server-side: Treasury Manager, Collateral Manager, Operations Analyst, Risk Reviewer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Data encryption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At-rest encryption on all database volumes (AES-256)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Penetration testing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Scheduled prior to first enterprise pilot go-live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SOC 2 Type II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Audit initiated Q4 2026; report available Q1 2027</w:t>
            </w:r>
          </w:p>
        </w:tc>
      </w:tr>
    </w:tbl>
    <w:p/>
    <w:p>
      <w:pPr>
        <w:pBdr>
          <w:bottom w:val="single" w:sz="6" w:space="1" w:color="1d4ed8"/>
        </w:pBdr>
      </w:pPr>
    </w:p>
    <w:p>
      <w:pPr>
        <w:pStyle w:val="Heading2"/>
      </w:pPr>
      <w:r>
        <w:rPr>
          <w:b/>
          <w:color w:val="1D4ED8"/>
          <w:sz w:val="28"/>
        </w:rPr>
        <w:t>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022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Can do</w:t>
            </w:r>
          </w:p>
        </w:tc>
        <w:tc>
          <w:tcPr>
            <w:tcW w:type="dxa" w:w="3022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Cannot do</w:t>
            </w:r>
          </w:p>
        </w:tc>
      </w:tr>
      <w:tr>
        <w:tc>
          <w:tcPr>
            <w:tcW w:type="dxa" w:w="3022"/>
            <w:shd w:val="clear" w:color="auto" w:fill="f0f4ff"/>
          </w:tcPr>
          <w:p>
            <w:r>
              <w:rPr>
                <w:sz w:val="18"/>
              </w:rPr>
              <w:t>Treasury Manager</w:t>
            </w:r>
          </w:p>
        </w:tc>
        <w:tc>
          <w:tcPr>
            <w:tcW w:type="dxa" w:w="3022"/>
            <w:shd w:val="clear" w:color="auto" w:fill="f0f4ff"/>
          </w:tcPr>
          <w:p>
            <w:r>
              <w:rPr>
                <w:sz w:val="18"/>
              </w:rPr>
              <w:t>Create, rollover, close repos; propose collateral substitution</w:t>
            </w:r>
          </w:p>
        </w:tc>
        <w:tc>
          <w:tcPr>
            <w:tcW w:type="dxa" w:w="3022"/>
            <w:shd w:val="clear" w:color="auto" w:fill="f0f4ff"/>
          </w:tcPr>
          <w:p>
            <w:r>
              <w:rPr>
                <w:sz w:val="18"/>
              </w:rPr>
              <w:t>Approve own top-ups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Collateral Manager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Approve margin top-ups; approve/reject substitutions; import assets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Create or close repos</w:t>
            </w:r>
          </w:p>
        </w:tc>
      </w:tr>
      <w:tr>
        <w:tc>
          <w:tcPr>
            <w:tcW w:type="dxa" w:w="3022"/>
            <w:shd w:val="clear" w:color="auto" w:fill="f0f4ff"/>
          </w:tcPr>
          <w:p>
            <w:r>
              <w:rPr>
                <w:sz w:val="18"/>
              </w:rPr>
              <w:t>Operations Analyst</w:t>
            </w:r>
          </w:p>
        </w:tc>
        <w:tc>
          <w:tcPr>
            <w:tcW w:type="dxa" w:w="3022"/>
            <w:shd w:val="clear" w:color="auto" w:fill="f0f4ff"/>
          </w:tcPr>
          <w:p>
            <w:r>
              <w:rPr>
                <w:sz w:val="18"/>
              </w:rPr>
              <w:t>Advance settlement instructions; view all data</w:t>
            </w:r>
          </w:p>
        </w:tc>
        <w:tc>
          <w:tcPr>
            <w:tcW w:type="dxa" w:w="3022"/>
            <w:shd w:val="clear" w:color="auto" w:fill="f0f4ff"/>
          </w:tcPr>
          <w:p>
            <w:r>
              <w:rPr>
                <w:sz w:val="18"/>
              </w:rPr>
              <w:t>Modify trades or collateral</w:t>
            </w:r>
          </w:p>
        </w:tc>
      </w:tr>
      <w:tr>
        <w:tc>
          <w:tcPr>
            <w:tcW w:type="dxa" w:w="3022"/>
          </w:tcPr>
          <w:p>
            <w:r>
              <w:rPr>
                <w:sz w:val="18"/>
              </w:rPr>
              <w:t>Risk Reviewer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Export reports; view all data</w:t>
            </w:r>
          </w:p>
        </w:tc>
        <w:tc>
          <w:tcPr>
            <w:tcW w:type="dxa" w:w="3022"/>
          </w:tcPr>
          <w:p>
            <w:r>
              <w:rPr>
                <w:sz w:val="18"/>
              </w:rPr>
              <w:t>Any write operation</w:t>
            </w:r>
          </w:p>
        </w:tc>
      </w:tr>
    </w:tbl>
    <w:p/>
    <w:p>
      <w:pPr>
        <w:pBdr>
          <w:bottom w:val="single" w:sz="6" w:space="1" w:color="1d4ed8"/>
        </w:pBdr>
      </w:pPr>
    </w:p>
    <w:p>
      <w:pPr>
        <w:pStyle w:val="Heading2"/>
      </w:pPr>
      <w:r>
        <w:rPr>
          <w:b/>
          <w:color w:val="1D4ED8"/>
          <w:sz w:val="28"/>
        </w:rPr>
        <w:t>Data Model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4533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Key fields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Assets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ISIN, type, market value, haircut, eligibility, custody location (SaFIR / Euroclear), encumbrance status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Repos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Counterparty, principal, rate, tenor, state, collateral basket, margin buffer, settlement status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Counterparties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LEI, GMRA version, credit limit, coverage ratio, MTA, settlement system</w:t>
            </w:r>
          </w:p>
        </w:tc>
      </w:tr>
      <w:tr>
        <w:tc>
          <w:tcPr>
            <w:tcW w:type="dxa" w:w="4533"/>
          </w:tcPr>
          <w:p>
            <w:r>
              <w:rPr>
                <w:sz w:val="18"/>
              </w:rPr>
              <w:t>Audit Events</w:t>
            </w:r>
          </w:p>
        </w:tc>
        <w:tc>
          <w:tcPr>
            <w:tcW w:type="dxa" w:w="4533"/>
          </w:tcPr>
          <w:p>
            <w:r>
              <w:rPr>
                <w:sz w:val="18"/>
              </w:rPr>
              <w:t>Timestamp, user, role, action, object ID, before-state, after-state, justification</w:t>
            </w:r>
          </w:p>
        </w:tc>
      </w:tr>
      <w:tr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4533"/>
            <w:shd w:val="clear" w:color="auto" w:fill="f0f4ff"/>
          </w:tcPr>
          <w:p>
            <w:r>
              <w:rPr>
                <w:sz w:val="18"/>
              </w:rPr>
              <w:t>Severity (Critical / Warning / Info), linked repo, SLA deadline, escalation state</w:t>
            </w:r>
          </w:p>
        </w:tc>
      </w:tr>
    </w:tbl>
    <w:p/>
    <w:p>
      <w:pPr>
        <w:pBdr>
          <w:bottom w:val="single" w:sz="6" w:space="1" w:color="1d4ed8"/>
        </w:pBdr>
      </w:pPr>
    </w:p>
    <w:p>
      <w:pPr>
        <w:pStyle w:val="Heading2"/>
      </w:pPr>
      <w:r>
        <w:rPr>
          <w:b/>
          <w:color w:val="1D4ED8"/>
          <w:sz w:val="28"/>
        </w:rPr>
        <w:t>Pilot Integration Scope</w:t>
      </w:r>
    </w:p>
    <w:p>
      <w:r>
        <w:rPr>
          <w:sz w:val="20"/>
        </w:rPr>
        <w:t>During the 6–8 week pilot, the integration workload on your IT team is minimal:</w:t>
      </w:r>
    </w:p>
    <w:p>
      <w:r>
        <w:rPr>
          <w:b/>
          <w:sz w:val="20"/>
        </w:rPr>
        <w:t>Week 1–2 (Setup):</w:t>
      </w:r>
      <w:r>
        <w:rPr>
          <w:b w:val="0"/>
          <w:sz w:val="20"/>
        </w:rPr>
        <w:t xml:space="preserve"> Provide a CSV export of your current asset universe and counterparty list. CollateralOS configures the platform to your exact haircut schedules, eligibility rules, and approval hierarchies.</w:t>
      </w:r>
    </w:p>
    <w:p>
      <w:r>
        <w:rPr>
          <w:b/>
          <w:sz w:val="20"/>
        </w:rPr>
        <w:t>Week 3–4 (Data flow):</w:t>
      </w:r>
      <w:r>
        <w:rPr>
          <w:b w:val="0"/>
          <w:sz w:val="20"/>
        </w:rPr>
        <w:t xml:space="preserve"> Establish the position data refresh cadence (daily CSV export or API hook). Validate that asset and repo data matches your source systems.</w:t>
      </w:r>
    </w:p>
    <w:p>
      <w:r>
        <w:rPr>
          <w:b/>
          <w:sz w:val="20"/>
        </w:rPr>
        <w:t>Week 5–8 (Go-live):</w:t>
      </w:r>
      <w:r>
        <w:rPr>
          <w:b w:val="0"/>
          <w:sz w:val="20"/>
        </w:rPr>
        <w:t xml:space="preserve"> Operations team runs live workflows alongside existing manual processes. Parallel run validates data accuracy and workflow coverage before cutover.</w:t>
      </w:r>
    </w:p>
    <w:p>
      <w:r>
        <w:rPr>
          <w:b/>
          <w:sz w:val="20"/>
        </w:rPr>
        <w:t>No core banking system changes required for the pilot.</w:t>
      </w:r>
      <w:r>
        <w:rPr>
          <w:b w:val="0"/>
          <w:sz w:val="20"/>
        </w:rPr>
      </w:r>
    </w:p>
    <w:p>
      <w:pPr>
        <w:pBdr>
          <w:bottom w:val="single" w:sz="6" w:space="1" w:color="1d4ed8"/>
        </w:pBdr>
      </w:pPr>
    </w:p>
    <w:p>
      <w:r>
        <w:rPr>
          <w:sz w:val="20"/>
        </w:rPr>
        <w:t>*CollateralOS · Technical documentation v2026.04 · collateralos.app*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