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1.3  ·  Application HeptagonesLM 26.1.0  ·  28/09/2026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1.3 du 28/09/2026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26.1.0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github.com/Valou94460/FREE-LM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Installation silencieuse et serveur hors ligne</w:t>
        </w:r>
        <w:r>
          <w:tab/>
        </w:r>
        <w:r>
          <w:t>21</w:t>
        </w:r>
      </w:hyperlink>
    </w:p>
    <w:p>
      <w:pPr>
        <w:pStyle w:val="TOC2"/>
      </w:pPr>
      <w:hyperlink w:anchor="_Toc00036" w:history="1">
        <w:r>
          <w:t xml:space="preserve">5.2 Installation manuelle</w:t>
        </w:r>
        <w:r>
          <w:tab/>
        </w:r>
        <w:r>
          <w:t>21</w:t>
        </w:r>
      </w:hyperlink>
    </w:p>
    <w:p>
      <w:pPr>
        <w:pStyle w:val="TOC3"/>
      </w:pPr>
      <w:hyperlink w:anchor="_Toc00037" w:history="1">
        <w:r>
          <w:t xml:space="preserve">5.2.1 Création de la base (DBA)</w:t>
        </w:r>
        <w:r>
          <w:tab/>
        </w:r>
        <w:r>
          <w:t>21</w:t>
        </w:r>
      </w:hyperlink>
    </w:p>
    <w:p>
      <w:pPr>
        <w:pStyle w:val="TOC3"/>
      </w:pPr>
      <w:hyperlink w:anchor="_Toc00038" w:history="1">
        <w:r>
          <w:t xml:space="preserve">5.2.2 Déploiement des binaires</w:t>
        </w:r>
        <w:r>
          <w:tab/>
        </w:r>
        <w:r>
          <w:t>22</w:t>
        </w:r>
      </w:hyperlink>
    </w:p>
    <w:p>
      <w:pPr>
        <w:pStyle w:val="TOC3"/>
      </w:pPr>
      <w:hyperlink w:anchor="_Toc00039" w:history="1">
        <w:r>
          <w:t xml:space="preserve">5.2.3 Configuration</w:t>
        </w:r>
        <w:r>
          <w:tab/>
        </w:r>
        <w:r>
          <w:t>22</w:t>
        </w:r>
      </w:hyperlink>
    </w:p>
    <w:p>
      <w:pPr>
        <w:pStyle w:val="TOC3"/>
      </w:pPr>
      <w:hyperlink w:anchor="_Toc00040" w:history="1">
        <w:r>
          <w:t xml:space="preserve">5.2.4 Initialisation du schéma</w:t>
        </w:r>
        <w:r>
          <w:tab/>
        </w:r>
        <w:r>
          <w:t>22</w:t>
        </w:r>
      </w:hyperlink>
    </w:p>
    <w:p>
      <w:pPr>
        <w:pStyle w:val="TOC3"/>
      </w:pPr>
      <w:hyperlink w:anchor="_Toc00041" w:history="1">
        <w:r>
          <w:t xml:space="preserve">5.2.5 Vérification des serveurs de licences</w:t>
        </w:r>
        <w:r>
          <w:tab/>
        </w:r>
        <w:r>
          <w:t>22</w:t>
        </w:r>
      </w:hyperlink>
    </w:p>
    <w:p>
      <w:pPr>
        <w:pStyle w:val="TOC3"/>
      </w:pPr>
      <w:hyperlink w:anchor="_Toc00042" w:history="1">
        <w:r>
          <w:t xml:space="preserve">5.2.6 Planification des tâches</w:t>
        </w:r>
        <w:r>
          <w:tab/>
        </w:r>
        <w:r>
          <w:t>22</w:t>
        </w:r>
      </w:hyperlink>
    </w:p>
    <w:p>
      <w:pPr>
        <w:pStyle w:val="TOC3"/>
      </w:pPr>
      <w:hyperlink w:anchor="_Toc00043" w:history="1">
        <w:r>
          <w:t xml:space="preserve">5.2.7 Référentiel utilisateurs</w:t>
        </w:r>
        <w:r>
          <w:tab/>
        </w:r>
        <w:r>
          <w:t>23</w:t>
        </w:r>
      </w:hyperlink>
    </w:p>
    <w:p>
      <w:pPr>
        <w:pStyle w:val="TOC3"/>
      </w:pPr>
      <w:hyperlink w:anchor="_Toc00044" w:history="1">
        <w:r>
          <w:t xml:space="preserve">5.2.8 Reprise d'historique (option)</w:t>
        </w:r>
        <w:r>
          <w:tab/>
        </w:r>
        <w:r>
          <w:t>23</w:t>
        </w:r>
      </w:hyperlink>
    </w:p>
    <w:p>
      <w:pPr>
        <w:pStyle w:val="TOC3"/>
      </w:pPr>
      <w:hyperlink w:anchor="_Toc00045" w:history="1">
        <w:r>
          <w:t xml:space="preserve">5.2.9 Ouverture de l'interface sur le réseau</w:t>
        </w:r>
        <w:r>
          <w:tab/>
        </w:r>
        <w:r>
          <w:t>23</w:t>
        </w:r>
      </w:hyperlink>
    </w:p>
    <w:p>
      <w:pPr>
        <w:pStyle w:val="TOC2"/>
      </w:pPr>
      <w:hyperlink w:anchor="_Toc00046" w:history="1">
        <w:r>
          <w:t xml:space="preserve">5.3 Recette de mise en service</w:t>
        </w:r>
        <w:r>
          <w:tab/>
        </w:r>
        <w:r>
          <w:t>23</w:t>
        </w:r>
      </w:hyperlink>
    </w:p>
    <w:p>
      <w:pPr>
        <w:pStyle w:val="TOC1"/>
      </w:pPr>
      <w:hyperlink w:anchor="_Toc00047" w:history="1">
        <w:r>
          <w:t xml:space="preserve">6. Configuration de référence</w:t>
        </w:r>
        <w:r>
          <w:tab/>
        </w:r>
        <w:r>
          <w:t>24</w:t>
        </w:r>
      </w:hyperlink>
    </w:p>
    <w:p>
      <w:pPr>
        <w:pStyle w:val="TOC2"/>
      </w:pPr>
      <w:hyperlink w:anchor="_Toc00048" w:history="1">
        <w:r>
          <w:t xml:space="preserve">6.1 Sections du fichier</w:t>
        </w:r>
        <w:r>
          <w:tab/>
        </w:r>
        <w:r>
          <w:t>24</w:t>
        </w:r>
      </w:hyperlink>
    </w:p>
    <w:p>
      <w:pPr>
        <w:pStyle w:val="TOC2"/>
      </w:pPr>
      <w:hyperlink w:anchor="_Toc00049" w:history="1">
        <w:r>
          <w:t xml:space="preserve">6.2 Paramètres détaillés</w:t>
        </w:r>
        <w:r>
          <w:tab/>
        </w:r>
        <w:r>
          <w:t>24</w:t>
        </w:r>
      </w:hyperlink>
    </w:p>
    <w:p>
      <w:pPr>
        <w:pStyle w:val="TOC3"/>
      </w:pPr>
      <w:hyperlink w:anchor="_Toc00050" w:history="1">
        <w:r>
          <w:t xml:space="preserve">database, lmutil_path, logging</w:t>
        </w:r>
        <w:r>
          <w:tab/>
        </w:r>
        <w:r>
          <w:t>24</w:t>
        </w:r>
      </w:hyperlink>
    </w:p>
    <w:p>
      <w:pPr>
        <w:pStyle w:val="TOC3"/>
      </w:pPr>
      <w:hyperlink w:anchor="_Toc00051" w:history="1">
        <w:r>
          <w:t xml:space="preserve">servers (un bloc par serveur de licences)</w:t>
        </w:r>
        <w:r>
          <w:tab/>
        </w:r>
        <w:r>
          <w:t>24</w:t>
        </w:r>
      </w:hyperlink>
    </w:p>
    <w:p>
      <w:pPr>
        <w:pStyle w:val="TOC3"/>
      </w:pPr>
      <w:hyperlink w:anchor="_Toc00052" w:history="1">
        <w:r>
          <w:t xml:space="preserve">products (règles de correspondance)</w:t>
        </w:r>
        <w:r>
          <w:tab/>
        </w:r>
        <w:r>
          <w:t>25</w:t>
        </w:r>
      </w:hyperlink>
    </w:p>
    <w:p>
      <w:pPr>
        <w:pStyle w:val="TOC3"/>
      </w:pPr>
      <w:hyperlink w:anchor="_Toc00053" w:history="1">
        <w:r>
          <w:t xml:space="preserve">reporting</w:t>
        </w:r>
        <w:r>
          <w:tab/>
        </w:r>
        <w:r>
          <w:t>25</w:t>
        </w:r>
      </w:hyperlink>
    </w:p>
    <w:p>
      <w:pPr>
        <w:pStyle w:val="TOC3"/>
      </w:pPr>
      <w:hyperlink w:anchor="_Toc00054" w:history="1">
        <w:r>
          <w:t xml:space="preserve">web et web.auth</w:t>
        </w:r>
        <w:r>
          <w:tab/>
        </w:r>
        <w:r>
          <w:t>25</w:t>
        </w:r>
      </w:hyperlink>
    </w:p>
    <w:p>
      <w:pPr>
        <w:pStyle w:val="TOC3"/>
      </w:pPr>
      <w:hyperlink w:anchor="_Toc00055" w:history="1">
        <w:r>
          <w:t xml:space="preserve">email</w:t>
        </w:r>
        <w:r>
          <w:tab/>
        </w:r>
        <w:r>
          <w:t>26</w:t>
        </w:r>
      </w:hyperlink>
    </w:p>
    <w:p>
      <w:pPr>
        <w:pStyle w:val="TOC3"/>
      </w:pPr>
      <w:hyperlink w:anchor="_Toc00056" w:history="1">
        <w:r>
          <w:t xml:space="preserve">retention</w:t>
        </w:r>
        <w:r>
          <w:tab/>
        </w:r>
        <w:r>
          <w:t>26</w:t>
        </w:r>
      </w:hyperlink>
    </w:p>
    <w:p>
      <w:pPr>
        <w:pStyle w:val="TOC2"/>
      </w:pPr>
      <w:hyperlink w:anchor="_Toc00057" w:history="1">
        <w:r>
          <w:t xml:space="preserve">6.3 Procédure de modification de la configuration</w:t>
        </w:r>
        <w:r>
          <w:tab/>
        </w:r>
        <w:r>
          <w:t>26</w:t>
        </w:r>
      </w:hyperlink>
    </w:p>
    <w:p>
      <w:pPr>
        <w:pStyle w:val="TOC1"/>
      </w:pPr>
      <w:hyperlink w:anchor="_Toc00058" w:history="1">
        <w:r>
          <w:t xml:space="preserve">7. Exploitation courante</w:t>
        </w:r>
        <w:r>
          <w:tab/>
        </w:r>
        <w:r>
          <w:t>27</w:t>
        </w:r>
      </w:hyperlink>
    </w:p>
    <w:p>
      <w:pPr>
        <w:pStyle w:val="TOC2"/>
      </w:pPr>
      <w:hyperlink w:anchor="_Toc00059" w:history="1">
        <w:r>
          <w:t xml:space="preserve">7.1 Ordonnancement</w:t>
        </w:r>
        <w:r>
          <w:tab/>
        </w:r>
        <w:r>
          <w:t>27</w:t>
        </w:r>
      </w:hyperlink>
    </w:p>
    <w:p>
      <w:pPr>
        <w:pStyle w:val="TOC2"/>
      </w:pPr>
      <w:hyperlink w:anchor="_Toc00060" w:history="1">
        <w:r>
          <w:t xml:space="preserve">7.2 Démarrage et arrêt</w:t>
        </w:r>
        <w:r>
          <w:tab/>
        </w:r>
        <w:r>
          <w:t>27</w:t>
        </w:r>
      </w:hyperlink>
    </w:p>
    <w:p>
      <w:pPr>
        <w:pStyle w:val="TOC2"/>
      </w:pPr>
      <w:hyperlink w:anchor="_Toc00061" w:history="1">
        <w:r>
          <w:t xml:space="preserve">7.3 Contrôles quotidiens (N1, 5 minutes)</w:t>
        </w:r>
        <w:r>
          <w:tab/>
        </w:r>
        <w:r>
          <w:t>27</w:t>
        </w:r>
      </w:hyperlink>
    </w:p>
    <w:p>
      <w:pPr>
        <w:pStyle w:val="TOC2"/>
      </w:pPr>
      <w:hyperlink w:anchor="_Toc00062" w:history="1">
        <w:r>
          <w:t xml:space="preserve">7.4 Contrôles hebdomadaires et mensuels (N2)</w:t>
        </w:r>
        <w:r>
          <w:tab/>
        </w:r>
        <w:r>
          <w:t>28</w:t>
        </w:r>
      </w:hyperlink>
    </w:p>
    <w:p>
      <w:pPr>
        <w:pStyle w:val="TOC2"/>
      </w:pPr>
      <w:hyperlink w:anchor="_Toc00063" w:history="1">
        <w:r>
          <w:t xml:space="preserve">7.5 Supervision</w:t>
        </w:r>
        <w:r>
          <w:tab/>
        </w:r>
        <w:r>
          <w:t>28</w:t>
        </w:r>
      </w:hyperlink>
    </w:p>
    <w:p>
      <w:pPr>
        <w:pStyle w:val="TOC2"/>
      </w:pPr>
      <w:hyperlink w:anchor="_Toc00064" w:history="1">
        <w:r>
          <w:t xml:space="preserve">7.6 Journaux</w:t>
        </w:r>
        <w:r>
          <w:tab/>
        </w:r>
        <w:r>
          <w:t>29</w:t>
        </w:r>
      </w:hyperlink>
    </w:p>
    <w:p>
      <w:pPr>
        <w:pStyle w:val="TOC2"/>
      </w:pPr>
      <w:hyperlink w:anchor="_Toc00065" w:history="1">
        <w:r>
          <w:t xml:space="preserve">7.7 Codes retour</w:t>
        </w:r>
        <w:r>
          <w:tab/>
        </w:r>
        <w:r>
          <w:t>29</w:t>
        </w:r>
      </w:hyperlink>
    </w:p>
    <w:p>
      <w:pPr>
        <w:pStyle w:val="TOC1"/>
      </w:pPr>
      <w:hyperlink w:anchor="_Toc00066" w:history="1">
        <w:r>
          <w:t xml:space="preserve">8. Utilisation de l'interface web</w:t>
        </w:r>
        <w:r>
          <w:tab/>
        </w:r>
        <w:r>
          <w:t>30</w:t>
        </w:r>
      </w:hyperlink>
    </w:p>
    <w:p>
      <w:pPr>
        <w:pStyle w:val="TOC2"/>
      </w:pPr>
      <w:hyperlink w:anchor="_Toc00067" w:history="1">
        <w:r>
          <w:t xml:space="preserve">8.1 Accès et connexion</w:t>
        </w:r>
        <w:r>
          <w:tab/>
        </w:r>
        <w:r>
          <w:t>30</w:t>
        </w:r>
      </w:hyperlink>
    </w:p>
    <w:p>
      <w:pPr>
        <w:pStyle w:val="TOC2"/>
      </w:pPr>
      <w:hyperlink w:anchor="_Toc00071" w:history="1">
        <w:r>
          <w:t xml:space="preserve">8.2 Navigation et filtres</w:t>
        </w:r>
        <w:r>
          <w:tab/>
        </w:r>
        <w:r>
          <w:t>31</w:t>
        </w:r>
      </w:hyperlink>
    </w:p>
    <w:p>
      <w:pPr>
        <w:pStyle w:val="TOC2"/>
      </w:pPr>
      <w:hyperlink w:anchor="_Toc00075" w:history="1">
        <w:r>
          <w:t xml:space="preserve">8.3 Tableau de bord</w:t>
        </w:r>
        <w:r>
          <w:tab/>
        </w:r>
        <w:r>
          <w:t>32</w:t>
        </w:r>
      </w:hyperlink>
    </w:p>
    <w:p>
      <w:pPr>
        <w:pStyle w:val="TOC3"/>
      </w:pPr>
      <w:hyperlink w:anchor="_Toc00077" w:history="1">
        <w:r>
          <w:t xml:space="preserve">Alertes</w:t>
        </w:r>
        <w:r>
          <w:tab/>
        </w:r>
        <w:r>
          <w:t>33</w:t>
        </w:r>
      </w:hyperlink>
    </w:p>
    <w:p>
      <w:pPr>
        <w:pStyle w:val="TOC3"/>
      </w:pPr>
      <w:hyperlink w:anchor="_Toc00079" w:history="1">
        <w:r>
          <w:t xml:space="preserve">Indicateurs clés</w:t>
        </w:r>
        <w:r>
          <w:tab/>
        </w:r>
        <w:r>
          <w:t>34</w:t>
        </w:r>
      </w:hyperlink>
    </w:p>
    <w:p>
      <w:pPr>
        <w:pStyle w:val="TOC3"/>
      </w:pPr>
      <w:hyperlink w:anchor="_Toc00081" w:history="1">
        <w:r>
          <w:t xml:space="preserve">Blocs de détail</w:t>
        </w:r>
        <w:r>
          <w:tab/>
        </w:r>
        <w:r>
          <w:t>34</w:t>
        </w:r>
      </w:hyperlink>
    </w:p>
    <w:p>
      <w:pPr>
        <w:pStyle w:val="TOC2"/>
      </w:pPr>
      <w:hyperlink w:anchor="_Toc00083" w:history="1">
        <w:r>
          <w:t xml:space="preserve">8.4 En direct</w:t>
        </w:r>
        <w:r>
          <w:tab/>
        </w:r>
        <w:r>
          <w:t>35</w:t>
        </w:r>
      </w:hyperlink>
    </w:p>
    <w:p>
      <w:pPr>
        <w:pStyle w:val="TOC2"/>
      </w:pPr>
      <w:hyperlink w:anchor="_Toc00085" w:history="1">
        <w:r>
          <w:t xml:space="preserve">8.5 Rapports d'analyse</w:t>
        </w:r>
        <w:r>
          <w:tab/>
        </w:r>
        <w:r>
          <w:t>36</w:t>
        </w:r>
      </w:hyperlink>
    </w:p>
    <w:p>
      <w:pPr>
        <w:pStyle w:val="TOC2"/>
      </w:pPr>
      <w:hyperlink w:anchor="_Toc00091" w:history="1">
        <w:r>
          <w:t xml:space="preserve">8.6 Optimisation</w:t>
        </w:r>
        <w:r>
          <w:tab/>
        </w:r>
        <w:r>
          <w:t>39</w:t>
        </w:r>
      </w:hyperlink>
    </w:p>
    <w:p>
      <w:pPr>
        <w:pStyle w:val="TOC2"/>
      </w:pPr>
      <w:hyperlink w:anchor="_Toc00097" w:history="1">
        <w:r>
          <w:t xml:space="preserve">8.7 Données</w:t>
        </w:r>
        <w:r>
          <w:tab/>
        </w:r>
        <w:r>
          <w:t>42</w:t>
        </w:r>
      </w:hyperlink>
    </w:p>
    <w:p>
      <w:pPr>
        <w:pStyle w:val="TOC2"/>
      </w:pPr>
      <w:hyperlink w:anchor="_Toc00100" w:history="1">
        <w:r>
          <w:t xml:space="preserve">8.8 Exports</w:t>
        </w:r>
        <w:r>
          <w:tab/>
        </w:r>
        <w:r>
          <w:t>44</w:t>
        </w:r>
      </w:hyperlink>
    </w:p>
    <w:p>
      <w:pPr>
        <w:pStyle w:val="TOC2"/>
      </w:pPr>
      <w:hyperlink w:anchor="_Toc00101" w:history="1">
        <w:r>
          <w:t xml:space="preserve">8.9 Thème et affichage mobile</w:t>
        </w:r>
        <w:r>
          <w:tab/>
        </w:r>
        <w:r>
          <w:t>44</w:t>
        </w:r>
      </w:hyperlink>
    </w:p>
    <w:p>
      <w:pPr>
        <w:pStyle w:val="TOC2"/>
      </w:pPr>
      <w:hyperlink w:anchor="_Toc00104" w:history="1">
        <w:r>
          <w:t xml:space="preserve">8.10 Rapport Excel mensuel</w:t>
        </w:r>
        <w:r>
          <w:tab/>
        </w:r>
        <w:r>
          <w:t>45</w:t>
        </w:r>
      </w:hyperlink>
    </w:p>
    <w:p>
      <w:pPr>
        <w:pStyle w:val="TOC2"/>
      </w:pPr>
      <w:hyperlink w:anchor="_Toc00105" w:history="1">
        <w:r>
          <w:t xml:space="preserve">8.11 Rapport par e-mail</w:t>
        </w:r>
        <w:r>
          <w:tab/>
        </w:r>
        <w:r>
          <w:t>45</w:t>
        </w:r>
      </w:hyperlink>
    </w:p>
    <w:p>
      <w:pPr>
        <w:pStyle w:val="TOC1"/>
      </w:pPr>
      <w:hyperlink w:anchor="_Toc00107" w:history="1">
        <w:r>
          <w:t xml:space="preserve">9. Sauvegarde, restauration et rétention</w:t>
        </w:r>
        <w:r>
          <w:tab/>
        </w:r>
        <w:r>
          <w:t>47</w:t>
        </w:r>
      </w:hyperlink>
    </w:p>
    <w:p>
      <w:pPr>
        <w:pStyle w:val="TOC2"/>
      </w:pPr>
      <w:hyperlink w:anchor="_Toc00108" w:history="1">
        <w:r>
          <w:t xml:space="preserve">9.1 Éléments à sauvegarder</w:t>
        </w:r>
        <w:r>
          <w:tab/>
        </w:r>
        <w:r>
          <w:t>47</w:t>
        </w:r>
      </w:hyperlink>
    </w:p>
    <w:p>
      <w:pPr>
        <w:pStyle w:val="TOC2"/>
      </w:pPr>
      <w:hyperlink w:anchor="_Toc00109" w:history="1">
        <w:r>
          <w:t xml:space="preserve">9.2 Politique de rétention</w:t>
        </w:r>
        <w:r>
          <w:tab/>
        </w:r>
        <w:r>
          <w:t>47</w:t>
        </w:r>
      </w:hyperlink>
    </w:p>
    <w:p>
      <w:pPr>
        <w:pStyle w:val="TOC2"/>
      </w:pPr>
      <w:hyperlink w:anchor="_Toc00110" w:history="1">
        <w:r>
          <w:t xml:space="preserve">9.3 Procédure de sauvegarde SQL</w:t>
        </w:r>
        <w:r>
          <w:tab/>
        </w:r>
        <w:r>
          <w:t>47</w:t>
        </w:r>
      </w:hyperlink>
    </w:p>
    <w:p>
      <w:pPr>
        <w:pStyle w:val="TOC2"/>
      </w:pPr>
      <w:hyperlink w:anchor="_Toc00111" w:history="1">
        <w:r>
          <w:t xml:space="preserve">9.4 Procédure de restauration</w:t>
        </w:r>
        <w:r>
          <w:tab/>
        </w:r>
        <w:r>
          <w:t>47</w:t>
        </w:r>
      </w:hyperlink>
    </w:p>
    <w:p>
      <w:pPr>
        <w:pStyle w:val="TOC2"/>
      </w:pPr>
      <w:hyperlink w:anchor="_Toc00112" w:history="1">
        <w:r>
          <w:t xml:space="preserve">9.5 Purge manuelle</w:t>
        </w:r>
        <w:r>
          <w:tab/>
        </w:r>
        <w:r>
          <w:t>48</w:t>
        </w:r>
      </w:hyperlink>
    </w:p>
    <w:p>
      <w:pPr>
        <w:pStyle w:val="TOC1"/>
      </w:pPr>
      <w:hyperlink w:anchor="_Toc00113" w:history="1">
        <w:r>
          <w:t xml:space="preserve">10. Sécurité</w:t>
        </w:r>
        <w:r>
          <w:tab/>
        </w:r>
        <w:r>
          <w:t>49</w:t>
        </w:r>
      </w:hyperlink>
    </w:p>
    <w:p>
      <w:pPr>
        <w:pStyle w:val="TOC2"/>
      </w:pPr>
      <w:hyperlink w:anchor="_Toc00114" w:history="1">
        <w:r>
          <w:t xml:space="preserve">10.1 Principes</w:t>
        </w:r>
        <w:r>
          <w:tab/>
        </w:r>
        <w:r>
          <w:t>49</w:t>
        </w:r>
      </w:hyperlink>
    </w:p>
    <w:p>
      <w:pPr>
        <w:pStyle w:val="TOC2"/>
      </w:pPr>
      <w:hyperlink w:anchor="_Toc00115" w:history="1">
        <w:r>
          <w:t xml:space="preserve">10.2 Authentification et habilitations</w:t>
        </w:r>
        <w:r>
          <w:tab/>
        </w:r>
        <w:r>
          <w:t>49</w:t>
        </w:r>
      </w:hyperlink>
    </w:p>
    <w:p>
      <w:pPr>
        <w:pStyle w:val="TOC2"/>
      </w:pPr>
      <w:hyperlink w:anchor="_Toc00116" w:history="1">
        <w:r>
          <w:t xml:space="preserve">10.3 Chiffrement</w:t>
        </w:r>
        <w:r>
          <w:tab/>
        </w:r>
        <w:r>
          <w:t>49</w:t>
        </w:r>
      </w:hyperlink>
    </w:p>
    <w:p>
      <w:pPr>
        <w:pStyle w:val="TOC2"/>
      </w:pPr>
      <w:hyperlink w:anchor="_Toc00117" w:history="1">
        <w:r>
          <w:t xml:space="preserve">10.4 Traçabilité</w:t>
        </w:r>
        <w:r>
          <w:tab/>
        </w:r>
        <w:r>
          <w:t>49</w:t>
        </w:r>
      </w:hyperlink>
    </w:p>
    <w:p>
      <w:pPr>
        <w:pStyle w:val="TOC2"/>
      </w:pPr>
      <w:hyperlink w:anchor="_Toc00118" w:history="1">
        <w:r>
          <w:t xml:space="preserve">10.5 Données personnelles</w:t>
        </w:r>
        <w:r>
          <w:tab/>
        </w:r>
        <w:r>
          <w:t>50</w:t>
        </w:r>
      </w:hyperlink>
    </w:p>
    <w:p>
      <w:pPr>
        <w:pStyle w:val="TOC2"/>
      </w:pPr>
      <w:hyperlink w:anchor="_Toc00119" w:history="1">
        <w:r>
          <w:t xml:space="preserve">10.6 Liste de contrôle de déploiement</w:t>
        </w:r>
        <w:r>
          <w:tab/>
        </w:r>
        <w:r>
          <w:t>50</w:t>
        </w:r>
      </w:hyperlink>
    </w:p>
    <w:p>
      <w:pPr>
        <w:pStyle w:val="TOC2"/>
      </w:pPr>
      <w:hyperlink w:anchor="_Toc00120" w:history="1">
        <w:r>
          <w:t xml:space="preserve">10.7 Risques résiduels</w:t>
        </w:r>
        <w:r>
          <w:tab/>
        </w:r>
        <w:r>
          <w:t>50</w:t>
        </w:r>
      </w:hyperlink>
    </w:p>
    <w:p>
      <w:pPr>
        <w:pStyle w:val="TOC1"/>
      </w:pPr>
      <w:hyperlink w:anchor="_Toc00121" w:history="1">
        <w:r>
          <w:t xml:space="preserve">11. Gestion des incidents</w:t>
        </w:r>
        <w:r>
          <w:tab/>
        </w:r>
        <w:r>
          <w:t>51</w:t>
        </w:r>
      </w:hyperlink>
    </w:p>
    <w:p>
      <w:pPr>
        <w:pStyle w:val="TOC2"/>
      </w:pPr>
      <w:hyperlink w:anchor="_Toc00122" w:history="1">
        <w:r>
          <w:t xml:space="preserve">11.1 Démarche de diagnostic</w:t>
        </w:r>
        <w:r>
          <w:tab/>
        </w:r>
        <w:r>
          <w:t>51</w:t>
        </w:r>
      </w:hyperlink>
    </w:p>
    <w:p>
      <w:pPr>
        <w:pStyle w:val="TOC2"/>
      </w:pPr>
      <w:hyperlink w:anchor="_Toc00123" w:history="1">
        <w:r>
          <w:t xml:space="preserve">11.2 Incidents courants</w:t>
        </w:r>
        <w:r>
          <w:tab/>
        </w:r>
        <w:r>
          <w:t>51</w:t>
        </w:r>
      </w:hyperlink>
    </w:p>
    <w:p>
      <w:pPr>
        <w:pStyle w:val="TOC2"/>
      </w:pPr>
      <w:hyperlink w:anchor="_Toc00124" w:history="1">
        <w:r>
          <w:t xml:space="preserve">11.3 Commandes de diagnostic</w:t>
        </w:r>
        <w:r>
          <w:tab/>
        </w:r>
        <w:r>
          <w:t>52</w:t>
        </w:r>
      </w:hyperlink>
    </w:p>
    <w:p>
      <w:pPr>
        <w:pStyle w:val="TOC2"/>
      </w:pPr>
      <w:hyperlink w:anchor="_Toc00125" w:history="1">
        <w:r>
          <w:t xml:space="preserve">11.4 Escalade</w:t>
        </w:r>
        <w:r>
          <w:tab/>
        </w:r>
        <w:r>
          <w:t>52</w:t>
        </w:r>
      </w:hyperlink>
    </w:p>
    <w:p>
      <w:pPr>
        <w:pStyle w:val="TOC1"/>
      </w:pPr>
      <w:hyperlink w:anchor="_Toc00126" w:history="1">
        <w:r>
          <w:t xml:space="preserve">12. Maintenance et évolutions</w:t>
        </w:r>
        <w:r>
          <w:tab/>
        </w:r>
        <w:r>
          <w:t>54</w:t>
        </w:r>
      </w:hyperlink>
    </w:p>
    <w:p>
      <w:pPr>
        <w:pStyle w:val="TOC2"/>
      </w:pPr>
      <w:hyperlink w:anchor="_Toc00127" w:history="1">
        <w:r>
          <w:t xml:space="preserve">12.1 Mise à jour de version</w:t>
        </w:r>
        <w:r>
          <w:tab/>
        </w:r>
        <w:r>
          <w:t>54</w:t>
        </w:r>
      </w:hyperlink>
    </w:p>
    <w:p>
      <w:pPr>
        <w:pStyle w:val="TOC2"/>
      </w:pPr>
      <w:hyperlink w:anchor="_Toc00128" w:history="1">
        <w:r>
          <w:t xml:space="preserve">12.2 Ajout d'un serveur de licences</w:t>
        </w:r>
        <w:r>
          <w:tab/>
        </w:r>
        <w:r>
          <w:t>54</w:t>
        </w:r>
      </w:hyperlink>
    </w:p>
    <w:p>
      <w:pPr>
        <w:pStyle w:val="TOC2"/>
      </w:pPr>
      <w:hyperlink w:anchor="_Toc00129" w:history="1">
        <w:r>
          <w:t xml:space="preserve">12.3 Produits, coûts et abonnements</w:t>
        </w:r>
        <w:r>
          <w:tab/>
        </w:r>
        <w:r>
          <w:t>54</w:t>
        </w:r>
      </w:hyperlink>
    </w:p>
    <w:p>
      <w:pPr>
        <w:pStyle w:val="TOC2"/>
      </w:pPr>
      <w:hyperlink w:anchor="_Toc00130" w:history="1">
        <w:r>
          <w:t xml:space="preserve">12.4 Renouvellement des certificats</w:t>
        </w:r>
        <w:r>
          <w:tab/>
        </w:r>
        <w:r>
          <w:t>54</w:t>
        </w:r>
      </w:hyperlink>
    </w:p>
    <w:p>
      <w:pPr>
        <w:pStyle w:val="TOC2"/>
      </w:pPr>
      <w:hyperlink w:anchor="_Toc00131" w:history="1">
        <w:r>
          <w:t xml:space="preserve">12.5 Compte de service</w:t>
        </w:r>
        <w:r>
          <w:tab/>
        </w:r>
        <w:r>
          <w:t>54</w:t>
        </w:r>
      </w:hyperlink>
    </w:p>
    <w:p>
      <w:pPr>
        <w:pStyle w:val="TOC2"/>
      </w:pPr>
      <w:hyperlink w:anchor="_Toc00132" w:history="1">
        <w:r>
          <w:t xml:space="preserve">12.6 Ajout d'un autre gestionnaire de licences</w:t>
        </w:r>
        <w:r>
          <w:tab/>
        </w:r>
        <w:r>
          <w:t>55</w:t>
        </w:r>
      </w:hyperlink>
    </w:p>
    <w:p>
      <w:pPr>
        <w:pStyle w:val="TOC1"/>
      </w:pPr>
      <w:hyperlink w:anchor="_Toc00133" w:history="1">
        <w:r>
          <w:t xml:space="preserve">13. Continuité et reprise d'activité</w:t>
        </w:r>
        <w:r>
          <w:tab/>
        </w:r>
        <w:r>
          <w:t>56</w:t>
        </w:r>
      </w:hyperlink>
    </w:p>
    <w:p>
      <w:pPr>
        <w:pStyle w:val="TOC2"/>
      </w:pPr>
      <w:hyperlink w:anchor="_Toc00134" w:history="1">
        <w:r>
          <w:t xml:space="preserve">13.1 Impact d'une indisponibilité</w:t>
        </w:r>
        <w:r>
          <w:tab/>
        </w:r>
        <w:r>
          <w:t>56</w:t>
        </w:r>
      </w:hyperlink>
    </w:p>
    <w:p>
      <w:pPr>
        <w:pStyle w:val="TOC2"/>
      </w:pPr>
      <w:hyperlink w:anchor="_Toc00135" w:history="1">
        <w:r>
          <w:t xml:space="preserve">13.2 Scénarios de reprise</w:t>
        </w:r>
        <w:r>
          <w:tab/>
        </w:r>
        <w:r>
          <w:t>56</w:t>
        </w:r>
      </w:hyperlink>
    </w:p>
    <w:p>
      <w:pPr>
        <w:pStyle w:val="TOC2"/>
      </w:pPr>
      <w:hyperlink w:anchor="_Toc00136" w:history="1">
        <w:r>
          <w:t xml:space="preserve">13.3 Reconstruction complète</w:t>
        </w:r>
        <w:r>
          <w:tab/>
        </w:r>
        <w:r>
          <w:t>56</w:t>
        </w:r>
      </w:hyperlink>
    </w:p>
    <w:p>
      <w:pPr>
        <w:pStyle w:val="TOC1"/>
      </w:pPr>
      <w:hyperlink w:anchor="_Toc00137" w:history="1">
        <w:r>
          <w:t xml:space="preserve">14. Contacts et responsabilités</w:t>
        </w:r>
        <w:r>
          <w:tab/>
        </w:r>
        <w:r>
          <w:t>57</w:t>
        </w:r>
      </w:hyperlink>
    </w:p>
    <w:p>
      <w:pPr>
        <w:pStyle w:val="TOC2"/>
      </w:pPr>
      <w:hyperlink w:anchor="_Toc00138" w:history="1">
        <w:r>
          <w:t xml:space="preserve">14.1 Contacts</w:t>
        </w:r>
        <w:r>
          <w:tab/>
        </w:r>
        <w:r>
          <w:t>57</w:t>
        </w:r>
      </w:hyperlink>
    </w:p>
    <w:p>
      <w:pPr>
        <w:pStyle w:val="TOC2"/>
      </w:pPr>
      <w:hyperlink w:anchor="_Toc00139" w:history="1">
        <w:r>
          <w:t xml:space="preserve">14.2 Matrice des responsabilités (RACI)</w:t>
        </w:r>
        <w:r>
          <w:tab/>
        </w:r>
        <w:r>
          <w:t>57</w:t>
        </w:r>
      </w:hyperlink>
    </w:p>
    <w:p>
      <w:pPr>
        <w:pStyle w:val="TOC1"/>
      </w:pPr>
      <w:hyperlink w:anchor="_Toc00140" w:history="1">
        <w:r>
          <w:t xml:space="preserve">Annexe A. Référence des commandes</w:t>
        </w:r>
        <w:r>
          <w:tab/>
        </w:r>
        <w:r>
          <w:t>58</w:t>
        </w:r>
      </w:hyperlink>
    </w:p>
    <w:p>
      <w:pPr>
        <w:pStyle w:val="TOC1"/>
      </w:pPr>
      <w:hyperlink w:anchor="_Toc00141" w:history="1">
        <w:r>
          <w:t xml:space="preserve">Annexe B. Exemple de configuration</w:t>
        </w:r>
        <w:r>
          <w:tab/>
        </w:r>
        <w:r>
          <w:t>59</w:t>
        </w:r>
      </w:hyperlink>
    </w:p>
    <w:p>
      <w:pPr>
        <w:pStyle w:val="TOC1"/>
      </w:pPr>
      <w:hyperlink w:anchor="_Toc00142" w:history="1">
        <w:r>
          <w:t xml:space="preserve">Annexe C. Requêtes SQL utiles</w:t>
        </w:r>
        <w:r>
          <w:tab/>
        </w:r>
        <w:r>
          <w:t>61</w:t>
        </w:r>
      </w:hyperlink>
    </w:p>
    <w:p>
      <w:pPr>
        <w:pStyle w:val="TOC1"/>
      </w:pPr>
      <w:hyperlink w:anchor="_Toc00143" w:history="1">
        <w:r>
          <w:t xml:space="preserve">Annexe D. Fiche de contrôle quotidien</w:t>
        </w:r>
        <w:r>
          <w:tab/>
        </w:r>
        <w:r>
          <w:t>62</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68" w:history="1">
        <w:r>
          <w:t xml:space="preserve">Figure 10 – Page de connexion</w:t>
        </w:r>
        <w:r>
          <w:tab/>
        </w:r>
        <w:r>
          <w:t>30</w:t>
        </w:r>
      </w:hyperlink>
    </w:p>
    <w:p>
      <w:pPr>
        <w:pStyle w:val="TableofFigures"/>
      </w:pPr>
      <w:hyperlink w:anchor="_Fig00069" w:history="1">
        <w:r>
          <w:t xml:space="preserve">Figure 11 – Message d'erreur de connexion</w:t>
        </w:r>
        <w:r>
          <w:tab/>
        </w:r>
        <w:r>
          <w:t>31</w:t>
        </w:r>
      </w:hyperlink>
    </w:p>
    <w:p>
      <w:pPr>
        <w:pStyle w:val="TableofFigures"/>
      </w:pPr>
      <w:hyperlink w:anchor="_Fig00070" w:history="1">
        <w:r>
          <w:t xml:space="preserve">Figure 12 – En-tête : badge d'état des collectes et utilisateur connecté</w:t>
        </w:r>
        <w:r>
          <w:tab/>
        </w:r>
        <w:r>
          <w:t>31</w:t>
        </w:r>
      </w:hyperlink>
    </w:p>
    <w:p>
      <w:pPr>
        <w:pStyle w:val="TableofFigures"/>
      </w:pPr>
      <w:hyperlink w:anchor="_Fig00072" w:history="1">
        <w:r>
          <w:t xml:space="preserve">Figure 13 – Barre latérale de navigation</w:t>
        </w:r>
        <w:r>
          <w:tab/>
        </w:r>
        <w:r>
          <w:t>32</w:t>
        </w:r>
      </w:hyperlink>
    </w:p>
    <w:p>
      <w:pPr>
        <w:pStyle w:val="TableofFigures"/>
      </w:pPr>
      <w:hyperlink w:anchor="_Fig00073" w:history="1">
        <w:r>
          <w:t xml:space="preserve">Figure 14 – Barre de filtres et boutons d'export</w:t>
        </w:r>
        <w:r>
          <w:tab/>
        </w:r>
        <w:r>
          <w:t>32</w:t>
        </w:r>
      </w:hyperlink>
    </w:p>
    <w:p>
      <w:pPr>
        <w:pStyle w:val="TableofFigures"/>
      </w:pPr>
      <w:hyperlink w:anchor="_Fig00074" w:history="1">
        <w:r>
          <w:t xml:space="preserve">Figure 15 – Sélection multiple avec recherche (filtre Produits)</w:t>
        </w:r>
        <w:r>
          <w:tab/>
        </w:r>
        <w:r>
          <w:t>32</w:t>
        </w:r>
      </w:hyperlink>
    </w:p>
    <w:p>
      <w:pPr>
        <w:pStyle w:val="TableofFigures"/>
      </w:pPr>
      <w:hyperlink w:anchor="_Fig00076" w:history="1">
        <w:r>
          <w:t xml:space="preserve">Figure 16 – Tableau de bord complet</w:t>
        </w:r>
        <w:r>
          <w:tab/>
        </w:r>
        <w:r>
          <w:t>33</w:t>
        </w:r>
      </w:hyperlink>
    </w:p>
    <w:p>
      <w:pPr>
        <w:pStyle w:val="TableofFigures"/>
      </w:pPr>
      <w:hyperlink w:anchor="_Fig00078" w:history="1">
        <w:r>
          <w:t xml:space="preserve">Figure 17 – Bandeau d'alertes</w:t>
        </w:r>
        <w:r>
          <w:tab/>
        </w:r>
        <w:r>
          <w:t>34</w:t>
        </w:r>
      </w:hyperlink>
    </w:p>
    <w:p>
      <w:pPr>
        <w:pStyle w:val="TableofFigures"/>
      </w:pPr>
      <w:hyperlink w:anchor="_Fig00080" w:history="1">
        <w:r>
          <w:t xml:space="preserve">Figure 18 – Indicateurs clés</w:t>
        </w:r>
        <w:r>
          <w:tab/>
        </w:r>
        <w:r>
          <w:t>34</w:t>
        </w:r>
      </w:hyperlink>
    </w:p>
    <w:p>
      <w:pPr>
        <w:pStyle w:val="TableofFigures"/>
      </w:pPr>
      <w:hyperlink w:anchor="_Fig00082" w:history="1">
        <w:r>
          <w:t xml:space="preserve">Figure 19 – Bloc « Serveurs et échéances »</w:t>
        </w:r>
        <w:r>
          <w:tab/>
        </w:r>
        <w:r>
          <w:t>35</w:t>
        </w:r>
      </w:hyperlink>
    </w:p>
    <w:p>
      <w:pPr>
        <w:pStyle w:val="TableofFigures"/>
      </w:pPr>
      <w:hyperlink w:anchor="_Fig00084" w:history="1">
        <w:r>
          <w:t xml:space="preserve">Figure 20 – Vue En direct</w:t>
        </w:r>
        <w:r>
          <w:tab/>
        </w:r>
        <w:r>
          <w:t>36</w:t>
        </w:r>
      </w:hyperlink>
    </w:p>
    <w:p>
      <w:pPr>
        <w:pStyle w:val="TableofFigures"/>
      </w:pPr>
      <w:hyperlink w:anchor="_Fig00086" w:history="1">
        <w:r>
          <w:t xml:space="preserve">Figure 21 – Synthèse par produit</w:t>
        </w:r>
        <w:r>
          <w:tab/>
        </w:r>
        <w:r>
          <w:t>37</w:t>
        </w:r>
      </w:hyperlink>
    </w:p>
    <w:p>
      <w:pPr>
        <w:pStyle w:val="TableofFigures"/>
      </w:pPr>
      <w:hyperlink w:anchor="_Fig00087" w:history="1">
        <w:r>
          <w:t xml:space="preserve">Figure 22 – Usage dans le temps (taux d'occupation journalier)</w:t>
        </w:r>
        <w:r>
          <w:tab/>
        </w:r>
        <w:r>
          <w:t>38</w:t>
        </w:r>
      </w:hyperlink>
    </w:p>
    <w:p>
      <w:pPr>
        <w:pStyle w:val="TableofFigures"/>
      </w:pPr>
      <w:hyperlink w:anchor="_Fig00088" w:history="1">
        <w:r>
          <w:t xml:space="preserve">Figure 23 – Répartition par service (refacturation)</w:t>
        </w:r>
        <w:r>
          <w:tab/>
        </w:r>
        <w:r>
          <w:t>38</w:t>
        </w:r>
      </w:hyperlink>
    </w:p>
    <w:p>
      <w:pPr>
        <w:pStyle w:val="TableofFigures"/>
      </w:pPr>
      <w:hyperlink w:anchor="_Fig00089" w:history="1">
        <w:r>
          <w:t xml:space="preserve">Figure 24 – Croisement service × produit</w:t>
        </w:r>
        <w:r>
          <w:tab/>
        </w:r>
        <w:r>
          <w:t>39</w:t>
        </w:r>
      </w:hyperlink>
    </w:p>
    <w:p>
      <w:pPr>
        <w:pStyle w:val="TableofFigures"/>
      </w:pPr>
      <w:hyperlink w:anchor="_Fig00090" w:history="1">
        <w:r>
          <w:t xml:space="preserve">Figure 25 – Profil horaire</w:t>
        </w:r>
        <w:r>
          <w:tab/>
        </w:r>
        <w:r>
          <w:t>39</w:t>
        </w:r>
      </w:hyperlink>
    </w:p>
    <w:p>
      <w:pPr>
        <w:pStyle w:val="TableofFigures"/>
      </w:pPr>
      <w:hyperlink w:anchor="_Fig00092" w:history="1">
        <w:r>
          <w:t xml:space="preserve">Figure 26 – Efficacité des jetons (comparaison des produits)</w:t>
        </w:r>
        <w:r>
          <w:tab/>
        </w:r>
        <w:r>
          <w:t>40</w:t>
        </w:r>
      </w:hyperlink>
    </w:p>
    <w:p>
      <w:pPr>
        <w:pStyle w:val="TableofFigures"/>
      </w:pPr>
      <w:hyperlink w:anchor="_Fig00093" w:history="1">
        <w:r>
          <w:t xml:space="preserve">Figure 27 – Efficacité d'un produit (MATLAB) en nombre de jetons</w:t>
        </w:r>
        <w:r>
          <w:tab/>
        </w:r>
        <w:r>
          <w:t>40</w:t>
        </w:r>
      </w:hyperlink>
    </w:p>
    <w:p>
      <w:pPr>
        <w:pStyle w:val="TableofFigures"/>
      </w:pPr>
      <w:hyperlink w:anchor="_Fig00094" w:history="1">
        <w:r>
          <w:t xml:space="preserve">Figure 28 – Optimisation et coûts</w:t>
        </w:r>
        <w:r>
          <w:tab/>
        </w:r>
        <w:r>
          <w:t>41</w:t>
        </w:r>
      </w:hyperlink>
    </w:p>
    <w:p>
      <w:pPr>
        <w:pStyle w:val="TableofFigures"/>
      </w:pPr>
      <w:hyperlink w:anchor="_Fig00095" w:history="1">
        <w:r>
          <w:t xml:space="preserve">Figure 29 – Contention</w:t>
        </w:r>
        <w:r>
          <w:tab/>
        </w:r>
        <w:r>
          <w:t>42</w:t>
        </w:r>
      </w:hyperlink>
    </w:p>
    <w:p>
      <w:pPr>
        <w:pStyle w:val="TableofFigures"/>
      </w:pPr>
      <w:hyperlink w:anchor="_Fig00096" w:history="1">
        <w:r>
          <w:t xml:space="preserve">Figure 30 – Refus de licence</w:t>
        </w:r>
        <w:r>
          <w:tab/>
        </w:r>
        <w:r>
          <w:t>42</w:t>
        </w:r>
      </w:hyperlink>
    </w:p>
    <w:p>
      <w:pPr>
        <w:pStyle w:val="TableofFigures"/>
      </w:pPr>
      <w:hyperlink w:anchor="_Fig00098" w:history="1">
        <w:r>
          <w:t xml:space="preserve">Figure 31 – Sessions</w:t>
        </w:r>
        <w:r>
          <w:tab/>
        </w:r>
        <w:r>
          <w:t>43</w:t>
        </w:r>
      </w:hyperlink>
    </w:p>
    <w:p>
      <w:pPr>
        <w:pStyle w:val="TableofFigures"/>
      </w:pPr>
      <w:hyperlink w:anchor="_Fig00099" w:history="1">
        <w:r>
          <w:t xml:space="preserve">Figure 32 – Journal des collectes</w:t>
        </w:r>
        <w:r>
          <w:tab/>
        </w:r>
        <w:r>
          <w:t>43</w:t>
        </w:r>
      </w:hyperlink>
    </w:p>
    <w:p>
      <w:pPr>
        <w:pStyle w:val="TableofFigures"/>
      </w:pPr>
      <w:hyperlink w:anchor="_Fig00102" w:history="1">
        <w:r>
          <w:t xml:space="preserve">Figure 33 – Tableau de bord en thème sombre</w:t>
        </w:r>
        <w:r>
          <w:tab/>
        </w:r>
        <w:r>
          <w:t>44</w:t>
        </w:r>
      </w:hyperlink>
    </w:p>
    <w:p>
      <w:pPr>
        <w:pStyle w:val="TableofFigures"/>
      </w:pPr>
      <w:hyperlink w:anchor="_Fig00103" w:history="1">
        <w:r>
          <w:t xml:space="preserve">Figure 34 – Affichage sur téléphone : tableau de bord et menu</w:t>
        </w:r>
        <w:r>
          <w:tab/>
        </w:r>
        <w:r>
          <w:t>45</w:t>
        </w:r>
      </w:hyperlink>
    </w:p>
    <w:p>
      <w:pPr>
        <w:pStyle w:val="TableofFigures"/>
      </w:pPr>
      <w:hyperlink w:anchor="_Fig00106" w:history="1">
        <w:r>
          <w:t xml:space="preserve">Figure 35 – Rapport mensuel reçu par e-mail</w:t>
        </w:r>
        <w:r>
          <w:tab/>
        </w:r>
        <w:r>
          <w:t>46</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26.1.0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HeptagonesLM.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26.1.0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w:t>
            </w:r>
          </w:p>
        </w:tc>
      </w:tr>
      <w:tr>
        <w:trPr>
          <w:cantSplit/>
        </w:trPr>
        <w:tc>
          <w:tcPr>
            <w:tcW w:w="2478" w:type="dxa"/>
          </w:tcPr>
          <w:p>
            <w:pPr>
              <w:pStyle w:val="TableText"/>
            </w:pPr>
            <w:r>
              <w:rPr>
                <w:sz w:val="18"/>
                <w:szCs w:val="18"/>
              </w:rPr>
              <w:t xml:space="preserve">ODBC Driver for SQL Server</w:t>
            </w:r>
          </w:p>
        </w:tc>
        <w:tc>
          <w:tcPr>
            <w:tcW w:w="3029" w:type="dxa"/>
          </w:tcPr>
          <w:p>
            <w:pPr>
              <w:pStyle w:val="TableText"/>
            </w:pPr>
            <w:r>
              <w:rPr>
                <w:sz w:val="18"/>
                <w:szCs w:val="18"/>
              </w:rPr>
              <w:t xml:space="preserve">18</w:t>
            </w:r>
          </w:p>
        </w:tc>
        <w:tc>
          <w:tcPr>
            <w:tcW w:w="4130" w:type="dxa"/>
          </w:tcPr>
          <w:p>
            <w:pPr>
              <w:pStyle w:val="TableText"/>
            </w:pPr>
            <w:r>
              <w:rPr>
                <w:sz w:val="18"/>
                <w:szCs w:val="18"/>
              </w:rPr>
              <w:t xml:space="preserve">Connexion à la base</w:t>
            </w:r>
          </w:p>
        </w:tc>
      </w:tr>
      <w:tr>
        <w:trPr>
          <w:cantSplit/>
        </w:trPr>
        <w:tc>
          <w:tcPr>
            <w:tcW w:w="2478" w:type="dxa"/>
            <w:shd w:val="clear" w:color="auto" w:fill="F4F7FC"/>
          </w:tcPr>
          <w:p>
            <w:pPr>
              <w:pStyle w:val="TableText"/>
            </w:pPr>
            <w:r>
              <w:rPr>
                <w:sz w:val="18"/>
                <w:szCs w:val="18"/>
              </w:rPr>
              <w:t xml:space="preserve">SQL Server</w:t>
            </w:r>
          </w:p>
        </w:tc>
        <w:tc>
          <w:tcPr>
            <w:tcW w:w="3029" w:type="dxa"/>
            <w:shd w:val="clear" w:color="auto" w:fill="F4F7FC"/>
          </w:tcPr>
          <w:p>
            <w:pPr>
              <w:pStyle w:val="TableText"/>
            </w:pPr>
            <w:r>
              <w:rPr>
                <w:sz w:val="18"/>
                <w:szCs w:val="18"/>
              </w:rPr>
              <w:t xml:space="preserve">2016 ou supérieur (validé 2022)</w:t>
            </w:r>
          </w:p>
        </w:tc>
        <w:tc>
          <w:tcPr>
            <w:tcW w:w="4130" w:type="dxa"/>
            <w:shd w:val="clear" w:color="auto" w:fill="F4F7FC"/>
          </w:tcPr>
          <w:p>
            <w:pPr>
              <w:pStyle w:val="TableText"/>
            </w:pPr>
            <w:r>
              <w:rPr>
                <w:sz w:val="18"/>
                <w:szCs w:val="18"/>
              </w:rPr>
              <w:t xml:space="preserve">Stockage de l'historique</w:t>
            </w:r>
          </w:p>
        </w:tc>
      </w:tr>
      <w:tr>
        <w:trPr>
          <w:cantSplit/>
        </w:trPr>
        <w:tc>
          <w:tcPr>
            <w:tcW w:w="2478" w:type="dxa"/>
          </w:tcPr>
          <w:p>
            <w:pPr>
              <w:pStyle w:val="TableText"/>
            </w:pPr>
            <w:r>
              <w:rPr>
                <w:sz w:val="18"/>
                <w:szCs w:val="18"/>
              </w:rPr>
              <w:t xml:space="preserve">Planificateur de tâches</w:t>
            </w:r>
          </w:p>
        </w:tc>
        <w:tc>
          <w:tcPr>
            <w:tcW w:w="3029" w:type="dxa"/>
          </w:tcPr>
          <w:p>
            <w:pPr>
              <w:pStyle w:val="TableText"/>
            </w:pPr>
            <w:r>
              <w:rPr>
                <w:sz w:val="18"/>
                <w:szCs w:val="18"/>
              </w:rPr>
              <w:t xml:space="preserve">Windows Server 2016 ou supérieur</w:t>
            </w:r>
          </w:p>
        </w:tc>
        <w:tc>
          <w:tcPr>
            <w:tcW w:w="4130" w:type="dxa"/>
          </w:tcPr>
          <w:p>
            <w:pPr>
              <w:pStyle w:val="TableText"/>
            </w:pPr>
            <w:r>
              <w:rPr>
                <w:sz w:val="18"/>
                <w:szCs w:val="18"/>
              </w:rPr>
              <w:t xml:space="preserve">Ordonnancement</w:t>
            </w:r>
          </w:p>
        </w:tc>
      </w:tr>
      <w:tr>
        <w:trPr>
          <w:cantSplit/>
        </w:trPr>
        <w:tc>
          <w:tcPr>
            <w:tcW w:w="2478" w:type="dxa"/>
            <w:shd w:val="clear" w:color="auto" w:fill="F4F7FC"/>
          </w:tcPr>
          <w:p>
            <w:pPr>
              <w:pStyle w:val="TableText"/>
            </w:pPr>
            <w:r>
              <w:rPr>
                <w:sz w:val="18"/>
                <w:szCs w:val="18"/>
              </w:rPr>
              <w:t xml:space="preserve">Navigateur</w:t>
            </w:r>
          </w:p>
        </w:tc>
        <w:tc>
          <w:tcPr>
            <w:tcW w:w="3029" w:type="dxa"/>
            <w:shd w:val="clear" w:color="auto" w:fill="F4F7FC"/>
          </w:tcPr>
          <w:p>
            <w:pPr>
              <w:pStyle w:val="TableText"/>
            </w:pPr>
            <w:r>
              <w:rPr>
                <w:sz w:val="18"/>
                <w:szCs w:val="18"/>
              </w:rPr>
              <w:t xml:space="preserve">Edge, Chrome, Firefox récents</w:t>
            </w:r>
          </w:p>
        </w:tc>
        <w:tc>
          <w:tcPr>
            <w:tcW w:w="4130" w:type="dxa"/>
            <w:shd w:val="clear" w:color="auto" w:fill="F4F7FC"/>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serveurs (triades, log debug)</w:t>
            </w:r>
          </w:p>
        </w:tc>
        <w:tc>
          <w:tcPr>
            <w:tcW w:w="3029" w:type="dxa"/>
          </w:tcPr>
          <w:p>
            <w:pPr>
              <w:pStyle w:val="TableText"/>
            </w:pPr>
            <w:r>
              <w:rPr>
                <w:sz w:val="18"/>
                <w:szCs w:val="18"/>
              </w:rPr>
              <w:t xml:space="preserve">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Installation silencieuse et serveur hors ligne</w:t>
      </w:r>
      <w:bookmarkEnd w:id="35"/>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6" w:name="_Toc00036"/>
      <w:r>
        <w:rPr/>
        <w:t xml:space="preserve">5.2 Installation manuelle</w:t>
      </w:r>
      <w:bookmarkEnd w:id="36"/>
    </w:p>
    <w:p>
      <w:pPr/>
      <w:r>
        <w:rPr/>
        <w:t xml:space="preserve">Étapes équivalentes à celles de l'assistant, à dérouler dans l'ordre.</w:t>
      </w:r>
    </w:p>
    <w:p>
      <w:pPr>
        <w:pStyle w:val="Heading3"/>
      </w:pPr>
      <w:bookmarkStart w:id="37" w:name="_Toc00037"/>
      <w:r>
        <w:rPr/>
        <w:t xml:space="preserve">5.2.1 Création de la base (DBA)</w:t>
      </w:r>
      <w:bookmarkEnd w:id="37"/>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38" w:name="_Toc00038"/>
      <w:r>
        <w:rPr/>
        <w:t xml:space="preserve">5.2.2 Déploiement des binaires</w:t>
      </w:r>
      <w:bookmarkEnd w:id="38"/>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39" w:name="_Toc00039"/>
      <w:r>
        <w:rPr/>
        <w:t xml:space="preserve">5.2.3 Configuration</w:t>
      </w:r>
      <w:bookmarkEnd w:id="39"/>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0" w:name="_Toc00040"/>
      <w:r>
        <w:rPr/>
        <w:t xml:space="preserve">5.2.4 Initialisation du schéma</w:t>
      </w:r>
      <w:bookmarkEnd w:id="40"/>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1" w:name="_Toc00041"/>
      <w:r>
        <w:rPr/>
        <w:t xml:space="preserve">5.2.5 Vérification des serveurs de licences</w:t>
      </w:r>
      <w:bookmarkEnd w:id="41"/>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2" w:name="_Toc00042"/>
      <w:r>
        <w:rPr/>
        <w:t xml:space="preserve">5.2.6 Planification des tâches</w:t>
      </w:r>
      <w:bookmarkEnd w:id="42"/>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3" w:name="_Toc00043"/>
      <w:r>
        <w:rPr/>
        <w:t xml:space="preserve">5.2.7 Référentiel utilisateurs</w:t>
      </w:r>
      <w:bookmarkEnd w:id="43"/>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4" w:name="_Toc00044"/>
      <w:r>
        <w:rPr/>
        <w:t xml:space="preserve">5.2.8 Reprise d'historique (option)</w:t>
      </w:r>
      <w:bookmarkEnd w:id="44"/>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5" w:name="_Toc00045"/>
      <w:r>
        <w:rPr/>
        <w:t xml:space="preserve">5.2.9 Ouverture de l'interface sur le réseau</w:t>
      </w:r>
      <w:bookmarkEnd w:id="45"/>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6" w:name="_Toc00046"/>
      <w:r>
        <w:rPr/>
        <w:t xml:space="preserve">5.3 Recette de mise en service</w:t>
      </w:r>
      <w:bookmarkEnd w:id="46"/>
    </w:p>
    <w:p>
      <w:pPr>
        <w:pStyle w:val="Caption"/>
        <w:keepNext/>
      </w:pPr>
      <w:r>
        <w:rPr/>
        <w:t xml:space="preserve">Tableau 13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bl>
    <w:p>
      <w:pPr>
        <w:spacing w:after="80"/>
      </w:pPr>
    </w:p>
    <w:p>
      <w:pPr>
        <w:pStyle w:val="Heading1"/>
      </w:pPr>
      <w:bookmarkStart w:id="47" w:name="_Toc00047"/>
      <w:r>
        <w:rPr/>
        <w:t xml:space="preserve">6. Configuration de référence</w:t>
      </w:r>
      <w:bookmarkEnd w:id="47"/>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48" w:name="_Toc00048"/>
      <w:r>
        <w:rPr/>
        <w:t xml:space="preserve">6.1 Sections du fichier</w:t>
      </w:r>
      <w:bookmarkEnd w:id="4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49" w:name="_Toc00049"/>
      <w:r>
        <w:rPr/>
        <w:t xml:space="preserve">6.2 Paramètres détaillés</w:t>
      </w:r>
      <w:bookmarkEnd w:id="49"/>
    </w:p>
    <w:p>
      <w:pPr>
        <w:pStyle w:val="Heading3"/>
      </w:pPr>
      <w:bookmarkStart w:id="50" w:name="_Toc00050"/>
      <w:r>
        <w:rPr/>
        <w:t xml:space="preserve">database, lmutil_path, logging</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1" w:name="_Toc00051"/>
      <w:r>
        <w:rPr/>
        <w:t xml:space="preserve">servers (un bloc par serveur de licences)</w:t>
      </w:r>
      <w:bookmarkEnd w:id="5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2" w:name="_Toc00052"/>
      <w:r>
        <w:rPr/>
        <w:t xml:space="preserve">products (règles de correspondance)</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3" w:name="_Toc00053"/>
      <w:r>
        <w:rPr/>
        <w:t xml:space="preserve">reporting</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4" w:name="_Toc00054"/>
      <w:r>
        <w:rPr/>
        <w:t xml:space="preserve">web et web.auth</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5" w:name="_Toc00055"/>
      <w:r>
        <w:rPr/>
        <w:t xml:space="preserve">email</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6" w:name="_Toc00056"/>
      <w:r>
        <w:rPr/>
        <w:t xml:space="preserve">retention</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7" w:name="_Toc00057"/>
      <w:r>
        <w:rPr/>
        <w:t xml:space="preserve">6.3 Procédure de modification de la configuration</w:t>
      </w:r>
      <w:bookmarkEnd w:id="57"/>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58" w:name="_Toc00058"/>
      <w:r>
        <w:rPr/>
        <w:t xml:space="preserve">7. Exploitation courante</w:t>
      </w:r>
      <w:bookmarkEnd w:id="58"/>
    </w:p>
    <w:p>
      <w:pPr>
        <w:pStyle w:val="Heading2"/>
      </w:pPr>
      <w:bookmarkStart w:id="59" w:name="_Toc00059"/>
      <w:r>
        <w:rPr/>
        <w:t xml:space="preserve">7.1 Ordonnancement</w:t>
      </w:r>
      <w:bookmarkEnd w:id="59"/>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14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0" w:name="_Toc00060"/>
      <w:r>
        <w:rPr/>
        <w:t xml:space="preserve">7.2 Démarrage et arrêt</w:t>
      </w:r>
      <w:bookmarkEnd w:id="60"/>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1" w:name="_Toc00061"/>
      <w:r>
        <w:rPr/>
        <w:t xml:space="preserve">7.3 Contrôles quotidiens (N1, 5 minutes)</w:t>
      </w:r>
      <w:bookmarkEnd w:id="61"/>
    </w:p>
    <w:p>
      <w:pPr>
        <w:pStyle w:val="Caption"/>
        <w:keepNext/>
      </w:pPr>
      <w:r>
        <w:rPr/>
        <w:t xml:space="preserve">Tableau 15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2" w:name="_Toc00062"/>
      <w:r>
        <w:rPr/>
        <w:t xml:space="preserve">7.4 Contrôles hebdomadaires et mensuels (N2)</w:t>
      </w:r>
      <w:bookmarkEnd w:id="62"/>
    </w:p>
    <w:p>
      <w:pPr>
        <w:pStyle w:val="Caption"/>
        <w:keepNext/>
      </w:pPr>
      <w:r>
        <w:rPr/>
        <w:t xml:space="preserve">Tableau 16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3" w:name="_Toc00063"/>
      <w:r>
        <w:rPr/>
        <w:t xml:space="preserve">7.5 Supervision</w:t>
      </w:r>
      <w:bookmarkEnd w:id="63"/>
    </w:p>
    <w:p>
      <w:pPr/>
      <w:r>
        <w:rPr/>
        <w:t xml:space="preserve">HeptagonesLM peut être supervisé par l'outil de l'entreprise (Centreon, Zabbix, SCOM, PRTG…) avec les sondes suivantes :</w:t>
      </w:r>
    </w:p>
    <w:p>
      <w:pPr>
        <w:pStyle w:val="Caption"/>
        <w:keepNext/>
      </w:pPr>
      <w:r>
        <w:rPr/>
        <w:t xml:space="preserve">Tableau 17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4" w:name="_Toc00064"/>
      <w:r>
        <w:rPr/>
        <w:t xml:space="preserve">7.6 Journaux</w:t>
      </w:r>
      <w:bookmarkEnd w:id="64"/>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5" w:name="_Toc00065"/>
      <w:r>
        <w:rPr/>
        <w:t xml:space="preserve">7.7 Codes retour</w:t>
      </w:r>
      <w:bookmarkEnd w:id="65"/>
    </w:p>
    <w:p>
      <w:pPr>
        <w:pStyle w:val="Caption"/>
        <w:keepNext/>
      </w:pPr>
      <w:r>
        <w:rPr/>
        <w:t xml:space="preserve">Tableau 18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6" w:name="_Toc00066"/>
      <w:r>
        <w:rPr/>
        <w:t xml:space="preserve">8. Utilisation de l'interface web</w:t>
      </w:r>
      <w:bookmarkEnd w:id="66"/>
    </w:p>
    <w:p>
      <w:pPr/>
      <w:r>
        <w:rPr/>
        <w:t xml:space="preserve">Ce chapitre présente l'interface telle que la voient les utilisateurs. Il sert au support N1 pour guider un utilisateur et vérifier le bon fonctionnement de l'application.</w:t>
      </w:r>
    </w:p>
    <w:p>
      <w:pPr>
        <w:pStyle w:val="Heading2"/>
      </w:pPr>
      <w:bookmarkStart w:id="67" w:name="_Toc00067"/>
      <w:r>
        <w:rPr/>
        <w:t xml:space="preserve">8.1 Accès et connexion</w:t>
      </w:r>
      <w:bookmarkEnd w:id="67"/>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1" name="Image 11" descr="Page de connexion"/>
            <wp:cNvGraphicFramePr>
              <a:graphicFrameLocks noChangeAspect="1"/>
            </wp:cNvGraphicFramePr>
            <a:graphic>
              <a:graphicData uri="http://schemas.openxmlformats.org/drawingml/2006/picture">
                <pic:pic>
                  <pic:nvPicPr>
                    <pic:cNvPr id="11" name="login.png"/>
                    <pic:cNvPicPr/>
                  </pic:nvPicPr>
                  <pic:blipFill>
                    <a:blip r:embed="rIdImg11"/>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8" w:name="_Fig00068"/>
      <w:r>
        <w:rPr/>
        <w:t xml:space="preserve">Figure </w:t>
      </w:r>
      <w:fldSimple w:instr=" SEQ Figure \* ARABIC ">
        <w:r>
          <w:t>10</w:t>
        </w:r>
      </w:fldSimple>
      <w:r>
        <w:rPr/>
        <w:t xml:space="preserve"> – Page de connexion</w:t>
      </w:r>
      <w:bookmarkEnd w:id="68"/>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2" name="Image 12" descr="Message d'erreur de connexion"/>
            <wp:cNvGraphicFramePr>
              <a:graphicFrameLocks noChangeAspect="1"/>
            </wp:cNvGraphicFramePr>
            <a:graphic>
              <a:graphicData uri="http://schemas.openxmlformats.org/drawingml/2006/picture">
                <pic:pic>
                  <pic:nvPicPr>
                    <pic:cNvPr id="12" name="login_error.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9" w:name="_Fig00069"/>
      <w:r>
        <w:rPr/>
        <w:t xml:space="preserve">Figure </w:t>
      </w:r>
      <w:fldSimple w:instr=" SEQ Figure \* ARABIC ">
        <w:r>
          <w:t>11</w:t>
        </w:r>
      </w:fldSimple>
      <w:r>
        <w:rPr/>
        <w:t xml:space="preserve"> – Message d'erreur de connexion</w:t>
      </w:r>
      <w:bookmarkEnd w:id="69"/>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3" name="Image 13" descr="En-tête : badge d'état des collectes et utilisateur connecté"/>
            <wp:cNvGraphicFramePr>
              <a:graphicFrameLocks noChangeAspect="1"/>
            </wp:cNvGraphicFramePr>
            <a:graphic>
              <a:graphicData uri="http://schemas.openxmlformats.org/drawingml/2006/picture">
                <pic:pic>
                  <pic:nvPicPr>
                    <pic:cNvPr id="13" name="user_badge.png"/>
                    <pic:cNvPicPr/>
                  </pic:nvPicPr>
                  <pic:blipFill>
                    <a:blip r:embed="rIdImg13"/>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12</w:t>
        </w:r>
      </w:fldSimple>
      <w:r>
        <w:rPr/>
        <w:t xml:space="preserve"> – En-tête : badge d'état des collectes et utilisateur connecté</w:t>
      </w:r>
      <w:bookmarkEnd w:id="70"/>
    </w:p>
    <w:p>
      <w:pPr>
        <w:pStyle w:val="Heading2"/>
      </w:pPr>
      <w:bookmarkStart w:id="71" w:name="_Toc00071"/>
      <w:r>
        <w:rPr/>
        <w:t xml:space="preserve">8.2 Navigation et filtres</w:t>
      </w:r>
      <w:bookmarkEnd w:id="71"/>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4" name="Image 14"/>
                  <wp:cNvGraphicFramePr>
                    <a:graphicFrameLocks noChangeAspect="1"/>
                  </wp:cNvGraphicFramePr>
                  <a:graphic>
                    <a:graphicData uri="http://schemas.openxmlformats.org/drawingml/2006/picture">
                      <pic:pic>
                        <pic:nvPicPr>
                          <pic:cNvPr id="14" name="sidebar.png"/>
                          <pic:cNvPicPr/>
                        </pic:nvPicPr>
                        <pic:blipFill>
                          <a:blip r:embed="rIdImg14"/>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2" w:name="_Fig00072"/>
      <w:r>
        <w:rPr/>
        <w:t xml:space="preserve">Figure </w:t>
      </w:r>
      <w:fldSimple w:instr=" SEQ Figure \* ARABIC ">
        <w:r>
          <w:t>13</w:t>
        </w:r>
      </w:fldSimple>
      <w:r>
        <w:rPr/>
        <w:t xml:space="preserve"> – Barre latérale de navigation</w:t>
      </w:r>
      <w:bookmarkEnd w:id="72"/>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5" name="Image 15" descr="Barre de filtres et boutons d'export"/>
            <wp:cNvGraphicFramePr>
              <a:graphicFrameLocks noChangeAspect="1"/>
            </wp:cNvGraphicFramePr>
            <a:graphic>
              <a:graphicData uri="http://schemas.openxmlformats.org/drawingml/2006/picture">
                <pic:pic>
                  <pic:nvPicPr>
                    <pic:cNvPr id="15" name="filterbar.png"/>
                    <pic:cNvPicPr/>
                  </pic:nvPicPr>
                  <pic:blipFill>
                    <a:blip r:embed="rIdImg15"/>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3" w:name="_Fig00073"/>
      <w:r>
        <w:rPr/>
        <w:t xml:space="preserve">Figure </w:t>
      </w:r>
      <w:fldSimple w:instr=" SEQ Figure \* ARABIC ">
        <w:r>
          <w:t>14</w:t>
        </w:r>
      </w:fldSimple>
      <w:r>
        <w:rPr/>
        <w:t xml:space="preserve"> – Barre de filtres et boutons d'export</w:t>
      </w:r>
      <w:bookmarkEnd w:id="73"/>
    </w:p>
    <w:p>
      <w:pPr>
        <w:pStyle w:val="Figure"/>
        <w:keepNext/>
      </w:pPr>
      <w:r>
        <w:drawing>
          <wp:inline distT="0" distB="0" distL="0" distR="0">
            <wp:extent cx="5940000" cy="2772000"/>
            <wp:docPr id="16" name="Image 16" descr="Sélection multiple avec recherche (filtre Produits)"/>
            <wp:cNvGraphicFramePr>
              <a:graphicFrameLocks noChangeAspect="1"/>
            </wp:cNvGraphicFramePr>
            <a:graphic>
              <a:graphicData uri="http://schemas.openxmlformats.org/drawingml/2006/picture">
                <pic:pic>
                  <pic:nvPicPr>
                    <pic:cNvPr id="16" name="filter_open.png"/>
                    <pic:cNvPicPr/>
                  </pic:nvPicPr>
                  <pic:blipFill>
                    <a:blip r:embed="rIdImg16"/>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4" w:name="_Fig00074"/>
      <w:r>
        <w:rPr/>
        <w:t xml:space="preserve">Figure </w:t>
      </w:r>
      <w:fldSimple w:instr=" SEQ Figure \* ARABIC ">
        <w:r>
          <w:t>15</w:t>
        </w:r>
      </w:fldSimple>
      <w:r>
        <w:rPr/>
        <w:t xml:space="preserve"> – Sélection multiple avec recherche (filtre Produits)</w:t>
      </w:r>
      <w:bookmarkEnd w:id="74"/>
    </w:p>
    <w:p>
      <w:pPr>
        <w:pStyle w:val="Heading2"/>
      </w:pPr>
      <w:bookmarkStart w:id="75" w:name="_Toc00075"/>
      <w:r>
        <w:rPr/>
        <w:t xml:space="preserve">8.3 Tableau de bord</w:t>
      </w:r>
      <w:bookmarkEnd w:id="75"/>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7" name="Image 17" descr="Tableau de bord complet"/>
            <wp:cNvGraphicFramePr>
              <a:graphicFrameLocks noChangeAspect="1"/>
            </wp:cNvGraphicFramePr>
            <a:graphic>
              <a:graphicData uri="http://schemas.openxmlformats.org/drawingml/2006/picture">
                <pic:pic>
                  <pic:nvPicPr>
                    <pic:cNvPr id="17" name="dashboard_full.png"/>
                    <pic:cNvPicPr/>
                  </pic:nvPicPr>
                  <pic:blipFill>
                    <a:blip r:embed="rIdImg17"/>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Tableau de bord complet</w:t>
      </w:r>
      <w:bookmarkEnd w:id="76"/>
    </w:p>
    <w:p>
      <w:pPr>
        <w:pStyle w:val="Heading3"/>
      </w:pPr>
      <w:bookmarkStart w:id="77" w:name="_Toc00077"/>
      <w:r>
        <w:rPr/>
        <w:t xml:space="preserve">Alertes</w:t>
      </w:r>
      <w:bookmarkEnd w:id="77"/>
    </w:p>
    <w:p>
      <w:pPr/>
      <w:r>
        <w:rPr/>
        <w:t xml:space="preserve">Les alertes sont classées par gravité ; le lien « Voir » ouvre la vue concernée.</w:t>
      </w:r>
    </w:p>
    <w:p>
      <w:pPr>
        <w:pStyle w:val="Figure"/>
        <w:keepNext/>
      </w:pPr>
      <w:r>
        <w:drawing>
          <wp:inline distT="0" distB="0" distL="0" distR="0">
            <wp:extent cx="5940000" cy="1317676"/>
            <wp:docPr id="18" name="Image 18" descr="Bandeau d'alertes"/>
            <wp:cNvGraphicFramePr>
              <a:graphicFrameLocks noChangeAspect="1"/>
            </wp:cNvGraphicFramePr>
            <a:graphic>
              <a:graphicData uri="http://schemas.openxmlformats.org/drawingml/2006/picture">
                <pic:pic>
                  <pic:nvPicPr>
                    <pic:cNvPr id="18" name="alerts.png"/>
                    <pic:cNvPicPr/>
                  </pic:nvPicPr>
                  <pic:blipFill>
                    <a:blip r:embed="rIdImg18"/>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Bandeau d'alertes</w:t>
      </w:r>
      <w:bookmarkEnd w:id="78"/>
    </w:p>
    <w:p>
      <w:pPr>
        <w:pStyle w:val="Caption"/>
        <w:keepNext/>
      </w:pPr>
      <w:r>
        <w:rPr/>
        <w:t xml:space="preserve">Tableau 19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79" w:name="_Toc00079"/>
      <w:r>
        <w:rPr/>
        <w:t xml:space="preserve">Indicateurs clés</w:t>
      </w:r>
      <w:bookmarkEnd w:id="79"/>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19" name="Image 19" descr="Indicateurs clés"/>
            <wp:cNvGraphicFramePr>
              <a:graphicFrameLocks noChangeAspect="1"/>
            </wp:cNvGraphicFramePr>
            <a:graphic>
              <a:graphicData uri="http://schemas.openxmlformats.org/drawingml/2006/picture">
                <pic:pic>
                  <pic:nvPicPr>
                    <pic:cNvPr id="19" name="kpis.png"/>
                    <pic:cNvPicPr/>
                  </pic:nvPicPr>
                  <pic:blipFill>
                    <a:blip r:embed="rIdImg19"/>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Indicateurs clés</w:t>
      </w:r>
      <w:bookmarkEnd w:id="80"/>
    </w:p>
    <w:p>
      <w:pPr>
        <w:pStyle w:val="Caption"/>
        <w:keepNext/>
      </w:pPr>
      <w:r>
        <w:rPr/>
        <w:t xml:space="preserve">Tableau 20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1" w:name="_Toc00081"/>
      <w:r>
        <w:rPr/>
        <w:t xml:space="preserve">Blocs de détail</w:t>
      </w:r>
      <w:bookmarkEnd w:id="81"/>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0" name="Image 20" descr="Bloc « Serveurs et échéances »"/>
            <wp:cNvGraphicFramePr>
              <a:graphicFrameLocks noChangeAspect="1"/>
            </wp:cNvGraphicFramePr>
            <a:graphic>
              <a:graphicData uri="http://schemas.openxmlformats.org/drawingml/2006/picture">
                <pic:pic>
                  <pic:nvPicPr>
                    <pic:cNvPr id="20" name="servers.png"/>
                    <pic:cNvPicPr/>
                  </pic:nvPicPr>
                  <pic:blipFill>
                    <a:blip r:embed="rIdImg20"/>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Bloc « Serveurs et échéances »</w:t>
      </w:r>
      <w:bookmarkEnd w:id="82"/>
    </w:p>
    <w:p>
      <w:pPr>
        <w:pStyle w:val="Heading2"/>
      </w:pPr>
      <w:bookmarkStart w:id="83" w:name="_Toc00083"/>
      <w:r>
        <w:rPr/>
        <w:t xml:space="preserve">8.4 En direct</w:t>
      </w:r>
      <w:bookmarkEnd w:id="83"/>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1" name="Image 21" descr="Vue En direct"/>
            <wp:cNvGraphicFramePr>
              <a:graphicFrameLocks noChangeAspect="1"/>
            </wp:cNvGraphicFramePr>
            <a:graphic>
              <a:graphicData uri="http://schemas.openxmlformats.org/drawingml/2006/picture">
                <pic:pic>
                  <pic:nvPicPr>
                    <pic:cNvPr id="21" name="live.png"/>
                    <pic:cNvPicPr/>
                  </pic:nvPicPr>
                  <pic:blipFill>
                    <a:blip r:embed="rIdImg2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Vue En direct</w:t>
      </w:r>
      <w:bookmarkEnd w:id="84"/>
    </w:p>
    <w:p>
      <w:pPr>
        <w:pStyle w:val="Heading2"/>
      </w:pPr>
      <w:bookmarkStart w:id="85" w:name="_Toc00085"/>
      <w:r>
        <w:rPr/>
        <w:t xml:space="preserve">8.5 Rapports d'analyse</w:t>
      </w:r>
      <w:bookmarkEnd w:id="85"/>
    </w:p>
    <w:p>
      <w:pPr>
        <w:pStyle w:val="Caption"/>
        <w:keepNext/>
      </w:pPr>
      <w:r>
        <w:rPr/>
        <w:t xml:space="preserve">Tableau 21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2" name="Image 22" descr="Synthèse par produit"/>
            <wp:cNvGraphicFramePr>
              <a:graphicFrameLocks noChangeAspect="1"/>
            </wp:cNvGraphicFramePr>
            <a:graphic>
              <a:graphicData uri="http://schemas.openxmlformats.org/drawingml/2006/picture">
                <pic:pic>
                  <pic:nvPicPr>
                    <pic:cNvPr id="22" name="summary.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Synthèse par produit</w:t>
      </w:r>
      <w:bookmarkEnd w:id="86"/>
    </w:p>
    <w:p>
      <w:pPr>
        <w:pStyle w:val="Figure"/>
        <w:keepNext/>
      </w:pPr>
      <w:r>
        <w:drawing>
          <wp:inline distT="0" distB="0" distL="0" distR="0">
            <wp:extent cx="5940000" cy="3712500"/>
            <wp:docPr id="23" name="Image 23" descr="Usage dans le temps (taux d'occupation journalier)"/>
            <wp:cNvGraphicFramePr>
              <a:graphicFrameLocks noChangeAspect="1"/>
            </wp:cNvGraphicFramePr>
            <a:graphic>
              <a:graphicData uri="http://schemas.openxmlformats.org/drawingml/2006/picture">
                <pic:pic>
                  <pic:nvPicPr>
                    <pic:cNvPr id="23" name="timeseries.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22</w:t>
        </w:r>
      </w:fldSimple>
      <w:r>
        <w:rPr/>
        <w:t xml:space="preserve"> – Usage dans le temps (taux d'occupation journalier)</w:t>
      </w:r>
      <w:bookmarkEnd w:id="87"/>
    </w:p>
    <w:p>
      <w:pPr>
        <w:pStyle w:val="Figure"/>
        <w:keepNext/>
      </w:pPr>
      <w:r>
        <w:drawing>
          <wp:inline distT="0" distB="0" distL="0" distR="0">
            <wp:extent cx="5940000" cy="3712500"/>
            <wp:docPr id="24" name="Image 24" descr="Répartition par service (refacturation)"/>
            <wp:cNvGraphicFramePr>
              <a:graphicFrameLocks noChangeAspect="1"/>
            </wp:cNvGraphicFramePr>
            <a:graphic>
              <a:graphicData uri="http://schemas.openxmlformats.org/drawingml/2006/picture">
                <pic:pic>
                  <pic:nvPicPr>
                    <pic:cNvPr id="24" name="breakdown.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23</w:t>
        </w:r>
      </w:fldSimple>
      <w:r>
        <w:rPr/>
        <w:t xml:space="preserve"> – Répartition par service (refacturation)</w:t>
      </w:r>
      <w:bookmarkEnd w:id="88"/>
    </w:p>
    <w:p>
      <w:pPr>
        <w:pStyle w:val="Figure"/>
        <w:keepNext/>
      </w:pPr>
      <w:r>
        <w:drawing>
          <wp:inline distT="0" distB="0" distL="0" distR="0">
            <wp:extent cx="5940000" cy="3712500"/>
            <wp:docPr id="25" name="Image 25" descr="Croisement service × produit"/>
            <wp:cNvGraphicFramePr>
              <a:graphicFrameLocks noChangeAspect="1"/>
            </wp:cNvGraphicFramePr>
            <a:graphic>
              <a:graphicData uri="http://schemas.openxmlformats.org/drawingml/2006/picture">
                <pic:pic>
                  <pic:nvPicPr>
                    <pic:cNvPr id="25" name="matrix.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24</w:t>
        </w:r>
      </w:fldSimple>
      <w:r>
        <w:rPr/>
        <w:t xml:space="preserve"> – Croisement service × produit</w:t>
      </w:r>
      <w:bookmarkEnd w:id="89"/>
    </w:p>
    <w:p>
      <w:pPr>
        <w:pStyle w:val="Figure"/>
        <w:keepNext/>
      </w:pPr>
      <w:r>
        <w:drawing>
          <wp:inline distT="0" distB="0" distL="0" distR="0">
            <wp:extent cx="5940000" cy="3712500"/>
            <wp:docPr id="26" name="Image 26" descr="Profil horaire"/>
            <wp:cNvGraphicFramePr>
              <a:graphicFrameLocks noChangeAspect="1"/>
            </wp:cNvGraphicFramePr>
            <a:graphic>
              <a:graphicData uri="http://schemas.openxmlformats.org/drawingml/2006/picture">
                <pic:pic>
                  <pic:nvPicPr>
                    <pic:cNvPr id="26" name="heatmap.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25</w:t>
        </w:r>
      </w:fldSimple>
      <w:r>
        <w:rPr/>
        <w:t xml:space="preserve"> – Profil horaire</w:t>
      </w:r>
      <w:bookmarkEnd w:id="90"/>
    </w:p>
    <w:p>
      <w:pPr>
        <w:pStyle w:val="Heading2"/>
      </w:pPr>
      <w:bookmarkStart w:id="91" w:name="_Toc00091"/>
      <w:r>
        <w:rPr/>
        <w:t xml:space="preserve">8.6 Optimisation</w:t>
      </w:r>
      <w:bookmarkEnd w:id="91"/>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7" name="Image 27" descr="Efficacité des jetons (comparaison des produits)"/>
            <wp:cNvGraphicFramePr>
              <a:graphicFrameLocks noChangeAspect="1"/>
            </wp:cNvGraphicFramePr>
            <a:graphic>
              <a:graphicData uri="http://schemas.openxmlformats.org/drawingml/2006/picture">
                <pic:pic>
                  <pic:nvPicPr>
                    <pic:cNvPr id="27" name="efficiency.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Efficacité des jetons (comparaison des produits)</w:t>
      </w:r>
      <w:bookmarkEnd w:id="92"/>
    </w:p>
    <w:p>
      <w:pPr>
        <w:pStyle w:val="Figure"/>
        <w:keepNext/>
      </w:pPr>
      <w:r>
        <w:drawing>
          <wp:inline distT="0" distB="0" distL="0" distR="0">
            <wp:extent cx="5940000" cy="3712500"/>
            <wp:docPr id="28" name="Image 28" descr="Efficacité d'un produit (MATLAB) en nombre de jetons"/>
            <wp:cNvGraphicFramePr>
              <a:graphicFrameLocks noChangeAspect="1"/>
            </wp:cNvGraphicFramePr>
            <a:graphic>
              <a:graphicData uri="http://schemas.openxmlformats.org/drawingml/2006/picture">
                <pic:pic>
                  <pic:nvPicPr>
                    <pic:cNvPr id="28" name="efficiency_one.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27</w:t>
        </w:r>
      </w:fldSimple>
      <w:r>
        <w:rPr/>
        <w:t xml:space="preserve"> – Efficacité d'un produit (MATLAB) en nombre de jetons</w:t>
      </w:r>
      <w:bookmarkEnd w:id="93"/>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29" name="Image 29" descr="Optimisation et coûts"/>
            <wp:cNvGraphicFramePr>
              <a:graphicFrameLocks noChangeAspect="1"/>
            </wp:cNvGraphicFramePr>
            <a:graphic>
              <a:graphicData uri="http://schemas.openxmlformats.org/drawingml/2006/picture">
                <pic:pic>
                  <pic:nvPicPr>
                    <pic:cNvPr id="29" name="optimization.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28</w:t>
        </w:r>
      </w:fldSimple>
      <w:r>
        <w:rPr/>
        <w:t xml:space="preserve"> – Optimisation et coûts</w:t>
      </w:r>
      <w:bookmarkEnd w:id="94"/>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0" name="Image 30" descr="Contention"/>
            <wp:cNvGraphicFramePr>
              <a:graphicFrameLocks noChangeAspect="1"/>
            </wp:cNvGraphicFramePr>
            <a:graphic>
              <a:graphicData uri="http://schemas.openxmlformats.org/drawingml/2006/picture">
                <pic:pic>
                  <pic:nvPicPr>
                    <pic:cNvPr id="30" name="conten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29</w:t>
        </w:r>
      </w:fldSimple>
      <w:r>
        <w:rPr/>
        <w:t xml:space="preserve"> – Contention</w:t>
      </w:r>
      <w:bookmarkEnd w:id="95"/>
    </w:p>
    <w:p>
      <w:pPr>
        <w:pStyle w:val="Figure"/>
        <w:keepNext/>
      </w:pPr>
      <w:r>
        <w:drawing>
          <wp:inline distT="0" distB="0" distL="0" distR="0">
            <wp:extent cx="5940000" cy="3712500"/>
            <wp:docPr id="31" name="Image 31" descr="Refus de licence"/>
            <wp:cNvGraphicFramePr>
              <a:graphicFrameLocks noChangeAspect="1"/>
            </wp:cNvGraphicFramePr>
            <a:graphic>
              <a:graphicData uri="http://schemas.openxmlformats.org/drawingml/2006/picture">
                <pic:pic>
                  <pic:nvPicPr>
                    <pic:cNvPr id="31" name="denials.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30</w:t>
        </w:r>
      </w:fldSimple>
      <w:r>
        <w:rPr/>
        <w:t xml:space="preserve"> – Refus de licence</w:t>
      </w:r>
      <w:bookmarkEnd w:id="96"/>
    </w:p>
    <w:p>
      <w:pPr>
        <w:pStyle w:val="Heading2"/>
      </w:pPr>
      <w:bookmarkStart w:id="97" w:name="_Toc00097"/>
      <w:r>
        <w:rPr/>
        <w:t xml:space="preserve">8.7 Données</w:t>
      </w:r>
      <w:bookmarkEnd w:id="97"/>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2" name="Image 32" descr="Sessions"/>
            <wp:cNvGraphicFramePr>
              <a:graphicFrameLocks noChangeAspect="1"/>
            </wp:cNvGraphicFramePr>
            <a:graphic>
              <a:graphicData uri="http://schemas.openxmlformats.org/drawingml/2006/picture">
                <pic:pic>
                  <pic:nvPicPr>
                    <pic:cNvPr id="32" name="session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Sessions</w:t>
      </w:r>
      <w:bookmarkEnd w:id="98"/>
    </w:p>
    <w:p>
      <w:pPr>
        <w:pStyle w:val="Figure"/>
        <w:keepNext/>
      </w:pPr>
      <w:r>
        <w:drawing>
          <wp:inline distT="0" distB="0" distL="0" distR="0">
            <wp:extent cx="5940000" cy="3712500"/>
            <wp:docPr id="33" name="Image 33" descr="Journal des collectes"/>
            <wp:cNvGraphicFramePr>
              <a:graphicFrameLocks noChangeAspect="1"/>
            </wp:cNvGraphicFramePr>
            <a:graphic>
              <a:graphicData uri="http://schemas.openxmlformats.org/drawingml/2006/picture">
                <pic:pic>
                  <pic:nvPicPr>
                    <pic:cNvPr id="33" name="collect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32</w:t>
        </w:r>
      </w:fldSimple>
      <w:r>
        <w:rPr/>
        <w:t xml:space="preserve"> – Journal des collectes</w:t>
      </w:r>
      <w:bookmarkEnd w:id="99"/>
    </w:p>
    <w:p>
      <w:pPr>
        <w:pStyle w:val="Heading2"/>
      </w:pPr>
      <w:bookmarkStart w:id="100" w:name="_Toc00100"/>
      <w:r>
        <w:rPr/>
        <w:t xml:space="preserve">8.8 Exports</w:t>
      </w:r>
      <w:bookmarkEnd w:id="100"/>
    </w:p>
    <w:p>
      <w:pPr>
        <w:pStyle w:val="Caption"/>
        <w:keepNext/>
      </w:pPr>
      <w:r>
        <w:rPr/>
        <w:t xml:space="preserve">Tableau 22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1" w:name="_Toc00101"/>
      <w:r>
        <w:rPr/>
        <w:t xml:space="preserve">8.9 Thème et affichage mobile</w:t>
      </w:r>
      <w:bookmarkEnd w:id="101"/>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4" name="Image 34" descr="Tableau de bord en thème sombre"/>
            <wp:cNvGraphicFramePr>
              <a:graphicFrameLocks noChangeAspect="1"/>
            </wp:cNvGraphicFramePr>
            <a:graphic>
              <a:graphicData uri="http://schemas.openxmlformats.org/drawingml/2006/picture">
                <pic:pic>
                  <pic:nvPicPr>
                    <pic:cNvPr id="34" name="dashboard_dark.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33</w:t>
        </w:r>
      </w:fldSimple>
      <w:r>
        <w:rPr/>
        <w:t xml:space="preserve"> – Tableau de bord en thème sombre</w:t>
      </w:r>
      <w:bookmarkEnd w:id="102"/>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5" name="Image 35"/>
                  <wp:cNvGraphicFramePr>
                    <a:graphicFrameLocks noChangeAspect="1"/>
                  </wp:cNvGraphicFramePr>
                  <a:graphic>
                    <a:graphicData uri="http://schemas.openxmlformats.org/drawingml/2006/picture">
                      <pic:pic>
                        <pic:nvPicPr>
                          <pic:cNvPr id="35" name="mobile_dashboard.png"/>
                          <pic:cNvPicPr/>
                        </pic:nvPicPr>
                        <pic:blipFill>
                          <a:blip r:embed="rIdImg35"/>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menu.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3" w:name="_Fig00103"/>
      <w:r>
        <w:rPr/>
        <w:t xml:space="preserve">Figure </w:t>
      </w:r>
      <w:fldSimple w:instr=" SEQ Figure \* ARABIC ">
        <w:r>
          <w:t>34</w:t>
        </w:r>
      </w:fldSimple>
      <w:r>
        <w:rPr/>
        <w:t xml:space="preserve"> – Affichage sur téléphone : tableau de bord et menu</w:t>
      </w:r>
      <w:bookmarkEnd w:id="103"/>
    </w:p>
    <w:p>
      <w:pPr>
        <w:pStyle w:val="Heading2"/>
      </w:pPr>
      <w:bookmarkStart w:id="104" w:name="_Toc00104"/>
      <w:r>
        <w:rPr/>
        <w:t xml:space="preserve">8.10 Rapport Excel mensuel</w:t>
      </w:r>
      <w:bookmarkEnd w:id="104"/>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23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5" w:name="_Toc00105"/>
      <w:r>
        <w:rPr/>
        <w:t xml:space="preserve">8.11 Rapport par e-mail</w:t>
      </w:r>
      <w:bookmarkEnd w:id="105"/>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7" name="Image 37" descr="Rapport mensuel reçu par e-mail"/>
            <wp:cNvGraphicFramePr>
              <a:graphicFrameLocks noChangeAspect="1"/>
            </wp:cNvGraphicFramePr>
            <a:graphic>
              <a:graphicData uri="http://schemas.openxmlformats.org/drawingml/2006/picture">
                <pic:pic>
                  <pic:nvPicPr>
                    <pic:cNvPr id="37" name="email.png"/>
                    <pic:cNvPicPr/>
                  </pic:nvPicPr>
                  <pic:blipFill>
                    <a:blip r:embed="rIdImg37"/>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6" w:name="_Fig00106"/>
      <w:r>
        <w:rPr/>
        <w:t xml:space="preserve">Figure </w:t>
      </w:r>
      <w:fldSimple w:instr=" SEQ Figure \* ARABIC ">
        <w:r>
          <w:t>35</w:t>
        </w:r>
      </w:fldSimple>
      <w:r>
        <w:rPr/>
        <w:t xml:space="preserve"> – Rapport mensuel reçu par e-mail</w:t>
      </w:r>
      <w:bookmarkEnd w:id="106"/>
    </w:p>
    <w:p>
      <w:pPr>
        <w:pStyle w:val="Heading1"/>
      </w:pPr>
      <w:bookmarkStart w:id="107" w:name="_Toc00107"/>
      <w:r>
        <w:rPr/>
        <w:t xml:space="preserve">9. Sauvegarde, restauration et rétention</w:t>
      </w:r>
      <w:bookmarkEnd w:id="107"/>
    </w:p>
    <w:p>
      <w:pPr>
        <w:pStyle w:val="Heading2"/>
      </w:pPr>
      <w:bookmarkStart w:id="108" w:name="_Toc00108"/>
      <w:r>
        <w:rPr/>
        <w:t xml:space="preserve">9.1 Éléments à sauvegarder</w:t>
      </w:r>
      <w:bookmarkEnd w:id="108"/>
    </w:p>
    <w:p>
      <w:pPr>
        <w:pStyle w:val="Caption"/>
        <w:keepNext/>
      </w:pPr>
      <w:r>
        <w:rPr/>
        <w:t xml:space="preserve">Tableau 24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09" w:name="_Toc00109"/>
      <w:r>
        <w:rPr/>
        <w:t xml:space="preserve">9.2 Politique de rétention</w:t>
      </w:r>
      <w:bookmarkEnd w:id="109"/>
    </w:p>
    <w:p>
      <w:pPr>
        <w:pStyle w:val="Caption"/>
        <w:keepNext/>
      </w:pPr>
      <w:r>
        <w:rPr/>
        <w:t xml:space="preserve">Tableau 25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0" w:name="_Toc00110"/>
      <w:r>
        <w:rPr/>
        <w:t xml:space="preserve">9.3 Procédure de sauvegarde SQL</w:t>
      </w:r>
      <w:bookmarkEnd w:id="110"/>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1" w:name="_Toc00111"/>
      <w:r>
        <w:rPr/>
        <w:t xml:space="preserve">9.4 Procédure de restauration</w:t>
      </w:r>
      <w:bookmarkEnd w:id="111"/>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2" w:name="_Toc00112"/>
      <w:r>
        <w:rPr/>
        <w:t xml:space="preserve">9.5 Purge manuelle</w:t>
      </w:r>
      <w:bookmarkEnd w:id="112"/>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3" w:name="_Toc00113"/>
      <w:r>
        <w:rPr/>
        <w:t xml:space="preserve">10. Sécurité</w:t>
      </w:r>
      <w:bookmarkEnd w:id="113"/>
    </w:p>
    <w:p>
      <w:pPr>
        <w:pStyle w:val="Heading2"/>
      </w:pPr>
      <w:bookmarkStart w:id="114" w:name="_Toc00114"/>
      <w:r>
        <w:rPr/>
        <w:t xml:space="preserve">10.1 Principes</w:t>
      </w:r>
      <w:bookmarkEnd w:id="114"/>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5" w:name="_Toc00115"/>
      <w:r>
        <w:rPr/>
        <w:t xml:space="preserve">10.2 Authentification et habilitations</w:t>
      </w:r>
      <w:bookmarkEnd w:id="115"/>
    </w:p>
    <w:p>
      <w:pPr>
        <w:pStyle w:val="Caption"/>
        <w:keepNext/>
      </w:pPr>
      <w:r>
        <w:rPr/>
        <w:t xml:space="preserve">Tableau 26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16" w:name="_Toc00116"/>
      <w:r>
        <w:rPr/>
        <w:t xml:space="preserve">10.3 Chiffrement</w:t>
      </w:r>
      <w:bookmarkEnd w:id="116"/>
    </w:p>
    <w:p>
      <w:pPr>
        <w:pStyle w:val="Caption"/>
        <w:keepNext/>
      </w:pPr>
      <w:r>
        <w:rPr/>
        <w:t xml:space="preserve">Tableau 27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17" w:name="_Toc00117"/>
      <w:r>
        <w:rPr/>
        <w:t xml:space="preserve">10.4 Traçabilité</w:t>
      </w:r>
      <w:bookmarkEnd w:id="117"/>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18" w:name="_Toc00118"/>
      <w:r>
        <w:rPr/>
        <w:t xml:space="preserve">10.5 Données personnelles</w:t>
      </w:r>
      <w:bookmarkEnd w:id="118"/>
    </w:p>
    <w:p>
      <w:pPr>
        <w:pStyle w:val="Caption"/>
        <w:keepNext/>
      </w:pPr>
      <w:r>
        <w:rPr/>
        <w:t xml:space="preserve">Tableau 28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19" w:name="_Toc00119"/>
      <w:r>
        <w:rPr/>
        <w:t xml:space="preserve">10.6 Liste de contrôle de déploiement</w:t>
      </w:r>
      <w:bookmarkEnd w:id="119"/>
    </w:p>
    <w:p>
      <w:pPr>
        <w:pStyle w:val="Caption"/>
        <w:keepNext/>
      </w:pPr>
      <w:r>
        <w:rPr/>
        <w:t xml:space="preserve">Tableau 29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0" w:name="_Toc00120"/>
      <w:r>
        <w:rPr/>
        <w:t xml:space="preserve">10.7 Risques résiduels</w:t>
      </w:r>
      <w:bookmarkEnd w:id="120"/>
    </w:p>
    <w:p>
      <w:pPr>
        <w:pStyle w:val="Caption"/>
        <w:keepNext/>
      </w:pPr>
      <w:r>
        <w:rPr/>
        <w:t xml:space="preserve">Tableau 30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1" w:name="_Toc00121"/>
      <w:r>
        <w:rPr/>
        <w:t xml:space="preserve">11. Gestion des incidents</w:t>
      </w:r>
      <w:bookmarkEnd w:id="121"/>
    </w:p>
    <w:p>
      <w:pPr>
        <w:pStyle w:val="Heading2"/>
      </w:pPr>
      <w:bookmarkStart w:id="122" w:name="_Toc00122"/>
      <w:r>
        <w:rPr/>
        <w:t xml:space="preserve">11.1 Démarche de diagnostic</w:t>
      </w:r>
      <w:bookmarkEnd w:id="122"/>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3" w:name="_Toc00123"/>
      <w:r>
        <w:rPr/>
        <w:t xml:space="preserve">11.2 Incidents courants</w:t>
      </w:r>
      <w:bookmarkEnd w:id="123"/>
    </w:p>
    <w:p>
      <w:pPr>
        <w:pStyle w:val="Caption"/>
        <w:keepNext/>
      </w:pPr>
      <w:r>
        <w:rPr/>
        <w:t xml:space="preserve">Tableau 31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4" w:name="_Toc00124"/>
      <w:r>
        <w:rPr/>
        <w:t xml:space="preserve">11.3 Commandes de diagnostic</w:t>
      </w:r>
      <w:bookmarkEnd w:id="124"/>
    </w:p>
    <w:p>
      <w:pPr>
        <w:pStyle w:val="Caption"/>
        <w:keepNext/>
      </w:pPr>
      <w:r>
        <w:rPr/>
        <w:t xml:space="preserve">Tableau 32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5" w:name="_Toc00125"/>
      <w:r>
        <w:rPr/>
        <w:t xml:space="preserve">11.4 Escalade</w:t>
      </w:r>
      <w:bookmarkEnd w:id="125"/>
    </w:p>
    <w:p>
      <w:pPr>
        <w:pStyle w:val="Caption"/>
        <w:keepNext/>
      </w:pPr>
      <w:r>
        <w:rPr/>
        <w:t xml:space="preserve">Tableau 33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26" w:name="_Toc00126"/>
      <w:r>
        <w:rPr/>
        <w:t xml:space="preserve">12. Maintenance et évolutions</w:t>
      </w:r>
      <w:bookmarkEnd w:id="126"/>
    </w:p>
    <w:p>
      <w:pPr>
        <w:pStyle w:val="Heading2"/>
      </w:pPr>
      <w:bookmarkStart w:id="127" w:name="_Toc00127"/>
      <w:r>
        <w:rPr/>
        <w:t xml:space="preserve">12.1 Mise à jour de version</w:t>
      </w:r>
      <w:bookmarkEnd w:id="127"/>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28" w:name="_Toc00128"/>
      <w:r>
        <w:rPr/>
        <w:t xml:space="preserve">12.2 Ajout d'un serveur de licences</w:t>
      </w:r>
      <w:bookmarkEnd w:id="128"/>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29" w:name="_Toc00129"/>
      <w:r>
        <w:rPr/>
        <w:t xml:space="preserve">12.3 Produits, coûts et abonnements</w:t>
      </w:r>
      <w:bookmarkEnd w:id="129"/>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0" w:name="_Toc00130"/>
      <w:r>
        <w:rPr/>
        <w:t xml:space="preserve">12.4 Renouvellement des certificats</w:t>
      </w:r>
      <w:bookmarkEnd w:id="130"/>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1" w:name="_Toc00131"/>
      <w:r>
        <w:rPr/>
        <w:t xml:space="preserve">12.5 Compte de service</w:t>
      </w:r>
      <w:bookmarkEnd w:id="131"/>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2" w:name="_Toc00132"/>
      <w:r>
        <w:rPr/>
        <w:t xml:space="preserve">12.6 Ajout d'un autre gestionnaire de licences</w:t>
      </w:r>
      <w:bookmarkEnd w:id="132"/>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3" w:name="_Toc00133"/>
      <w:r>
        <w:rPr/>
        <w:t xml:space="preserve">13. Continuité et reprise d'activité</w:t>
      </w:r>
      <w:bookmarkEnd w:id="133"/>
    </w:p>
    <w:p>
      <w:pPr>
        <w:pStyle w:val="Heading2"/>
      </w:pPr>
      <w:bookmarkStart w:id="134" w:name="_Toc00134"/>
      <w:r>
        <w:rPr/>
        <w:t xml:space="preserve">13.1 Impact d'une indisponibilité</w:t>
      </w:r>
      <w:bookmarkEnd w:id="134"/>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5" w:name="_Toc00135"/>
      <w:r>
        <w:rPr/>
        <w:t xml:space="preserve">13.2 Scénarios de reprise</w:t>
      </w:r>
      <w:bookmarkEnd w:id="135"/>
    </w:p>
    <w:p>
      <w:pPr>
        <w:pStyle w:val="Caption"/>
        <w:keepNext/>
      </w:pPr>
      <w:r>
        <w:rPr/>
        <w:t xml:space="preserve">Tableau 34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36" w:name="_Toc00136"/>
      <w:r>
        <w:rPr/>
        <w:t xml:space="preserve">13.3 Reconstruction complète</w:t>
      </w:r>
      <w:bookmarkEnd w:id="136"/>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37" w:name="_Toc00137"/>
      <w:r>
        <w:rPr/>
        <w:t xml:space="preserve">14. Contacts et responsabilités</w:t>
      </w:r>
      <w:bookmarkEnd w:id="137"/>
    </w:p>
    <w:p>
      <w:pPr>
        <w:pStyle w:val="Heading2"/>
      </w:pPr>
      <w:bookmarkStart w:id="138" w:name="_Toc00138"/>
      <w:r>
        <w:rPr/>
        <w:t xml:space="preserve">14.1 Contacts</w:t>
      </w:r>
      <w:bookmarkEnd w:id="138"/>
    </w:p>
    <w:p>
      <w:pPr>
        <w:pStyle w:val="Caption"/>
        <w:keepNext/>
      </w:pPr>
      <w:r>
        <w:rPr/>
        <w:t xml:space="preserve">Tableau 35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39" w:name="_Toc00139"/>
      <w:r>
        <w:rPr/>
        <w:t xml:space="preserve">14.2 Matrice des responsabilités (RACI)</w:t>
      </w:r>
      <w:bookmarkEnd w:id="139"/>
    </w:p>
    <w:p>
      <w:pPr/>
      <w:r>
        <w:rPr/>
        <w:t xml:space="preserve">R = réalise, A = approuve, C = consulté, I = informé.</w:t>
      </w:r>
    </w:p>
    <w:p>
      <w:pPr>
        <w:pStyle w:val="Caption"/>
        <w:keepNext/>
      </w:pPr>
      <w:r>
        <w:rPr/>
        <w:t xml:space="preserve">Tableau 36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0" w:name="_Toc00140"/>
      <w:r>
        <w:rPr/>
        <w:t xml:space="preserve">Annexe A. Référence des commandes</w:t>
      </w:r>
      <w:bookmarkEnd w:id="140"/>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37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1" w:name="_Toc00141"/>
      <w:r>
        <w:rPr/>
        <w:t xml:space="preserve">Annexe B. Exemple de configuration</w:t>
      </w:r>
      <w:bookmarkEnd w:id="141"/>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2" w:name="_Toc00142"/>
      <w:r>
        <w:rPr/>
        <w:t xml:space="preserve">Annexe C. Requêtes SQL utiles</w:t>
      </w:r>
      <w:bookmarkEnd w:id="142"/>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3" w:name="_Toc00143"/>
      <w:r>
        <w:rPr/>
        <w:t xml:space="preserve">Annexe D. Fiche de contrôle quotidien</w:t>
      </w:r>
      <w:bookmarkEnd w:id="143"/>
    </w:p>
    <w:p>
      <w:pPr>
        <w:pStyle w:val="Caption"/>
        <w:keepNext/>
      </w:pPr>
      <w:r>
        <w:rPr/>
        <w:t xml:space="preserve">Tableau 38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1.3</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2026-09-28T06:43:04Z</dcterms:created>
  <dcterms:modified xsi:type="dcterms:W3CDTF">2026-09-28T06:43:04Z</dcterms:modified>
</cp:coreProperties>
</file>