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400"/>
      </w:pPr>
    </w:p>
    <w:tbl>
      <w:tblPr>
        <w:tblW w:w="9638" w:type="dxa"/>
        <w:tblLayout w:type="fixed"/>
        <w:tblCellMar>
          <w:top w:w="420" w:type="dxa"/>
          <w:left w:w="480" w:type="dxa"/>
          <w:bottom w:w="420" w:type="dxa"/>
          <w:right w:w="480" w:type="dxa"/>
        </w:tblCellMar>
      </w:tblPr>
      <w:tblGrid>
        <w:gridCol w:w="9638"/>
      </w:tblGrid>
      <w:tr>
        <w:trPr>
          <w:trHeight w:val="6200"/>
        </w:trPr>
        <w:tc>
          <w:tcPr>
            <w:tcW w:w="9638" w:type="dxa"/>
            <w:shd w:val="clear" w:color="auto" w:fill="2A78D6"/>
          </w:tcPr>
          <w:p>
            <w:pPr>
              <w:spacing w:after="360"/>
            </w:pPr>
            <w:r>
              <w:drawing>
                <wp:inline distT="0" distB="0" distL="0" distR="0">
                  <wp:extent cx="792000" cy="792000"/>
                  <wp:docPr id="1" name="Image 1"/>
                  <wp:cNvGraphicFramePr>
                    <a:graphicFrameLocks noChangeAspect="1"/>
                  </wp:cNvGraphicFramePr>
                  <a:graphic>
                    <a:graphicData uri="http://schemas.openxmlformats.org/drawingml/2006/picture">
                      <pic:pic>
                        <pic:nvPicPr>
                          <pic:cNvPr id="1" name="logo.png"/>
                          <pic:cNvPicPr/>
                        </pic:nvPicPr>
                        <pic:blipFill>
                          <a:blip r:embed="rIdImg1"/>
                          <a:stretch>
                            <a:fillRect/>
                          </a:stretch>
                        </pic:blipFill>
                        <pic:spPr>
                          <a:xfrm>
                            <a:off x="0" y="0"/>
                            <a:ext cx="792000" cy="792000"/>
                          </a:xfrm>
                          <a:prstGeom prst="rect">
                            <a:avLst/>
                          </a:prstGeom>
                        </pic:spPr>
                      </pic:pic>
                    </a:graphicData>
                  </a:graphic>
                </wp:inline>
              </w:drawing>
            </w:r>
          </w:p>
          <w:p>
            <w:pPr>
              <w:pStyle w:val="Title"/>
            </w:pPr>
            <w:r>
              <w:rPr/>
              <w:t xml:space="preserve">FreeLM</w:t>
            </w:r>
          </w:p>
          <w:p>
            <w:pPr>
              <w:pStyle w:val="Subtitle"/>
              <w:spacing w:after="120"/>
            </w:pPr>
            <w:r>
              <w:rPr/>
              <w:t xml:space="preserve">Dossier d'exploitation (DEX)</w:t>
            </w:r>
          </w:p>
          <w:p>
            <w:pPr>
              <w:spacing w:after="600"/>
            </w:pPr>
            <w:r>
              <w:rPr>
                <w:color w:val="DCE9F9"/>
                <w:sz w:val="24"/>
                <w:szCs w:val="24"/>
              </w:rPr>
              <w:t xml:space="preserve">Suivi et reporting de la consommation des licences FlexLM / FlexNet</w:t>
            </w:r>
          </w:p>
          <w:p>
            <w:pPr/>
            <w:r>
              <w:rPr>
                <w:color w:val="FFFFFF"/>
                <w:sz w:val="20"/>
                <w:szCs w:val="20"/>
              </w:rPr>
              <w:t xml:space="preserve">Version du document 1.0  ·  Application FreeLM 0.1.0  ·  27/09/2026</w:t>
            </w:r>
          </w:p>
        </w:tc>
      </w:tr>
    </w:tbl>
    <w:p>
      <w:pPr>
        <w:spacing w:after="700"/>
      </w:pP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920"/>
        <w:gridCol w:w="6717"/>
      </w:tblGrid>
      <w:tr>
        <w:trPr>
          <w:tblHeader/>
          <w:cantSplit/>
        </w:trPr>
        <w:tc>
          <w:tcPr>
            <w:tcW w:w="2920" w:type="dxa"/>
            <w:shd w:val="clear" w:color="auto" w:fill="2A78D6"/>
          </w:tcPr>
          <w:p>
            <w:pPr>
              <w:pStyle w:val="TableText"/>
            </w:pPr>
            <w:r>
              <w:rPr>
                <w:b/>
                <w:color w:val="FFFFFF"/>
                <w:sz w:val="18"/>
                <w:szCs w:val="18"/>
              </w:rPr>
              <w:t xml:space="preserve">Élément</w:t>
            </w:r>
          </w:p>
        </w:tc>
        <w:tc>
          <w:tcPr>
            <w:tcW w:w="6717" w:type="dxa"/>
            <w:shd w:val="clear" w:color="auto" w:fill="2A78D6"/>
          </w:tcPr>
          <w:p>
            <w:pPr>
              <w:pStyle w:val="TableText"/>
            </w:pPr>
            <w:r>
              <w:rPr>
                <w:b/>
                <w:color w:val="FFFFFF"/>
                <w:sz w:val="18"/>
                <w:szCs w:val="18"/>
              </w:rPr>
              <w:t xml:space="preserve">Valeur</w:t>
            </w:r>
          </w:p>
        </w:tc>
      </w:tr>
      <w:tr>
        <w:trPr>
          <w:cantSplit/>
        </w:trPr>
        <w:tc>
          <w:tcPr>
            <w:tcW w:w="2920" w:type="dxa"/>
          </w:tcPr>
          <w:p>
            <w:pPr>
              <w:pStyle w:val="TableText"/>
            </w:pPr>
            <w:r>
              <w:rPr>
                <w:b/>
                <w:sz w:val="18"/>
                <w:szCs w:val="18"/>
              </w:rPr>
              <w:t xml:space="preserve">Titre</w:t>
            </w:r>
          </w:p>
        </w:tc>
        <w:tc>
          <w:tcPr>
            <w:tcW w:w="6717" w:type="dxa"/>
          </w:tcPr>
          <w:p>
            <w:pPr>
              <w:pStyle w:val="TableText"/>
            </w:pPr>
            <w:r>
              <w:rPr>
                <w:sz w:val="18"/>
                <w:szCs w:val="18"/>
              </w:rPr>
              <w:t xml:space="preserve">Dossier d'exploitation de l'application FreeLM</w:t>
            </w:r>
          </w:p>
        </w:tc>
      </w:tr>
      <w:tr>
        <w:trPr>
          <w:cantSplit/>
        </w:trPr>
        <w:tc>
          <w:tcPr>
            <w:tcW w:w="2920" w:type="dxa"/>
            <w:shd w:val="clear" w:color="auto" w:fill="F4F7FC"/>
          </w:tcPr>
          <w:p>
            <w:pPr>
              <w:pStyle w:val="TableText"/>
            </w:pPr>
            <w:r>
              <w:rPr>
                <w:b/>
                <w:sz w:val="18"/>
                <w:szCs w:val="18"/>
              </w:rPr>
              <w:t xml:space="preserve">Référence</w:t>
            </w:r>
          </w:p>
        </w:tc>
        <w:tc>
          <w:tcPr>
            <w:tcW w:w="6717" w:type="dxa"/>
            <w:shd w:val="clear" w:color="auto" w:fill="F4F7FC"/>
          </w:tcPr>
          <w:p>
            <w:pPr>
              <w:pStyle w:val="TableText"/>
            </w:pPr>
            <w:r>
              <w:rPr>
                <w:sz w:val="18"/>
                <w:szCs w:val="18"/>
              </w:rPr>
              <w:t xml:space="preserve">DEX-FREELM-001</w:t>
            </w:r>
          </w:p>
        </w:tc>
      </w:tr>
      <w:tr>
        <w:trPr>
          <w:cantSplit/>
        </w:trPr>
        <w:tc>
          <w:tcPr>
            <w:tcW w:w="2920" w:type="dxa"/>
          </w:tcPr>
          <w:p>
            <w:pPr>
              <w:pStyle w:val="TableText"/>
            </w:pPr>
            <w:r>
              <w:rPr>
                <w:b/>
                <w:sz w:val="18"/>
                <w:szCs w:val="18"/>
              </w:rPr>
              <w:t xml:space="preserve">Version du document</w:t>
            </w:r>
          </w:p>
        </w:tc>
        <w:tc>
          <w:tcPr>
            <w:tcW w:w="6717" w:type="dxa"/>
          </w:tcPr>
          <w:p>
            <w:pPr>
              <w:pStyle w:val="TableText"/>
            </w:pPr>
            <w:r>
              <w:rPr>
                <w:sz w:val="18"/>
                <w:szCs w:val="18"/>
              </w:rPr>
              <w:t xml:space="preserve">1.0 du 27/09/2026</w:t>
            </w:r>
          </w:p>
        </w:tc>
      </w:tr>
      <w:tr>
        <w:trPr>
          <w:cantSplit/>
        </w:trPr>
        <w:tc>
          <w:tcPr>
            <w:tcW w:w="2920" w:type="dxa"/>
            <w:shd w:val="clear" w:color="auto" w:fill="F4F7FC"/>
          </w:tcPr>
          <w:p>
            <w:pPr>
              <w:pStyle w:val="TableText"/>
            </w:pPr>
            <w:r>
              <w:rPr>
                <w:b/>
                <w:sz w:val="18"/>
                <w:szCs w:val="18"/>
              </w:rPr>
              <w:t xml:space="preserve">Version de l'application</w:t>
            </w:r>
          </w:p>
        </w:tc>
        <w:tc>
          <w:tcPr>
            <w:tcW w:w="6717" w:type="dxa"/>
            <w:shd w:val="clear" w:color="auto" w:fill="F4F7FC"/>
          </w:tcPr>
          <w:p>
            <w:pPr>
              <w:pStyle w:val="TableText"/>
            </w:pPr>
            <w:r>
              <w:rPr>
                <w:sz w:val="18"/>
                <w:szCs w:val="18"/>
              </w:rPr>
              <w:t xml:space="preserve">FreeLM 0.1.0 (schéma de base v3)</w:t>
            </w:r>
          </w:p>
        </w:tc>
      </w:tr>
      <w:tr>
        <w:trPr>
          <w:cantSplit/>
        </w:trPr>
        <w:tc>
          <w:tcPr>
            <w:tcW w:w="2920" w:type="dxa"/>
          </w:tcPr>
          <w:p>
            <w:pPr>
              <w:pStyle w:val="TableText"/>
            </w:pPr>
            <w:r>
              <w:rPr>
                <w:b/>
                <w:sz w:val="18"/>
                <w:szCs w:val="18"/>
              </w:rPr>
              <w:t xml:space="preserve">Statut</w:t>
            </w:r>
          </w:p>
        </w:tc>
        <w:tc>
          <w:tcPr>
            <w:tcW w:w="6717" w:type="dxa"/>
          </w:tcPr>
          <w:p>
            <w:pPr>
              <w:pStyle w:val="TableText"/>
            </w:pPr>
            <w:r>
              <w:rPr>
                <w:sz w:val="18"/>
                <w:szCs w:val="18"/>
              </w:rPr>
              <w:t xml:space="preserve">À valider</w:t>
            </w:r>
          </w:p>
        </w:tc>
      </w:tr>
      <w:tr>
        <w:trPr>
          <w:cantSplit/>
        </w:trPr>
        <w:tc>
          <w:tcPr>
            <w:tcW w:w="2920" w:type="dxa"/>
            <w:shd w:val="clear" w:color="auto" w:fill="F4F7FC"/>
          </w:tcPr>
          <w:p>
            <w:pPr>
              <w:pStyle w:val="TableText"/>
            </w:pPr>
            <w:r>
              <w:rPr>
                <w:b/>
                <w:sz w:val="18"/>
                <w:szCs w:val="18"/>
              </w:rPr>
              <w:t xml:space="preserve">Classification</w:t>
            </w:r>
          </w:p>
        </w:tc>
        <w:tc>
          <w:tcPr>
            <w:tcW w:w="6717" w:type="dxa"/>
            <w:shd w:val="clear" w:color="auto" w:fill="F4F7FC"/>
          </w:tcPr>
          <w:p>
            <w:pPr>
              <w:pStyle w:val="TableText"/>
            </w:pPr>
            <w:r>
              <w:rPr>
                <w:sz w:val="18"/>
                <w:szCs w:val="18"/>
              </w:rPr>
              <w:t xml:space="preserve">Diffusion interne</w:t>
            </w:r>
          </w:p>
        </w:tc>
      </w:tr>
      <w:tr>
        <w:trPr>
          <w:cantSplit/>
        </w:trPr>
        <w:tc>
          <w:tcPr>
            <w:tcW w:w="2920" w:type="dxa"/>
          </w:tcPr>
          <w:p>
            <w:pPr>
              <w:pStyle w:val="TableText"/>
            </w:pPr>
            <w:r>
              <w:rPr>
                <w:b/>
                <w:sz w:val="18"/>
                <w:szCs w:val="18"/>
              </w:rPr>
              <w:t xml:space="preserve">Dépôt source</w:t>
            </w:r>
          </w:p>
        </w:tc>
        <w:tc>
          <w:tcPr>
            <w:tcW w:w="6717" w:type="dxa"/>
          </w:tcPr>
          <w:p>
            <w:pPr>
              <w:pStyle w:val="TableText"/>
            </w:pPr>
            <w:r>
              <w:rPr>
                <w:sz w:val="18"/>
                <w:szCs w:val="18"/>
              </w:rPr>
              <w:t xml:space="preserve">github.com/Valou94460/FREE-LM</w:t>
            </w:r>
          </w:p>
        </w:tc>
      </w:tr>
    </w:tbl>
    <w:p>
      <w:pPr>
        <w:spacing w:after="80"/>
      </w:pPr>
    </w:p>
    <w:p>
      <w:r>
        <w:br w:type="page"/>
      </w:r>
    </w:p>
    <w:p>
      <w:pPr>
        <w:pStyle w:val="TOCHeading"/>
      </w:pPr>
      <w:r>
        <w:rPr/>
        <w:t xml:space="preserve">Suivi du document</w:t>
      </w:r>
    </w:p>
    <w:p>
      <w:pPr>
        <w:keepNext/>
      </w:pPr>
      <w:r>
        <w:rPr>
          <w:b/>
          <w:color w:val="1C5CAB"/>
          <w:sz w:val="24"/>
          <w:szCs w:val="24"/>
        </w:rPr>
        <w:t xml:space="preserve">Historique des versions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070"/>
        <w:gridCol w:w="1338"/>
        <w:gridCol w:w="1874"/>
        <w:gridCol w:w="5354"/>
      </w:tblGrid>
      <w:tr>
        <w:trPr>
          <w:tblHeader/>
          <w:cantSplit/>
        </w:trPr>
        <w:tc>
          <w:tcPr>
            <w:tcW w:w="1070" w:type="dxa"/>
            <w:shd w:val="clear" w:color="auto" w:fill="2A78D6"/>
          </w:tcPr>
          <w:p>
            <w:pPr>
              <w:pStyle w:val="TableText"/>
            </w:pPr>
            <w:r>
              <w:rPr>
                <w:b/>
                <w:color w:val="FFFFFF"/>
                <w:sz w:val="18"/>
                <w:szCs w:val="18"/>
              </w:rPr>
              <w:t xml:space="preserve">Version</w:t>
            </w:r>
          </w:p>
        </w:tc>
        <w:tc>
          <w:tcPr>
            <w:tcW w:w="1338" w:type="dxa"/>
            <w:shd w:val="clear" w:color="auto" w:fill="2A78D6"/>
          </w:tcPr>
          <w:p>
            <w:pPr>
              <w:pStyle w:val="TableText"/>
            </w:pPr>
            <w:r>
              <w:rPr>
                <w:b/>
                <w:color w:val="FFFFFF"/>
                <w:sz w:val="18"/>
                <w:szCs w:val="18"/>
              </w:rPr>
              <w:t xml:space="preserve">Date</w:t>
            </w:r>
          </w:p>
        </w:tc>
        <w:tc>
          <w:tcPr>
            <w:tcW w:w="1874" w:type="dxa"/>
            <w:shd w:val="clear" w:color="auto" w:fill="2A78D6"/>
          </w:tcPr>
          <w:p>
            <w:pPr>
              <w:pStyle w:val="TableText"/>
            </w:pPr>
            <w:r>
              <w:rPr>
                <w:b/>
                <w:color w:val="FFFFFF"/>
                <w:sz w:val="18"/>
                <w:szCs w:val="18"/>
              </w:rPr>
              <w:t xml:space="preserve">Auteur</w:t>
            </w:r>
          </w:p>
        </w:tc>
        <w:tc>
          <w:tcPr>
            <w:tcW w:w="5354" w:type="dxa"/>
            <w:shd w:val="clear" w:color="auto" w:fill="2A78D6"/>
          </w:tcPr>
          <w:p>
            <w:pPr>
              <w:pStyle w:val="TableText"/>
            </w:pPr>
            <w:r>
              <w:rPr>
                <w:b/>
                <w:color w:val="FFFFFF"/>
                <w:sz w:val="18"/>
                <w:szCs w:val="18"/>
              </w:rPr>
              <w:t xml:space="preserve">Modifications</w:t>
            </w:r>
          </w:p>
        </w:tc>
      </w:tr>
      <w:tr>
        <w:trPr>
          <w:cantSplit/>
        </w:trPr>
        <w:tc>
          <w:tcPr>
            <w:tcW w:w="1070" w:type="dxa"/>
          </w:tcPr>
          <w:p>
            <w:pPr>
              <w:pStyle w:val="TableText"/>
            </w:pPr>
            <w:r>
              <w:rPr>
                <w:sz w:val="18"/>
                <w:szCs w:val="18"/>
              </w:rPr>
              <w:t xml:space="preserve">1.0</w:t>
            </w:r>
          </w:p>
        </w:tc>
        <w:tc>
          <w:tcPr>
            <w:tcW w:w="1338" w:type="dxa"/>
          </w:tcPr>
          <w:p>
            <w:pPr>
              <w:pStyle w:val="TableText"/>
            </w:pPr>
            <w:r>
              <w:rPr>
                <w:sz w:val="18"/>
                <w:szCs w:val="18"/>
              </w:rPr>
              <w:t xml:space="preserve">27/09/2026</w:t>
            </w:r>
          </w:p>
        </w:tc>
        <w:tc>
          <w:tcPr>
            <w:tcW w:w="1874" w:type="dxa"/>
          </w:tcPr>
          <w:p>
            <w:pPr>
              <w:pStyle w:val="TableText"/>
            </w:pPr>
            <w:r>
              <w:rPr>
                <w:sz w:val="18"/>
                <w:szCs w:val="18"/>
              </w:rPr>
              <w:t xml:space="preserve">Équipe FreeLM</w:t>
            </w:r>
          </w:p>
        </w:tc>
        <w:tc>
          <w:tcPr>
            <w:tcW w:w="5354" w:type="dxa"/>
          </w:tcPr>
          <w:p>
            <w:pPr>
              <w:pStyle w:val="TableText"/>
            </w:pPr>
            <w:r>
              <w:rPr>
                <w:sz w:val="18"/>
                <w:szCs w:val="18"/>
              </w:rPr>
              <w:t xml:space="preserve">Création du document : architecture, installation, exploitation, guide de l'interface, sauvegarde, sécurité, incidents, maintenance.</w:t>
            </w:r>
          </w:p>
        </w:tc>
      </w:tr>
      <w:tr>
        <w:trPr>
          <w:cantSplit/>
        </w:trPr>
        <w:tc>
          <w:tcPr>
            <w:tcW w:w="1070" w:type="dxa"/>
            <w:shd w:val="clear" w:color="auto" w:fill="F4F7FC"/>
          </w:tcPr>
          <w:p>
            <w:pPr>
              <w:pStyle w:val="TableText"/>
            </w:pPr>
          </w:p>
        </w:tc>
        <w:tc>
          <w:tcPr>
            <w:tcW w:w="1338" w:type="dxa"/>
            <w:shd w:val="clear" w:color="auto" w:fill="F4F7FC"/>
          </w:tcPr>
          <w:p>
            <w:pPr>
              <w:pStyle w:val="TableText"/>
            </w:pPr>
          </w:p>
        </w:tc>
        <w:tc>
          <w:tcPr>
            <w:tcW w:w="1874" w:type="dxa"/>
            <w:shd w:val="clear" w:color="auto" w:fill="F4F7FC"/>
          </w:tcPr>
          <w:p>
            <w:pPr>
              <w:pStyle w:val="TableText"/>
            </w:pPr>
          </w:p>
        </w:tc>
        <w:tc>
          <w:tcPr>
            <w:tcW w:w="5354" w:type="dxa"/>
            <w:shd w:val="clear" w:color="auto" w:fill="F4F7FC"/>
          </w:tcPr>
          <w:p>
            <w:pPr>
              <w:pStyle w:val="TableText"/>
            </w:pPr>
          </w:p>
        </w:tc>
      </w:tr>
    </w:tbl>
    <w:p>
      <w:pPr>
        <w:spacing w:after="80"/>
      </w:pPr>
    </w:p>
    <w:p>
      <w:pPr>
        <w:keepNext/>
      </w:pPr>
      <w:r>
        <w:rPr>
          <w:b/>
          <w:color w:val="1C5CAB"/>
          <w:sz w:val="24"/>
          <w:szCs w:val="24"/>
        </w:rPr>
        <w:t xml:space="preserve">Validation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02"/>
        <w:gridCol w:w="3029"/>
        <w:gridCol w:w="1239"/>
        <w:gridCol w:w="1239"/>
      </w:tblGrid>
      <w:tr>
        <w:trPr>
          <w:tblHeader/>
          <w:cantSplit/>
        </w:trPr>
        <w:tc>
          <w:tcPr>
            <w:tcW w:w="1927" w:type="dxa"/>
            <w:shd w:val="clear" w:color="auto" w:fill="2A78D6"/>
          </w:tcPr>
          <w:p>
            <w:pPr>
              <w:pStyle w:val="TableText"/>
            </w:pPr>
            <w:r>
              <w:rPr>
                <w:b/>
                <w:color w:val="FFFFFF"/>
                <w:sz w:val="18"/>
                <w:szCs w:val="18"/>
              </w:rPr>
              <w:t xml:space="preserve">Rôle</w:t>
            </w:r>
          </w:p>
        </w:tc>
        <w:tc>
          <w:tcPr>
            <w:tcW w:w="2202" w:type="dxa"/>
            <w:shd w:val="clear" w:color="auto" w:fill="2A78D6"/>
          </w:tcPr>
          <w:p>
            <w:pPr>
              <w:pStyle w:val="TableText"/>
            </w:pPr>
            <w:r>
              <w:rPr>
                <w:b/>
                <w:color w:val="FFFFFF"/>
                <w:sz w:val="18"/>
                <w:szCs w:val="18"/>
              </w:rPr>
              <w:t xml:space="preserve">Nom</w:t>
            </w:r>
          </w:p>
        </w:tc>
        <w:tc>
          <w:tcPr>
            <w:tcW w:w="3029" w:type="dxa"/>
            <w:shd w:val="clear" w:color="auto" w:fill="2A78D6"/>
          </w:tcPr>
          <w:p>
            <w:pPr>
              <w:pStyle w:val="TableText"/>
            </w:pPr>
            <w:r>
              <w:rPr>
                <w:b/>
                <w:color w:val="FFFFFF"/>
                <w:sz w:val="18"/>
                <w:szCs w:val="18"/>
              </w:rPr>
              <w:t xml:space="preserve">Fonction</w:t>
            </w:r>
          </w:p>
        </w:tc>
        <w:tc>
          <w:tcPr>
            <w:tcW w:w="1239" w:type="dxa"/>
            <w:shd w:val="clear" w:color="auto" w:fill="2A78D6"/>
          </w:tcPr>
          <w:p>
            <w:pPr>
              <w:pStyle w:val="TableText"/>
            </w:pPr>
            <w:r>
              <w:rPr>
                <w:b/>
                <w:color w:val="FFFFFF"/>
                <w:sz w:val="18"/>
                <w:szCs w:val="18"/>
              </w:rPr>
              <w:t xml:space="preserve">Date</w:t>
            </w:r>
          </w:p>
        </w:tc>
        <w:tc>
          <w:tcPr>
            <w:tcW w:w="1239" w:type="dxa"/>
            <w:shd w:val="clear" w:color="auto" w:fill="2A78D6"/>
          </w:tcPr>
          <w:p>
            <w:pPr>
              <w:pStyle w:val="TableText"/>
            </w:pPr>
            <w:r>
              <w:rPr>
                <w:b/>
                <w:color w:val="FFFFFF"/>
                <w:sz w:val="18"/>
                <w:szCs w:val="18"/>
              </w:rPr>
              <w:t xml:space="preserve">Visa</w:t>
            </w:r>
          </w:p>
        </w:tc>
      </w:tr>
      <w:tr>
        <w:trPr>
          <w:cantSplit/>
        </w:trPr>
        <w:tc>
          <w:tcPr>
            <w:tcW w:w="1927" w:type="dxa"/>
          </w:tcPr>
          <w:p>
            <w:pPr>
              <w:pStyle w:val="TableText"/>
            </w:pPr>
            <w:r>
              <w:rPr>
                <w:sz w:val="18"/>
                <w:szCs w:val="18"/>
              </w:rPr>
              <w:t xml:space="preserve">Rédaction</w:t>
            </w:r>
          </w:p>
        </w:tc>
        <w:tc>
          <w:tcPr>
            <w:tcW w:w="2202" w:type="dxa"/>
          </w:tcPr>
          <w:p>
            <w:pPr>
              <w:pStyle w:val="TableText"/>
            </w:pPr>
          </w:p>
        </w:tc>
        <w:tc>
          <w:tcPr>
            <w:tcW w:w="3029" w:type="dxa"/>
          </w:tcPr>
          <w:p>
            <w:pPr>
              <w:pStyle w:val="TableText"/>
            </w:pPr>
            <w:r>
              <w:rPr>
                <w:sz w:val="18"/>
                <w:szCs w:val="18"/>
              </w:rPr>
              <w:t xml:space="preserve">Chef de projet FreeLM</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Vérification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de l'exploitation</w:t>
            </w:r>
          </w:p>
        </w:tc>
        <w:tc>
          <w:tcPr>
            <w:tcW w:w="1239" w:type="dxa"/>
            <w:shd w:val="clear" w:color="auto" w:fill="F4F7FC"/>
          </w:tcPr>
          <w:p>
            <w:pPr>
              <w:pStyle w:val="TableText"/>
            </w:pPr>
          </w:p>
        </w:tc>
        <w:tc>
          <w:tcPr>
            <w:tcW w:w="1239" w:type="dxa"/>
            <w:shd w:val="clear" w:color="auto" w:fill="F4F7FC"/>
          </w:tcPr>
          <w:p>
            <w:pPr>
              <w:pStyle w:val="TableText"/>
            </w:pPr>
          </w:p>
        </w:tc>
      </w:tr>
      <w:tr>
        <w:trPr>
          <w:cantSplit/>
        </w:trPr>
        <w:tc>
          <w:tcPr>
            <w:tcW w:w="1927" w:type="dxa"/>
          </w:tcPr>
          <w:p>
            <w:pPr>
              <w:pStyle w:val="TableText"/>
            </w:pPr>
            <w:r>
              <w:rPr>
                <w:sz w:val="18"/>
                <w:szCs w:val="18"/>
              </w:rPr>
              <w:t xml:space="preserve">Vérification sécurité</w:t>
            </w:r>
          </w:p>
        </w:tc>
        <w:tc>
          <w:tcPr>
            <w:tcW w:w="2202" w:type="dxa"/>
          </w:tcPr>
          <w:p>
            <w:pPr>
              <w:pStyle w:val="TableText"/>
            </w:pPr>
          </w:p>
        </w:tc>
        <w:tc>
          <w:tcPr>
            <w:tcW w:w="3029" w:type="dxa"/>
          </w:tcPr>
          <w:p>
            <w:pPr>
              <w:pStyle w:val="TableText"/>
            </w:pPr>
            <w:r>
              <w:rPr>
                <w:sz w:val="18"/>
                <w:szCs w:val="18"/>
              </w:rPr>
              <w:t xml:space="preserve">RSSI</w:t>
            </w:r>
          </w:p>
        </w:tc>
        <w:tc>
          <w:tcPr>
            <w:tcW w:w="1239" w:type="dxa"/>
          </w:tcPr>
          <w:p>
            <w:pPr>
              <w:pStyle w:val="TableText"/>
            </w:pPr>
          </w:p>
        </w:tc>
        <w:tc>
          <w:tcPr>
            <w:tcW w:w="1239" w:type="dxa"/>
          </w:tcPr>
          <w:p>
            <w:pPr>
              <w:pStyle w:val="TableText"/>
            </w:pPr>
          </w:p>
        </w:tc>
      </w:tr>
      <w:tr>
        <w:trPr>
          <w:cantSplit/>
        </w:trPr>
        <w:tc>
          <w:tcPr>
            <w:tcW w:w="1927" w:type="dxa"/>
            <w:shd w:val="clear" w:color="auto" w:fill="F4F7FC"/>
          </w:tcPr>
          <w:p>
            <w:pPr>
              <w:pStyle w:val="TableText"/>
            </w:pPr>
            <w:r>
              <w:rPr>
                <w:sz w:val="18"/>
                <w:szCs w:val="18"/>
              </w:rPr>
              <w:t xml:space="preserve">Approbation</w:t>
            </w:r>
          </w:p>
        </w:tc>
        <w:tc>
          <w:tcPr>
            <w:tcW w:w="2202" w:type="dxa"/>
            <w:shd w:val="clear" w:color="auto" w:fill="F4F7FC"/>
          </w:tcPr>
          <w:p>
            <w:pPr>
              <w:pStyle w:val="TableText"/>
            </w:pPr>
          </w:p>
        </w:tc>
        <w:tc>
          <w:tcPr>
            <w:tcW w:w="3029" w:type="dxa"/>
            <w:shd w:val="clear" w:color="auto" w:fill="F4F7FC"/>
          </w:tcPr>
          <w:p>
            <w:pPr>
              <w:pStyle w:val="TableText"/>
            </w:pPr>
            <w:r>
              <w:rPr>
                <w:sz w:val="18"/>
                <w:szCs w:val="18"/>
              </w:rPr>
              <w:t xml:space="preserve">Responsable applicatif (métier)</w:t>
            </w:r>
          </w:p>
        </w:tc>
        <w:tc>
          <w:tcPr>
            <w:tcW w:w="1239" w:type="dxa"/>
            <w:shd w:val="clear" w:color="auto" w:fill="F4F7FC"/>
          </w:tcPr>
          <w:p>
            <w:pPr>
              <w:pStyle w:val="TableText"/>
            </w:pPr>
          </w:p>
        </w:tc>
        <w:tc>
          <w:tcPr>
            <w:tcW w:w="1239" w:type="dxa"/>
            <w:shd w:val="clear" w:color="auto" w:fill="F4F7FC"/>
          </w:tcPr>
          <w:p>
            <w:pPr>
              <w:pStyle w:val="TableText"/>
            </w:pPr>
          </w:p>
        </w:tc>
      </w:tr>
    </w:tbl>
    <w:p>
      <w:pPr>
        <w:spacing w:after="80"/>
      </w:pPr>
    </w:p>
    <w:p>
      <w:pPr>
        <w:keepNext/>
      </w:pPr>
      <w:r>
        <w:rPr>
          <w:b/>
          <w:color w:val="1C5CAB"/>
          <w:sz w:val="24"/>
          <w:szCs w:val="24"/>
        </w:rPr>
        <w:t xml:space="preserve">Liste de diffusion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855"/>
        <w:gridCol w:w="5782"/>
      </w:tblGrid>
      <w:tr>
        <w:trPr>
          <w:tblHeader/>
          <w:cantSplit/>
        </w:trPr>
        <w:tc>
          <w:tcPr>
            <w:tcW w:w="3855" w:type="dxa"/>
            <w:shd w:val="clear" w:color="auto" w:fill="2A78D6"/>
          </w:tcPr>
          <w:p>
            <w:pPr>
              <w:pStyle w:val="TableText"/>
            </w:pPr>
            <w:r>
              <w:rPr>
                <w:b/>
                <w:color w:val="FFFFFF"/>
                <w:sz w:val="18"/>
                <w:szCs w:val="18"/>
              </w:rPr>
              <w:t xml:space="preserve">Destinataire</w:t>
            </w:r>
          </w:p>
        </w:tc>
        <w:tc>
          <w:tcPr>
            <w:tcW w:w="5782" w:type="dxa"/>
            <w:shd w:val="clear" w:color="auto" w:fill="2A78D6"/>
          </w:tcPr>
          <w:p>
            <w:pPr>
              <w:pStyle w:val="TableText"/>
            </w:pPr>
            <w:r>
              <w:rPr>
                <w:b/>
                <w:color w:val="FFFFFF"/>
                <w:sz w:val="18"/>
                <w:szCs w:val="18"/>
              </w:rPr>
              <w:t xml:space="preserve">Usage</w:t>
            </w:r>
          </w:p>
        </w:tc>
      </w:tr>
      <w:tr>
        <w:trPr>
          <w:cantSplit/>
        </w:trPr>
        <w:tc>
          <w:tcPr>
            <w:tcW w:w="3855" w:type="dxa"/>
          </w:tcPr>
          <w:p>
            <w:pPr>
              <w:pStyle w:val="TableText"/>
            </w:pPr>
            <w:r>
              <w:rPr>
                <w:sz w:val="18"/>
                <w:szCs w:val="18"/>
              </w:rPr>
              <w:t xml:space="preserve">Équipe d'exploitation (N1 / N2)</w:t>
            </w:r>
          </w:p>
        </w:tc>
        <w:tc>
          <w:tcPr>
            <w:tcW w:w="5782" w:type="dxa"/>
          </w:tcPr>
          <w:p>
            <w:pPr>
              <w:pStyle w:val="TableText"/>
            </w:pPr>
            <w:r>
              <w:rPr>
                <w:sz w:val="18"/>
                <w:szCs w:val="18"/>
              </w:rPr>
              <w:t xml:space="preserve">Exploitation courante, supervision, incidents</w:t>
            </w:r>
          </w:p>
        </w:tc>
      </w:tr>
      <w:tr>
        <w:trPr>
          <w:cantSplit/>
        </w:trPr>
        <w:tc>
          <w:tcPr>
            <w:tcW w:w="3855" w:type="dxa"/>
            <w:shd w:val="clear" w:color="auto" w:fill="F4F7FC"/>
          </w:tcPr>
          <w:p>
            <w:pPr>
              <w:pStyle w:val="TableText"/>
            </w:pPr>
            <w:r>
              <w:rPr>
                <w:sz w:val="18"/>
                <w:szCs w:val="18"/>
              </w:rPr>
              <w:t xml:space="preserve">Administrateurs Windows et SQL Server</w:t>
            </w:r>
          </w:p>
        </w:tc>
        <w:tc>
          <w:tcPr>
            <w:tcW w:w="5782" w:type="dxa"/>
            <w:shd w:val="clear" w:color="auto" w:fill="F4F7FC"/>
          </w:tcPr>
          <w:p>
            <w:pPr>
              <w:pStyle w:val="TableText"/>
            </w:pPr>
            <w:r>
              <w:rPr>
                <w:sz w:val="18"/>
                <w:szCs w:val="18"/>
              </w:rPr>
              <w:t xml:space="preserve">Installation, sauvegarde, restauration, mises à jour</w:t>
            </w:r>
          </w:p>
        </w:tc>
      </w:tr>
      <w:tr>
        <w:trPr>
          <w:cantSplit/>
        </w:trPr>
        <w:tc>
          <w:tcPr>
            <w:tcW w:w="3855" w:type="dxa"/>
          </w:tcPr>
          <w:p>
            <w:pPr>
              <w:pStyle w:val="TableText"/>
            </w:pPr>
            <w:r>
              <w:rPr>
                <w:sz w:val="18"/>
                <w:szCs w:val="18"/>
              </w:rPr>
              <w:t xml:space="preserve">Administrateurs des serveurs de licences</w:t>
            </w:r>
          </w:p>
        </w:tc>
        <w:tc>
          <w:tcPr>
            <w:tcW w:w="5782" w:type="dxa"/>
          </w:tcPr>
          <w:p>
            <w:pPr>
              <w:pStyle w:val="TableText"/>
            </w:pPr>
            <w:r>
              <w:rPr>
                <w:sz w:val="18"/>
                <w:szCs w:val="18"/>
              </w:rPr>
              <w:t xml:space="preserve">Accès lmstat / logs, ajout de serveurs</w:t>
            </w:r>
          </w:p>
        </w:tc>
      </w:tr>
      <w:tr>
        <w:trPr>
          <w:cantSplit/>
        </w:trPr>
        <w:tc>
          <w:tcPr>
            <w:tcW w:w="3855" w:type="dxa"/>
            <w:shd w:val="clear" w:color="auto" w:fill="F4F7FC"/>
          </w:tcPr>
          <w:p>
            <w:pPr>
              <w:pStyle w:val="TableText"/>
            </w:pPr>
            <w:r>
              <w:rPr>
                <w:sz w:val="18"/>
                <w:szCs w:val="18"/>
              </w:rPr>
              <w:t xml:space="preserve">RSSI / DPO</w:t>
            </w:r>
          </w:p>
        </w:tc>
        <w:tc>
          <w:tcPr>
            <w:tcW w:w="5782" w:type="dxa"/>
            <w:shd w:val="clear" w:color="auto" w:fill="F4F7FC"/>
          </w:tcPr>
          <w:p>
            <w:pPr>
              <w:pStyle w:val="TableText"/>
            </w:pPr>
            <w:r>
              <w:rPr>
                <w:sz w:val="18"/>
                <w:szCs w:val="18"/>
              </w:rPr>
              <w:t xml:space="preserve">Sécurité, habilitations, données personnelles</w:t>
            </w:r>
          </w:p>
        </w:tc>
      </w:tr>
      <w:tr>
        <w:trPr>
          <w:cantSplit/>
        </w:trPr>
        <w:tc>
          <w:tcPr>
            <w:tcW w:w="3855" w:type="dxa"/>
          </w:tcPr>
          <w:p>
            <w:pPr>
              <w:pStyle w:val="TableText"/>
            </w:pPr>
            <w:r>
              <w:rPr>
                <w:sz w:val="18"/>
                <w:szCs w:val="18"/>
              </w:rPr>
              <w:t xml:space="preserve">Responsable applicatif</w:t>
            </w:r>
          </w:p>
        </w:tc>
        <w:tc>
          <w:tcPr>
            <w:tcW w:w="5782" w:type="dxa"/>
          </w:tcPr>
          <w:p>
            <w:pPr>
              <w:pStyle w:val="TableText"/>
            </w:pPr>
            <w:r>
              <w:rPr>
                <w:sz w:val="18"/>
                <w:szCs w:val="18"/>
              </w:rPr>
              <w:t xml:space="preserve">Paramétrage fonctionnel (produits, coûts, abonnements)</w:t>
            </w:r>
          </w:p>
        </w:tc>
      </w:tr>
    </w:tbl>
    <w:p>
      <w:pPr>
        <w:spacing w:after="80"/>
      </w:pPr>
    </w:p>
    <w:p>
      <w:r>
        <w:br w:type="page"/>
      </w:r>
    </w:p>
    <w:p>
      <w:pPr>
        <w:pStyle w:val="TOCHeading"/>
      </w:pPr>
      <w:r>
        <w:rPr/>
        <w:t xml:space="preserve">Sommaire</w:t>
      </w:r>
    </w:p>
    <w:p>
      <w:pPr>
        <w:pStyle w:val="TOC1"/>
      </w:pPr>
      <w:r>
        <w:fldChar w:fldCharType="begin"/>
      </w:r>
      <w:r>
        <w:instrText xml:space="preserve"> TOC \o "1-3" \h \z \u </w:instrText>
      </w:r>
      <w:r>
        <w:fldChar w:fldCharType="separate"/>
      </w:r>
      <w:hyperlink w:anchor="_Toc00001" w:history="1">
        <w:r>
          <w:t xml:space="preserve">1. Introduction</w:t>
        </w:r>
        <w:r>
          <w:tab/>
        </w:r>
        <w:r>
          <w:t>7</w:t>
        </w:r>
      </w:hyperlink>
    </w:p>
    <w:p>
      <w:pPr>
        <w:pStyle w:val="TOC2"/>
      </w:pPr>
      <w:hyperlink w:anchor="_Toc00002" w:history="1">
        <w:r>
          <w:t xml:space="preserve">1.1 Objet du document</w:t>
        </w:r>
        <w:r>
          <w:tab/>
        </w:r>
        <w:r>
          <w:t>7</w:t>
        </w:r>
      </w:hyperlink>
    </w:p>
    <w:p>
      <w:pPr>
        <w:pStyle w:val="TOC2"/>
      </w:pPr>
      <w:hyperlink w:anchor="_Toc00003" w:history="1">
        <w:r>
          <w:t xml:space="preserve">1.2 Périmètre</w:t>
        </w:r>
        <w:r>
          <w:tab/>
        </w:r>
        <w:r>
          <w:t>7</w:t>
        </w:r>
      </w:hyperlink>
    </w:p>
    <w:p>
      <w:pPr>
        <w:pStyle w:val="TOC2"/>
      </w:pPr>
      <w:hyperlink w:anchor="_Toc00004" w:history="1">
        <w:r>
          <w:t xml:space="preserve">1.3 Documents de référence</w:t>
        </w:r>
        <w:r>
          <w:tab/>
        </w:r>
        <w:r>
          <w:t>7</w:t>
        </w:r>
      </w:hyperlink>
    </w:p>
    <w:p>
      <w:pPr>
        <w:pStyle w:val="TOC2"/>
      </w:pPr>
      <w:hyperlink w:anchor="_Toc00005" w:history="1">
        <w:r>
          <w:t xml:space="preserve">1.4 Glossaire</w:t>
        </w:r>
        <w:r>
          <w:tab/>
        </w:r>
        <w:r>
          <w:t>8</w:t>
        </w:r>
      </w:hyperlink>
    </w:p>
    <w:p>
      <w:pPr>
        <w:pStyle w:val="TOC1"/>
      </w:pPr>
      <w:hyperlink w:anchor="_Toc00006" w:history="1">
        <w:r>
          <w:t xml:space="preserve">2. Présentation de l'application</w:t>
        </w:r>
        <w:r>
          <w:tab/>
        </w:r>
        <w:r>
          <w:t>9</w:t>
        </w:r>
      </w:hyperlink>
    </w:p>
    <w:p>
      <w:pPr>
        <w:pStyle w:val="TOC2"/>
      </w:pPr>
      <w:hyperlink w:anchor="_Toc00007" w:history="1">
        <w:r>
          <w:t xml:space="preserve">2.1 Finalité</w:t>
        </w:r>
        <w:r>
          <w:tab/>
        </w:r>
        <w:r>
          <w:t>9</w:t>
        </w:r>
      </w:hyperlink>
    </w:p>
    <w:p>
      <w:pPr>
        <w:pStyle w:val="TOC2"/>
      </w:pPr>
      <w:hyperlink w:anchor="_Toc00008" w:history="1">
        <w:r>
          <w:t xml:space="preserve">2.2 Bénéficiaires</w:t>
        </w:r>
        <w:r>
          <w:tab/>
        </w:r>
        <w:r>
          <w:t>9</w:t>
        </w:r>
      </w:hyperlink>
    </w:p>
    <w:p>
      <w:pPr>
        <w:pStyle w:val="TOC2"/>
      </w:pPr>
      <w:hyperlink w:anchor="_Toc00009" w:history="1">
        <w:r>
          <w:t xml:space="preserve">2.3 Fonctionnalités</w:t>
        </w:r>
        <w:r>
          <w:tab/>
        </w:r>
        <w:r>
          <w:t>9</w:t>
        </w:r>
      </w:hyperlink>
    </w:p>
    <w:p>
      <w:pPr>
        <w:pStyle w:val="TOC2"/>
      </w:pPr>
      <w:hyperlink w:anchor="_Toc00011" w:history="1">
        <w:r>
          <w:t xml:space="preserve">2.4 Principes de fonctionnement</w:t>
        </w:r>
        <w:r>
          <w:tab/>
        </w:r>
        <w:r>
          <w:t>10</w:t>
        </w:r>
      </w:hyperlink>
    </w:p>
    <w:p>
      <w:pPr>
        <w:pStyle w:val="TOC2"/>
      </w:pPr>
      <w:hyperlink w:anchor="_Toc00012" w:history="1">
        <w:r>
          <w:t xml:space="preserve">2.5 Criticité et niveau de service</w:t>
        </w:r>
        <w:r>
          <w:tab/>
        </w:r>
        <w:r>
          <w:t>10</w:t>
        </w:r>
      </w:hyperlink>
    </w:p>
    <w:p>
      <w:pPr>
        <w:pStyle w:val="TOC1"/>
      </w:pPr>
      <w:hyperlink w:anchor="_Toc00013" w:history="1">
        <w:r>
          <w:t xml:space="preserve">3. Architecture technique</w:t>
        </w:r>
        <w:r>
          <w:tab/>
        </w:r>
        <w:r>
          <w:t>12</w:t>
        </w:r>
      </w:hyperlink>
    </w:p>
    <w:p>
      <w:pPr>
        <w:pStyle w:val="TOC2"/>
      </w:pPr>
      <w:hyperlink w:anchor="_Toc00014" w:history="1">
        <w:r>
          <w:t xml:space="preserve">3.1 Vue d'ensemble</w:t>
        </w:r>
        <w:r>
          <w:tab/>
        </w:r>
        <w:r>
          <w:t>12</w:t>
        </w:r>
      </w:hyperlink>
    </w:p>
    <w:p>
      <w:pPr>
        <w:pStyle w:val="TOC2"/>
      </w:pPr>
      <w:hyperlink w:anchor="_Toc00016" w:history="1">
        <w:r>
          <w:t xml:space="preserve">3.2 Composants logiciels</w:t>
        </w:r>
        <w:r>
          <w:tab/>
        </w:r>
        <w:r>
          <w:t>12</w:t>
        </w:r>
      </w:hyperlink>
    </w:p>
    <w:p>
      <w:pPr>
        <w:pStyle w:val="TOC2"/>
      </w:pPr>
      <w:hyperlink w:anchor="_Toc00017" w:history="1">
        <w:r>
          <w:t xml:space="preserve">3.3 Matrice des flux réseau</w:t>
        </w:r>
        <w:r>
          <w:tab/>
        </w:r>
        <w:r>
          <w:t>13</w:t>
        </w:r>
      </w:hyperlink>
    </w:p>
    <w:p>
      <w:pPr>
        <w:pStyle w:val="TOC2"/>
      </w:pPr>
      <w:hyperlink w:anchor="_Toc00018" w:history="1">
        <w:r>
          <w:t xml:space="preserve">3.4 Flux de collecte</w:t>
        </w:r>
        <w:r>
          <w:tab/>
        </w:r>
        <w:r>
          <w:t>13</w:t>
        </w:r>
      </w:hyperlink>
    </w:p>
    <w:p>
      <w:pPr>
        <w:pStyle w:val="TOC2"/>
      </w:pPr>
      <w:hyperlink w:anchor="_Toc00020" w:history="1">
        <w:r>
          <w:t xml:space="preserve">3.5 Modèle de données</w:t>
        </w:r>
        <w:r>
          <w:tab/>
        </w:r>
        <w:r>
          <w:t>14</w:t>
        </w:r>
      </w:hyperlink>
    </w:p>
    <w:p>
      <w:pPr>
        <w:pStyle w:val="TOC2"/>
      </w:pPr>
      <w:hyperlink w:anchor="_Toc00022" w:history="1">
        <w:r>
          <w:t xml:space="preserve">3.6 Arborescence d'installation</w:t>
        </w:r>
        <w:r>
          <w:tab/>
        </w:r>
        <w:r>
          <w:t>15</w:t>
        </w:r>
      </w:hyperlink>
    </w:p>
    <w:p>
      <w:pPr>
        <w:pStyle w:val="TOC1"/>
      </w:pPr>
      <w:hyperlink w:anchor="_Toc00023" w:history="1">
        <w:r>
          <w:t xml:space="preserve">4. Prérequis</w:t>
        </w:r>
        <w:r>
          <w:tab/>
        </w:r>
        <w:r>
          <w:t>16</w:t>
        </w:r>
      </w:hyperlink>
    </w:p>
    <w:p>
      <w:pPr>
        <w:pStyle w:val="TOC2"/>
      </w:pPr>
      <w:hyperlink w:anchor="_Toc00024" w:history="1">
        <w:r>
          <w:t xml:space="preserve">4.1 Serveur FreeLM</w:t>
        </w:r>
        <w:r>
          <w:tab/>
        </w:r>
        <w:r>
          <w:t>16</w:t>
        </w:r>
      </w:hyperlink>
    </w:p>
    <w:p>
      <w:pPr>
        <w:pStyle w:val="TOC2"/>
      </w:pPr>
      <w:hyperlink w:anchor="_Toc00025" w:history="1">
        <w:r>
          <w:t xml:space="preserve">4.2 Base de données</w:t>
        </w:r>
        <w:r>
          <w:tab/>
        </w:r>
        <w:r>
          <w:t>16</w:t>
        </w:r>
      </w:hyperlink>
    </w:p>
    <w:p>
      <w:pPr>
        <w:pStyle w:val="TOC2"/>
      </w:pPr>
      <w:hyperlink w:anchor="_Toc00026" w:history="1">
        <w:r>
          <w:t xml:space="preserve">4.3 Comptes et droits</w:t>
        </w:r>
        <w:r>
          <w:tab/>
        </w:r>
        <w:r>
          <w:t>16</w:t>
        </w:r>
      </w:hyperlink>
    </w:p>
    <w:p>
      <w:pPr>
        <w:pStyle w:val="TOC2"/>
      </w:pPr>
      <w:hyperlink w:anchor="_Toc00027" w:history="1">
        <w:r>
          <w:t xml:space="preserve">4.4 Certificats</w:t>
        </w:r>
        <w:r>
          <w:tab/>
        </w:r>
        <w:r>
          <w:t>17</w:t>
        </w:r>
      </w:hyperlink>
    </w:p>
    <w:p>
      <w:pPr>
        <w:pStyle w:val="TOC1"/>
      </w:pPr>
      <w:hyperlink w:anchor="_Toc00028" w:history="1">
        <w:r>
          <w:t xml:space="preserve">5. Installation et mise en service</w:t>
        </w:r>
        <w:r>
          <w:tab/>
        </w:r>
        <w:r>
          <w:t>18</w:t>
        </w:r>
      </w:hyperlink>
    </w:p>
    <w:p>
      <w:pPr>
        <w:pStyle w:val="TOC2"/>
      </w:pPr>
      <w:hyperlink w:anchor="_Toc00029" w:history="1">
        <w:r>
          <w:t xml:space="preserve">5.1 Création de la base (DBA)</w:t>
        </w:r>
        <w:r>
          <w:tab/>
        </w:r>
        <w:r>
          <w:t>18</w:t>
        </w:r>
      </w:hyperlink>
    </w:p>
    <w:p>
      <w:pPr>
        <w:pStyle w:val="TOC2"/>
      </w:pPr>
      <w:hyperlink w:anchor="_Toc00030" w:history="1">
        <w:r>
          <w:t xml:space="preserve">5.2 Déploiement des binaires</w:t>
        </w:r>
        <w:r>
          <w:tab/>
        </w:r>
        <w:r>
          <w:t>18</w:t>
        </w:r>
      </w:hyperlink>
    </w:p>
    <w:p>
      <w:pPr>
        <w:pStyle w:val="TOC2"/>
      </w:pPr>
      <w:hyperlink w:anchor="_Toc00031" w:history="1">
        <w:r>
          <w:t xml:space="preserve">5.3 Configuration</w:t>
        </w:r>
        <w:r>
          <w:tab/>
        </w:r>
        <w:r>
          <w:t>18</w:t>
        </w:r>
      </w:hyperlink>
    </w:p>
    <w:p>
      <w:pPr>
        <w:pStyle w:val="TOC2"/>
      </w:pPr>
      <w:hyperlink w:anchor="_Toc00032" w:history="1">
        <w:r>
          <w:t xml:space="preserve">5.4 Initialisation du schéma</w:t>
        </w:r>
        <w:r>
          <w:tab/>
        </w:r>
        <w:r>
          <w:t>18</w:t>
        </w:r>
      </w:hyperlink>
    </w:p>
    <w:p>
      <w:pPr>
        <w:pStyle w:val="TOC2"/>
      </w:pPr>
      <w:hyperlink w:anchor="_Toc00033" w:history="1">
        <w:r>
          <w:t xml:space="preserve">5.5 Vérification des serveurs de licences</w:t>
        </w:r>
        <w:r>
          <w:tab/>
        </w:r>
        <w:r>
          <w:t>18</w:t>
        </w:r>
      </w:hyperlink>
    </w:p>
    <w:p>
      <w:pPr>
        <w:pStyle w:val="TOC2"/>
      </w:pPr>
      <w:hyperlink w:anchor="_Toc00034" w:history="1">
        <w:r>
          <w:t xml:space="preserve">5.6 Planification des tâches</w:t>
        </w:r>
        <w:r>
          <w:tab/>
        </w:r>
        <w:r>
          <w:t>19</w:t>
        </w:r>
      </w:hyperlink>
    </w:p>
    <w:p>
      <w:pPr>
        <w:pStyle w:val="TOC2"/>
      </w:pPr>
      <w:hyperlink w:anchor="_Toc00035" w:history="1">
        <w:r>
          <w:t xml:space="preserve">5.7 Référentiel utilisateurs</w:t>
        </w:r>
        <w:r>
          <w:tab/>
        </w:r>
        <w:r>
          <w:t>19</w:t>
        </w:r>
      </w:hyperlink>
    </w:p>
    <w:p>
      <w:pPr>
        <w:pStyle w:val="TOC2"/>
      </w:pPr>
      <w:hyperlink w:anchor="_Toc00036" w:history="1">
        <w:r>
          <w:t xml:space="preserve">5.8 Reprise d'historique (option)</w:t>
        </w:r>
        <w:r>
          <w:tab/>
        </w:r>
        <w:r>
          <w:t>19</w:t>
        </w:r>
      </w:hyperlink>
    </w:p>
    <w:p>
      <w:pPr>
        <w:pStyle w:val="TOC2"/>
      </w:pPr>
      <w:hyperlink w:anchor="_Toc00037" w:history="1">
        <w:r>
          <w:t xml:space="preserve">5.9 Ouverture de l'interface sur le réseau</w:t>
        </w:r>
        <w:r>
          <w:tab/>
        </w:r>
        <w:r>
          <w:t>19</w:t>
        </w:r>
      </w:hyperlink>
    </w:p>
    <w:p>
      <w:pPr>
        <w:pStyle w:val="TOC2"/>
      </w:pPr>
      <w:hyperlink w:anchor="_Toc00038" w:history="1">
        <w:r>
          <w:t xml:space="preserve">5.10 Recette de mise en service</w:t>
        </w:r>
        <w:r>
          <w:tab/>
        </w:r>
        <w:r>
          <w:t>19</w:t>
        </w:r>
      </w:hyperlink>
    </w:p>
    <w:p>
      <w:pPr>
        <w:pStyle w:val="TOC1"/>
      </w:pPr>
      <w:hyperlink w:anchor="_Toc00039" w:history="1">
        <w:r>
          <w:t xml:space="preserve">6. Configuration de référence</w:t>
        </w:r>
        <w:r>
          <w:tab/>
        </w:r>
        <w:r>
          <w:t>21</w:t>
        </w:r>
      </w:hyperlink>
    </w:p>
    <w:p>
      <w:pPr>
        <w:pStyle w:val="TOC2"/>
      </w:pPr>
      <w:hyperlink w:anchor="_Toc00040" w:history="1">
        <w:r>
          <w:t xml:space="preserve">6.1 Sections du fichier</w:t>
        </w:r>
        <w:r>
          <w:tab/>
        </w:r>
        <w:r>
          <w:t>21</w:t>
        </w:r>
      </w:hyperlink>
    </w:p>
    <w:p>
      <w:pPr>
        <w:pStyle w:val="TOC2"/>
      </w:pPr>
      <w:hyperlink w:anchor="_Toc00041" w:history="1">
        <w:r>
          <w:t xml:space="preserve">6.2 Paramètres détaillés</w:t>
        </w:r>
        <w:r>
          <w:tab/>
        </w:r>
        <w:r>
          <w:t>21</w:t>
        </w:r>
      </w:hyperlink>
    </w:p>
    <w:p>
      <w:pPr>
        <w:pStyle w:val="TOC3"/>
      </w:pPr>
      <w:hyperlink w:anchor="_Toc00042" w:history="1">
        <w:r>
          <w:t xml:space="preserve">database, lmutil_path, logging</w:t>
        </w:r>
        <w:r>
          <w:tab/>
        </w:r>
        <w:r>
          <w:t>21</w:t>
        </w:r>
      </w:hyperlink>
    </w:p>
    <w:p>
      <w:pPr>
        <w:pStyle w:val="TOC3"/>
      </w:pPr>
      <w:hyperlink w:anchor="_Toc00043" w:history="1">
        <w:r>
          <w:t xml:space="preserve">servers (un bloc par serveur de licences)</w:t>
        </w:r>
        <w:r>
          <w:tab/>
        </w:r>
        <w:r>
          <w:t>21</w:t>
        </w:r>
      </w:hyperlink>
    </w:p>
    <w:p>
      <w:pPr>
        <w:pStyle w:val="TOC3"/>
      </w:pPr>
      <w:hyperlink w:anchor="_Toc00044" w:history="1">
        <w:r>
          <w:t xml:space="preserve">products (règles de correspondance)</w:t>
        </w:r>
        <w:r>
          <w:tab/>
        </w:r>
        <w:r>
          <w:t>22</w:t>
        </w:r>
      </w:hyperlink>
    </w:p>
    <w:p>
      <w:pPr>
        <w:pStyle w:val="TOC3"/>
      </w:pPr>
      <w:hyperlink w:anchor="_Toc00045" w:history="1">
        <w:r>
          <w:t xml:space="preserve">reporting</w:t>
        </w:r>
        <w:r>
          <w:tab/>
        </w:r>
        <w:r>
          <w:t>22</w:t>
        </w:r>
      </w:hyperlink>
    </w:p>
    <w:p>
      <w:pPr>
        <w:pStyle w:val="TOC3"/>
      </w:pPr>
      <w:hyperlink w:anchor="_Toc00046" w:history="1">
        <w:r>
          <w:t xml:space="preserve">web et web.auth</w:t>
        </w:r>
        <w:r>
          <w:tab/>
        </w:r>
        <w:r>
          <w:t>22</w:t>
        </w:r>
      </w:hyperlink>
    </w:p>
    <w:p>
      <w:pPr>
        <w:pStyle w:val="TOC3"/>
      </w:pPr>
      <w:hyperlink w:anchor="_Toc00047" w:history="1">
        <w:r>
          <w:t xml:space="preserve">email</w:t>
        </w:r>
        <w:r>
          <w:tab/>
        </w:r>
        <w:r>
          <w:t>23</w:t>
        </w:r>
      </w:hyperlink>
    </w:p>
    <w:p>
      <w:pPr>
        <w:pStyle w:val="TOC3"/>
      </w:pPr>
      <w:hyperlink w:anchor="_Toc00048" w:history="1">
        <w:r>
          <w:t xml:space="preserve">retention</w:t>
        </w:r>
        <w:r>
          <w:tab/>
        </w:r>
        <w:r>
          <w:t>23</w:t>
        </w:r>
      </w:hyperlink>
    </w:p>
    <w:p>
      <w:pPr>
        <w:pStyle w:val="TOC2"/>
      </w:pPr>
      <w:hyperlink w:anchor="_Toc00049" w:history="1">
        <w:r>
          <w:t xml:space="preserve">6.3 Procédure de modification de la configuration</w:t>
        </w:r>
        <w:r>
          <w:tab/>
        </w:r>
        <w:r>
          <w:t>23</w:t>
        </w:r>
      </w:hyperlink>
    </w:p>
    <w:p>
      <w:pPr>
        <w:pStyle w:val="TOC1"/>
      </w:pPr>
      <w:hyperlink w:anchor="_Toc00050" w:history="1">
        <w:r>
          <w:t xml:space="preserve">7. Exploitation courante</w:t>
        </w:r>
        <w:r>
          <w:tab/>
        </w:r>
        <w:r>
          <w:t>24</w:t>
        </w:r>
      </w:hyperlink>
    </w:p>
    <w:p>
      <w:pPr>
        <w:pStyle w:val="TOC2"/>
      </w:pPr>
      <w:hyperlink w:anchor="_Toc00051" w:history="1">
        <w:r>
          <w:t xml:space="preserve">7.1 Ordonnancement</w:t>
        </w:r>
        <w:r>
          <w:tab/>
        </w:r>
        <w:r>
          <w:t>24</w:t>
        </w:r>
      </w:hyperlink>
    </w:p>
    <w:p>
      <w:pPr>
        <w:pStyle w:val="TOC2"/>
      </w:pPr>
      <w:hyperlink w:anchor="_Toc00052" w:history="1">
        <w:r>
          <w:t xml:space="preserve">7.2 Démarrage et arrêt</w:t>
        </w:r>
        <w:r>
          <w:tab/>
        </w:r>
        <w:r>
          <w:t>24</w:t>
        </w:r>
      </w:hyperlink>
    </w:p>
    <w:p>
      <w:pPr>
        <w:pStyle w:val="TOC2"/>
      </w:pPr>
      <w:hyperlink w:anchor="_Toc00053" w:history="1">
        <w:r>
          <w:t xml:space="preserve">7.3 Contrôles quotidiens (N1, 5 minutes)</w:t>
        </w:r>
        <w:r>
          <w:tab/>
        </w:r>
        <w:r>
          <w:t>24</w:t>
        </w:r>
      </w:hyperlink>
    </w:p>
    <w:p>
      <w:pPr>
        <w:pStyle w:val="TOC2"/>
      </w:pPr>
      <w:hyperlink w:anchor="_Toc00054" w:history="1">
        <w:r>
          <w:t xml:space="preserve">7.4 Contrôles hebdomadaires et mensuels (N2)</w:t>
        </w:r>
        <w:r>
          <w:tab/>
        </w:r>
        <w:r>
          <w:t>25</w:t>
        </w:r>
      </w:hyperlink>
    </w:p>
    <w:p>
      <w:pPr>
        <w:pStyle w:val="TOC2"/>
      </w:pPr>
      <w:hyperlink w:anchor="_Toc00055" w:history="1">
        <w:r>
          <w:t xml:space="preserve">7.5 Supervision</w:t>
        </w:r>
        <w:r>
          <w:tab/>
        </w:r>
        <w:r>
          <w:t>25</w:t>
        </w:r>
      </w:hyperlink>
    </w:p>
    <w:p>
      <w:pPr>
        <w:pStyle w:val="TOC2"/>
      </w:pPr>
      <w:hyperlink w:anchor="_Toc00056" w:history="1">
        <w:r>
          <w:t xml:space="preserve">7.6 Journaux</w:t>
        </w:r>
        <w:r>
          <w:tab/>
        </w:r>
        <w:r>
          <w:t>26</w:t>
        </w:r>
      </w:hyperlink>
    </w:p>
    <w:p>
      <w:pPr>
        <w:pStyle w:val="TOC2"/>
      </w:pPr>
      <w:hyperlink w:anchor="_Toc00057" w:history="1">
        <w:r>
          <w:t xml:space="preserve">7.7 Codes retour</w:t>
        </w:r>
        <w:r>
          <w:tab/>
        </w:r>
        <w:r>
          <w:t>26</w:t>
        </w:r>
      </w:hyperlink>
    </w:p>
    <w:p>
      <w:pPr>
        <w:pStyle w:val="TOC1"/>
      </w:pPr>
      <w:hyperlink w:anchor="_Toc00058" w:history="1">
        <w:r>
          <w:t xml:space="preserve">8. Utilisation de l'interface web</w:t>
        </w:r>
        <w:r>
          <w:tab/>
        </w:r>
        <w:r>
          <w:t>27</w:t>
        </w:r>
      </w:hyperlink>
    </w:p>
    <w:p>
      <w:pPr>
        <w:pStyle w:val="TOC2"/>
      </w:pPr>
      <w:hyperlink w:anchor="_Toc00059" w:history="1">
        <w:r>
          <w:t xml:space="preserve">8.1 Accès et connexion</w:t>
        </w:r>
        <w:r>
          <w:tab/>
        </w:r>
        <w:r>
          <w:t>27</w:t>
        </w:r>
      </w:hyperlink>
    </w:p>
    <w:p>
      <w:pPr>
        <w:pStyle w:val="TOC2"/>
      </w:pPr>
      <w:hyperlink w:anchor="_Toc00063" w:history="1">
        <w:r>
          <w:t xml:space="preserve">8.2 Navigation et filtres</w:t>
        </w:r>
        <w:r>
          <w:tab/>
        </w:r>
        <w:r>
          <w:t>28</w:t>
        </w:r>
      </w:hyperlink>
    </w:p>
    <w:p>
      <w:pPr>
        <w:pStyle w:val="TOC2"/>
      </w:pPr>
      <w:hyperlink w:anchor="_Toc00067" w:history="1">
        <w:r>
          <w:t xml:space="preserve">8.3 Tableau de bord</w:t>
        </w:r>
        <w:r>
          <w:tab/>
        </w:r>
        <w:r>
          <w:t>29</w:t>
        </w:r>
      </w:hyperlink>
    </w:p>
    <w:p>
      <w:pPr>
        <w:pStyle w:val="TOC3"/>
      </w:pPr>
      <w:hyperlink w:anchor="_Toc00069" w:history="1">
        <w:r>
          <w:t xml:space="preserve">Alertes</w:t>
        </w:r>
        <w:r>
          <w:tab/>
        </w:r>
        <w:r>
          <w:t>30</w:t>
        </w:r>
      </w:hyperlink>
    </w:p>
    <w:p>
      <w:pPr>
        <w:pStyle w:val="TOC3"/>
      </w:pPr>
      <w:hyperlink w:anchor="_Toc00071" w:history="1">
        <w:r>
          <w:t xml:space="preserve">Indicateurs clés</w:t>
        </w:r>
        <w:r>
          <w:tab/>
        </w:r>
        <w:r>
          <w:t>31</w:t>
        </w:r>
      </w:hyperlink>
    </w:p>
    <w:p>
      <w:pPr>
        <w:pStyle w:val="TOC3"/>
      </w:pPr>
      <w:hyperlink w:anchor="_Toc00073" w:history="1">
        <w:r>
          <w:t xml:space="preserve">Blocs de détail</w:t>
        </w:r>
        <w:r>
          <w:tab/>
        </w:r>
        <w:r>
          <w:t>31</w:t>
        </w:r>
      </w:hyperlink>
    </w:p>
    <w:p>
      <w:pPr>
        <w:pStyle w:val="TOC2"/>
      </w:pPr>
      <w:hyperlink w:anchor="_Toc00075" w:history="1">
        <w:r>
          <w:t xml:space="preserve">8.4 En direct</w:t>
        </w:r>
        <w:r>
          <w:tab/>
        </w:r>
        <w:r>
          <w:t>32</w:t>
        </w:r>
      </w:hyperlink>
    </w:p>
    <w:p>
      <w:pPr>
        <w:pStyle w:val="TOC2"/>
      </w:pPr>
      <w:hyperlink w:anchor="_Toc00077" w:history="1">
        <w:r>
          <w:t xml:space="preserve">8.5 Rapports d'analyse</w:t>
        </w:r>
        <w:r>
          <w:tab/>
        </w:r>
        <w:r>
          <w:t>33</w:t>
        </w:r>
      </w:hyperlink>
    </w:p>
    <w:p>
      <w:pPr>
        <w:pStyle w:val="TOC2"/>
      </w:pPr>
      <w:hyperlink w:anchor="_Toc00083" w:history="1">
        <w:r>
          <w:t xml:space="preserve">8.6 Optimisation</w:t>
        </w:r>
        <w:r>
          <w:tab/>
        </w:r>
        <w:r>
          <w:t>36</w:t>
        </w:r>
      </w:hyperlink>
    </w:p>
    <w:p>
      <w:pPr>
        <w:pStyle w:val="TOC2"/>
      </w:pPr>
      <w:hyperlink w:anchor="_Toc00089" w:history="1">
        <w:r>
          <w:t xml:space="preserve">8.7 Données</w:t>
        </w:r>
        <w:r>
          <w:tab/>
        </w:r>
        <w:r>
          <w:t>39</w:t>
        </w:r>
      </w:hyperlink>
    </w:p>
    <w:p>
      <w:pPr>
        <w:pStyle w:val="TOC2"/>
      </w:pPr>
      <w:hyperlink w:anchor="_Toc00092" w:history="1">
        <w:r>
          <w:t xml:space="preserve">8.8 Exports</w:t>
        </w:r>
        <w:r>
          <w:tab/>
        </w:r>
        <w:r>
          <w:t>41</w:t>
        </w:r>
      </w:hyperlink>
    </w:p>
    <w:p>
      <w:pPr>
        <w:pStyle w:val="TOC2"/>
      </w:pPr>
      <w:hyperlink w:anchor="_Toc00093" w:history="1">
        <w:r>
          <w:t xml:space="preserve">8.9 Thème et affichage mobile</w:t>
        </w:r>
        <w:r>
          <w:tab/>
        </w:r>
        <w:r>
          <w:t>41</w:t>
        </w:r>
      </w:hyperlink>
    </w:p>
    <w:p>
      <w:pPr>
        <w:pStyle w:val="TOC2"/>
      </w:pPr>
      <w:hyperlink w:anchor="_Toc00096" w:history="1">
        <w:r>
          <w:t xml:space="preserve">8.10 Rapport Excel mensuel</w:t>
        </w:r>
        <w:r>
          <w:tab/>
        </w:r>
        <w:r>
          <w:t>42</w:t>
        </w:r>
      </w:hyperlink>
    </w:p>
    <w:p>
      <w:pPr>
        <w:pStyle w:val="TOC2"/>
      </w:pPr>
      <w:hyperlink w:anchor="_Toc00097" w:history="1">
        <w:r>
          <w:t xml:space="preserve">8.11 Rapport par e-mail</w:t>
        </w:r>
        <w:r>
          <w:tab/>
        </w:r>
        <w:r>
          <w:t>42</w:t>
        </w:r>
      </w:hyperlink>
    </w:p>
    <w:p>
      <w:pPr>
        <w:pStyle w:val="TOC1"/>
      </w:pPr>
      <w:hyperlink w:anchor="_Toc00099" w:history="1">
        <w:r>
          <w:t xml:space="preserve">9. Sauvegarde, restauration et rétention</w:t>
        </w:r>
        <w:r>
          <w:tab/>
        </w:r>
        <w:r>
          <w:t>44</w:t>
        </w:r>
      </w:hyperlink>
    </w:p>
    <w:p>
      <w:pPr>
        <w:pStyle w:val="TOC2"/>
      </w:pPr>
      <w:hyperlink w:anchor="_Toc00100" w:history="1">
        <w:r>
          <w:t xml:space="preserve">9.1 Éléments à sauvegarder</w:t>
        </w:r>
        <w:r>
          <w:tab/>
        </w:r>
        <w:r>
          <w:t>44</w:t>
        </w:r>
      </w:hyperlink>
    </w:p>
    <w:p>
      <w:pPr>
        <w:pStyle w:val="TOC2"/>
      </w:pPr>
      <w:hyperlink w:anchor="_Toc00101" w:history="1">
        <w:r>
          <w:t xml:space="preserve">9.2 Politique de rétention</w:t>
        </w:r>
        <w:r>
          <w:tab/>
        </w:r>
        <w:r>
          <w:t>44</w:t>
        </w:r>
      </w:hyperlink>
    </w:p>
    <w:p>
      <w:pPr>
        <w:pStyle w:val="TOC2"/>
      </w:pPr>
      <w:hyperlink w:anchor="_Toc00102" w:history="1">
        <w:r>
          <w:t xml:space="preserve">9.3 Procédure de sauvegarde SQL</w:t>
        </w:r>
        <w:r>
          <w:tab/>
        </w:r>
        <w:r>
          <w:t>44</w:t>
        </w:r>
      </w:hyperlink>
    </w:p>
    <w:p>
      <w:pPr>
        <w:pStyle w:val="TOC2"/>
      </w:pPr>
      <w:hyperlink w:anchor="_Toc00103" w:history="1">
        <w:r>
          <w:t xml:space="preserve">9.4 Procédure de restauration</w:t>
        </w:r>
        <w:r>
          <w:tab/>
        </w:r>
        <w:r>
          <w:t>44</w:t>
        </w:r>
      </w:hyperlink>
    </w:p>
    <w:p>
      <w:pPr>
        <w:pStyle w:val="TOC2"/>
      </w:pPr>
      <w:hyperlink w:anchor="_Toc00104" w:history="1">
        <w:r>
          <w:t xml:space="preserve">9.5 Purge manuelle</w:t>
        </w:r>
        <w:r>
          <w:tab/>
        </w:r>
        <w:r>
          <w:t>45</w:t>
        </w:r>
      </w:hyperlink>
    </w:p>
    <w:p>
      <w:pPr>
        <w:pStyle w:val="TOC1"/>
      </w:pPr>
      <w:hyperlink w:anchor="_Toc00105" w:history="1">
        <w:r>
          <w:t xml:space="preserve">10. Sécurité</w:t>
        </w:r>
        <w:r>
          <w:tab/>
        </w:r>
        <w:r>
          <w:t>46</w:t>
        </w:r>
      </w:hyperlink>
    </w:p>
    <w:p>
      <w:pPr>
        <w:pStyle w:val="TOC2"/>
      </w:pPr>
      <w:hyperlink w:anchor="_Toc00106" w:history="1">
        <w:r>
          <w:t xml:space="preserve">10.1 Principes</w:t>
        </w:r>
        <w:r>
          <w:tab/>
        </w:r>
        <w:r>
          <w:t>46</w:t>
        </w:r>
      </w:hyperlink>
    </w:p>
    <w:p>
      <w:pPr>
        <w:pStyle w:val="TOC2"/>
      </w:pPr>
      <w:hyperlink w:anchor="_Toc00107" w:history="1">
        <w:r>
          <w:t xml:space="preserve">10.2 Authentification et habilitations</w:t>
        </w:r>
        <w:r>
          <w:tab/>
        </w:r>
        <w:r>
          <w:t>46</w:t>
        </w:r>
      </w:hyperlink>
    </w:p>
    <w:p>
      <w:pPr>
        <w:pStyle w:val="TOC2"/>
      </w:pPr>
      <w:hyperlink w:anchor="_Toc00108" w:history="1">
        <w:r>
          <w:t xml:space="preserve">10.3 Chiffrement</w:t>
        </w:r>
        <w:r>
          <w:tab/>
        </w:r>
        <w:r>
          <w:t>46</w:t>
        </w:r>
      </w:hyperlink>
    </w:p>
    <w:p>
      <w:pPr>
        <w:pStyle w:val="TOC2"/>
      </w:pPr>
      <w:hyperlink w:anchor="_Toc00109" w:history="1">
        <w:r>
          <w:t xml:space="preserve">10.4 Traçabilité</w:t>
        </w:r>
        <w:r>
          <w:tab/>
        </w:r>
        <w:r>
          <w:t>46</w:t>
        </w:r>
      </w:hyperlink>
    </w:p>
    <w:p>
      <w:pPr>
        <w:pStyle w:val="TOC2"/>
      </w:pPr>
      <w:hyperlink w:anchor="_Toc00110" w:history="1">
        <w:r>
          <w:t xml:space="preserve">10.5 Données personnelles</w:t>
        </w:r>
        <w:r>
          <w:tab/>
        </w:r>
        <w:r>
          <w:t>47</w:t>
        </w:r>
      </w:hyperlink>
    </w:p>
    <w:p>
      <w:pPr>
        <w:pStyle w:val="TOC2"/>
      </w:pPr>
      <w:hyperlink w:anchor="_Toc00111" w:history="1">
        <w:r>
          <w:t xml:space="preserve">10.6 Liste de contrôle de déploiement</w:t>
        </w:r>
        <w:r>
          <w:tab/>
        </w:r>
        <w:r>
          <w:t>47</w:t>
        </w:r>
      </w:hyperlink>
    </w:p>
    <w:p>
      <w:pPr>
        <w:pStyle w:val="TOC2"/>
      </w:pPr>
      <w:hyperlink w:anchor="_Toc00112" w:history="1">
        <w:r>
          <w:t xml:space="preserve">10.7 Risques résiduels</w:t>
        </w:r>
        <w:r>
          <w:tab/>
        </w:r>
        <w:r>
          <w:t>47</w:t>
        </w:r>
      </w:hyperlink>
    </w:p>
    <w:p>
      <w:pPr>
        <w:pStyle w:val="TOC1"/>
      </w:pPr>
      <w:hyperlink w:anchor="_Toc00113" w:history="1">
        <w:r>
          <w:t xml:space="preserve">11. Gestion des incidents</w:t>
        </w:r>
        <w:r>
          <w:tab/>
        </w:r>
        <w:r>
          <w:t>48</w:t>
        </w:r>
      </w:hyperlink>
    </w:p>
    <w:p>
      <w:pPr>
        <w:pStyle w:val="TOC2"/>
      </w:pPr>
      <w:hyperlink w:anchor="_Toc00114" w:history="1">
        <w:r>
          <w:t xml:space="preserve">11.1 Démarche de diagnostic</w:t>
        </w:r>
        <w:r>
          <w:tab/>
        </w:r>
        <w:r>
          <w:t>48</w:t>
        </w:r>
      </w:hyperlink>
    </w:p>
    <w:p>
      <w:pPr>
        <w:pStyle w:val="TOC2"/>
      </w:pPr>
      <w:hyperlink w:anchor="_Toc00115" w:history="1">
        <w:r>
          <w:t xml:space="preserve">11.2 Incidents courants</w:t>
        </w:r>
        <w:r>
          <w:tab/>
        </w:r>
        <w:r>
          <w:t>48</w:t>
        </w:r>
      </w:hyperlink>
    </w:p>
    <w:p>
      <w:pPr>
        <w:pStyle w:val="TOC2"/>
      </w:pPr>
      <w:hyperlink w:anchor="_Toc00116" w:history="1">
        <w:r>
          <w:t xml:space="preserve">11.3 Commandes de diagnostic</w:t>
        </w:r>
        <w:r>
          <w:tab/>
        </w:r>
        <w:r>
          <w:t>49</w:t>
        </w:r>
      </w:hyperlink>
    </w:p>
    <w:p>
      <w:pPr>
        <w:pStyle w:val="TOC2"/>
      </w:pPr>
      <w:hyperlink w:anchor="_Toc00117" w:history="1">
        <w:r>
          <w:t xml:space="preserve">11.4 Escalade</w:t>
        </w:r>
        <w:r>
          <w:tab/>
        </w:r>
        <w:r>
          <w:t>49</w:t>
        </w:r>
      </w:hyperlink>
    </w:p>
    <w:p>
      <w:pPr>
        <w:pStyle w:val="TOC1"/>
      </w:pPr>
      <w:hyperlink w:anchor="_Toc00118" w:history="1">
        <w:r>
          <w:t xml:space="preserve">12. Maintenance et évolutions</w:t>
        </w:r>
        <w:r>
          <w:tab/>
        </w:r>
        <w:r>
          <w:t>51</w:t>
        </w:r>
      </w:hyperlink>
    </w:p>
    <w:p>
      <w:pPr>
        <w:pStyle w:val="TOC2"/>
      </w:pPr>
      <w:hyperlink w:anchor="_Toc00119" w:history="1">
        <w:r>
          <w:t xml:space="preserve">12.1 Mise à jour de version</w:t>
        </w:r>
        <w:r>
          <w:tab/>
        </w:r>
        <w:r>
          <w:t>51</w:t>
        </w:r>
      </w:hyperlink>
    </w:p>
    <w:p>
      <w:pPr>
        <w:pStyle w:val="TOC2"/>
      </w:pPr>
      <w:hyperlink w:anchor="_Toc00120" w:history="1">
        <w:r>
          <w:t xml:space="preserve">12.2 Ajout d'un serveur de licences</w:t>
        </w:r>
        <w:r>
          <w:tab/>
        </w:r>
        <w:r>
          <w:t>51</w:t>
        </w:r>
      </w:hyperlink>
    </w:p>
    <w:p>
      <w:pPr>
        <w:pStyle w:val="TOC2"/>
      </w:pPr>
      <w:hyperlink w:anchor="_Toc00121" w:history="1">
        <w:r>
          <w:t xml:space="preserve">12.3 Produits, coûts et abonnements</w:t>
        </w:r>
        <w:r>
          <w:tab/>
        </w:r>
        <w:r>
          <w:t>51</w:t>
        </w:r>
      </w:hyperlink>
    </w:p>
    <w:p>
      <w:pPr>
        <w:pStyle w:val="TOC2"/>
      </w:pPr>
      <w:hyperlink w:anchor="_Toc00122" w:history="1">
        <w:r>
          <w:t xml:space="preserve">12.4 Renouvellement des certificats</w:t>
        </w:r>
        <w:r>
          <w:tab/>
        </w:r>
        <w:r>
          <w:t>51</w:t>
        </w:r>
      </w:hyperlink>
    </w:p>
    <w:p>
      <w:pPr>
        <w:pStyle w:val="TOC2"/>
      </w:pPr>
      <w:hyperlink w:anchor="_Toc00123" w:history="1">
        <w:r>
          <w:t xml:space="preserve">12.5 Compte de service</w:t>
        </w:r>
        <w:r>
          <w:tab/>
        </w:r>
        <w:r>
          <w:t>51</w:t>
        </w:r>
      </w:hyperlink>
    </w:p>
    <w:p>
      <w:pPr>
        <w:pStyle w:val="TOC2"/>
      </w:pPr>
      <w:hyperlink w:anchor="_Toc00124" w:history="1">
        <w:r>
          <w:t xml:space="preserve">12.6 Ajout d'un autre gestionnaire de licences</w:t>
        </w:r>
        <w:r>
          <w:tab/>
        </w:r>
        <w:r>
          <w:t>51</w:t>
        </w:r>
      </w:hyperlink>
    </w:p>
    <w:p>
      <w:pPr>
        <w:pStyle w:val="TOC1"/>
      </w:pPr>
      <w:hyperlink w:anchor="_Toc00125" w:history="1">
        <w:r>
          <w:t xml:space="preserve">13. Continuité et reprise d'activité</w:t>
        </w:r>
        <w:r>
          <w:tab/>
        </w:r>
        <w:r>
          <w:t>52</w:t>
        </w:r>
      </w:hyperlink>
    </w:p>
    <w:p>
      <w:pPr>
        <w:pStyle w:val="TOC2"/>
      </w:pPr>
      <w:hyperlink w:anchor="_Toc00126" w:history="1">
        <w:r>
          <w:t xml:space="preserve">13.1 Impact d'une indisponibilité</w:t>
        </w:r>
        <w:r>
          <w:tab/>
        </w:r>
        <w:r>
          <w:t>52</w:t>
        </w:r>
      </w:hyperlink>
    </w:p>
    <w:p>
      <w:pPr>
        <w:pStyle w:val="TOC2"/>
      </w:pPr>
      <w:hyperlink w:anchor="_Toc00127" w:history="1">
        <w:r>
          <w:t xml:space="preserve">13.2 Scénarios de reprise</w:t>
        </w:r>
        <w:r>
          <w:tab/>
        </w:r>
        <w:r>
          <w:t>52</w:t>
        </w:r>
      </w:hyperlink>
    </w:p>
    <w:p>
      <w:pPr>
        <w:pStyle w:val="TOC2"/>
      </w:pPr>
      <w:hyperlink w:anchor="_Toc00128" w:history="1">
        <w:r>
          <w:t xml:space="preserve">13.3 Reconstruction complète</w:t>
        </w:r>
        <w:r>
          <w:tab/>
        </w:r>
        <w:r>
          <w:t>52</w:t>
        </w:r>
      </w:hyperlink>
    </w:p>
    <w:p>
      <w:pPr>
        <w:pStyle w:val="TOC1"/>
      </w:pPr>
      <w:hyperlink w:anchor="_Toc00129" w:history="1">
        <w:r>
          <w:t xml:space="preserve">14. Contacts et responsabilités</w:t>
        </w:r>
        <w:r>
          <w:tab/>
        </w:r>
        <w:r>
          <w:t>53</w:t>
        </w:r>
      </w:hyperlink>
    </w:p>
    <w:p>
      <w:pPr>
        <w:pStyle w:val="TOC2"/>
      </w:pPr>
      <w:hyperlink w:anchor="_Toc00130" w:history="1">
        <w:r>
          <w:t xml:space="preserve">14.1 Contacts</w:t>
        </w:r>
        <w:r>
          <w:tab/>
        </w:r>
        <w:r>
          <w:t>53</w:t>
        </w:r>
      </w:hyperlink>
    </w:p>
    <w:p>
      <w:pPr>
        <w:pStyle w:val="TOC2"/>
      </w:pPr>
      <w:hyperlink w:anchor="_Toc00131" w:history="1">
        <w:r>
          <w:t xml:space="preserve">14.2 Matrice des responsabilités (RACI)</w:t>
        </w:r>
        <w:r>
          <w:tab/>
        </w:r>
        <w:r>
          <w:t>53</w:t>
        </w:r>
      </w:hyperlink>
    </w:p>
    <w:p>
      <w:pPr>
        <w:pStyle w:val="TOC1"/>
      </w:pPr>
      <w:hyperlink w:anchor="_Toc00132" w:history="1">
        <w:r>
          <w:t xml:space="preserve">Annexe A. Référence des commandes</w:t>
        </w:r>
        <w:r>
          <w:tab/>
        </w:r>
        <w:r>
          <w:t>54</w:t>
        </w:r>
      </w:hyperlink>
    </w:p>
    <w:p>
      <w:pPr>
        <w:pStyle w:val="TOC1"/>
      </w:pPr>
      <w:hyperlink w:anchor="_Toc00133" w:history="1">
        <w:r>
          <w:t xml:space="preserve">Annexe B. Exemple de configuration</w:t>
        </w:r>
        <w:r>
          <w:tab/>
        </w:r>
        <w:r>
          <w:t>55</w:t>
        </w:r>
      </w:hyperlink>
    </w:p>
    <w:p>
      <w:pPr>
        <w:pStyle w:val="TOC1"/>
      </w:pPr>
      <w:hyperlink w:anchor="_Toc00134" w:history="1">
        <w:r>
          <w:t xml:space="preserve">Annexe C. Requêtes SQL utiles</w:t>
        </w:r>
        <w:r>
          <w:tab/>
        </w:r>
        <w:r>
          <w:t>57</w:t>
        </w:r>
      </w:hyperlink>
    </w:p>
    <w:p>
      <w:pPr>
        <w:pStyle w:val="TOC1"/>
      </w:pPr>
      <w:hyperlink w:anchor="_Toc00135" w:history="1">
        <w:r>
          <w:t xml:space="preserve">Annexe D. Fiche de contrôle quotidien</w:t>
        </w:r>
        <w:r>
          <w:tab/>
        </w:r>
        <w:r>
          <w:t>58</w:t>
        </w:r>
      </w:hyperlink>
      <w:r>
        <w:fldChar w:fldCharType="end"/>
      </w:r>
    </w:p>
    <w:p>
      <w:r>
        <w:br w:type="page"/>
      </w:r>
    </w:p>
    <w:p>
      <w:pPr>
        <w:pStyle w:val="TOCHeading"/>
      </w:pPr>
      <w:r>
        <w:rPr/>
        <w:t xml:space="preserve">Table des figures</w:t>
      </w:r>
    </w:p>
    <w:p>
      <w:pPr>
        <w:pStyle w:val="TableofFigures"/>
      </w:pPr>
      <w:r>
        <w:fldChar w:fldCharType="begin"/>
      </w:r>
      <w:r>
        <w:instrText xml:space="preserve"> TOC \h \z \c "Figure" </w:instrText>
      </w:r>
      <w:r>
        <w:fldChar w:fldCharType="separate"/>
      </w:r>
      <w:hyperlink w:anchor="_Fig00010" w:history="1">
        <w:r>
          <w:t xml:space="preserve">Figure 1 – Tableau de bord de FreeLM (page d'accueil)</w:t>
        </w:r>
        <w:r>
          <w:tab/>
        </w:r>
        <w:r>
          <w:t>10</w:t>
        </w:r>
      </w:hyperlink>
    </w:p>
    <w:p>
      <w:pPr>
        <w:pStyle w:val="TableofFigures"/>
      </w:pPr>
      <w:hyperlink w:anchor="_Fig00015" w:history="1">
        <w:r>
          <w:t xml:space="preserve">Figure 2 – Architecture technique et flux</w:t>
        </w:r>
        <w:r>
          <w:tab/>
        </w:r>
        <w:r>
          <w:t>12</w:t>
        </w:r>
      </w:hyperlink>
    </w:p>
    <w:p>
      <w:pPr>
        <w:pStyle w:val="TableofFigures"/>
      </w:pPr>
      <w:hyperlink w:anchor="_Fig00019" w:history="1">
        <w:r>
          <w:t xml:space="preserve">Figure 3 – Flux de collecte</w:t>
        </w:r>
        <w:r>
          <w:tab/>
        </w:r>
        <w:r>
          <w:t>13</w:t>
        </w:r>
      </w:hyperlink>
    </w:p>
    <w:p>
      <w:pPr>
        <w:pStyle w:val="TableofFigures"/>
      </w:pPr>
      <w:hyperlink w:anchor="_Fig00021" w:history="1">
        <w:r>
          <w:t xml:space="preserve">Figure 4 – Modèle de données (schéma v3)</w:t>
        </w:r>
        <w:r>
          <w:tab/>
        </w:r>
        <w:r>
          <w:t>14</w:t>
        </w:r>
      </w:hyperlink>
    </w:p>
    <w:p>
      <w:pPr>
        <w:pStyle w:val="TableofFigures"/>
      </w:pPr>
      <w:hyperlink w:anchor="_Fig00060" w:history="1">
        <w:r>
          <w:t xml:space="preserve">Figure 5 – Page de connexion</w:t>
        </w:r>
        <w:r>
          <w:tab/>
        </w:r>
        <w:r>
          <w:t>27</w:t>
        </w:r>
      </w:hyperlink>
    </w:p>
    <w:p>
      <w:pPr>
        <w:pStyle w:val="TableofFigures"/>
      </w:pPr>
      <w:hyperlink w:anchor="_Fig00061" w:history="1">
        <w:r>
          <w:t xml:space="preserve">Figure 6 – Message d'erreur de connexion</w:t>
        </w:r>
        <w:r>
          <w:tab/>
        </w:r>
        <w:r>
          <w:t>28</w:t>
        </w:r>
      </w:hyperlink>
    </w:p>
    <w:p>
      <w:pPr>
        <w:pStyle w:val="TableofFigures"/>
      </w:pPr>
      <w:hyperlink w:anchor="_Fig00062" w:history="1">
        <w:r>
          <w:t xml:space="preserve">Figure 7 – En-tête : badge d'état des collectes et utilisateur connecté</w:t>
        </w:r>
        <w:r>
          <w:tab/>
        </w:r>
        <w:r>
          <w:t>28</w:t>
        </w:r>
      </w:hyperlink>
    </w:p>
    <w:p>
      <w:pPr>
        <w:pStyle w:val="TableofFigures"/>
      </w:pPr>
      <w:hyperlink w:anchor="_Fig00064" w:history="1">
        <w:r>
          <w:t xml:space="preserve">Figure 8 – Barre latérale de navigation</w:t>
        </w:r>
        <w:r>
          <w:tab/>
        </w:r>
        <w:r>
          <w:t>29</w:t>
        </w:r>
      </w:hyperlink>
    </w:p>
    <w:p>
      <w:pPr>
        <w:pStyle w:val="TableofFigures"/>
      </w:pPr>
      <w:hyperlink w:anchor="_Fig00065" w:history="1">
        <w:r>
          <w:t xml:space="preserve">Figure 9 – Barre de filtres et boutons d'export</w:t>
        </w:r>
        <w:r>
          <w:tab/>
        </w:r>
        <w:r>
          <w:t>29</w:t>
        </w:r>
      </w:hyperlink>
    </w:p>
    <w:p>
      <w:pPr>
        <w:pStyle w:val="TableofFigures"/>
      </w:pPr>
      <w:hyperlink w:anchor="_Fig00066" w:history="1">
        <w:r>
          <w:t xml:space="preserve">Figure 10 – Sélection multiple avec recherche (filtre Produits)</w:t>
        </w:r>
        <w:r>
          <w:tab/>
        </w:r>
        <w:r>
          <w:t>29</w:t>
        </w:r>
      </w:hyperlink>
    </w:p>
    <w:p>
      <w:pPr>
        <w:pStyle w:val="TableofFigures"/>
      </w:pPr>
      <w:hyperlink w:anchor="_Fig00068" w:history="1">
        <w:r>
          <w:t xml:space="preserve">Figure 11 – Tableau de bord complet</w:t>
        </w:r>
        <w:r>
          <w:tab/>
        </w:r>
        <w:r>
          <w:t>30</w:t>
        </w:r>
      </w:hyperlink>
    </w:p>
    <w:p>
      <w:pPr>
        <w:pStyle w:val="TableofFigures"/>
      </w:pPr>
      <w:hyperlink w:anchor="_Fig00070" w:history="1">
        <w:r>
          <w:t xml:space="preserve">Figure 12 – Bandeau d'alertes</w:t>
        </w:r>
        <w:r>
          <w:tab/>
        </w:r>
        <w:r>
          <w:t>31</w:t>
        </w:r>
      </w:hyperlink>
    </w:p>
    <w:p>
      <w:pPr>
        <w:pStyle w:val="TableofFigures"/>
      </w:pPr>
      <w:hyperlink w:anchor="_Fig00072" w:history="1">
        <w:r>
          <w:t xml:space="preserve">Figure 13 – Indicateurs clés</w:t>
        </w:r>
        <w:r>
          <w:tab/>
        </w:r>
        <w:r>
          <w:t>31</w:t>
        </w:r>
      </w:hyperlink>
    </w:p>
    <w:p>
      <w:pPr>
        <w:pStyle w:val="TableofFigures"/>
      </w:pPr>
      <w:hyperlink w:anchor="_Fig00074" w:history="1">
        <w:r>
          <w:t xml:space="preserve">Figure 14 – Bloc « Serveurs et échéances »</w:t>
        </w:r>
        <w:r>
          <w:tab/>
        </w:r>
        <w:r>
          <w:t>32</w:t>
        </w:r>
      </w:hyperlink>
    </w:p>
    <w:p>
      <w:pPr>
        <w:pStyle w:val="TableofFigures"/>
      </w:pPr>
      <w:hyperlink w:anchor="_Fig00076" w:history="1">
        <w:r>
          <w:t xml:space="preserve">Figure 15 – Vue En direct</w:t>
        </w:r>
        <w:r>
          <w:tab/>
        </w:r>
        <w:r>
          <w:t>33</w:t>
        </w:r>
      </w:hyperlink>
    </w:p>
    <w:p>
      <w:pPr>
        <w:pStyle w:val="TableofFigures"/>
      </w:pPr>
      <w:hyperlink w:anchor="_Fig00078" w:history="1">
        <w:r>
          <w:t xml:space="preserve">Figure 16 – Synthèse par produit</w:t>
        </w:r>
        <w:r>
          <w:tab/>
        </w:r>
        <w:r>
          <w:t>34</w:t>
        </w:r>
      </w:hyperlink>
    </w:p>
    <w:p>
      <w:pPr>
        <w:pStyle w:val="TableofFigures"/>
      </w:pPr>
      <w:hyperlink w:anchor="_Fig00079" w:history="1">
        <w:r>
          <w:t xml:space="preserve">Figure 17 – Usage dans le temps (taux d'occupation journalier)</w:t>
        </w:r>
        <w:r>
          <w:tab/>
        </w:r>
        <w:r>
          <w:t>35</w:t>
        </w:r>
      </w:hyperlink>
    </w:p>
    <w:p>
      <w:pPr>
        <w:pStyle w:val="TableofFigures"/>
      </w:pPr>
      <w:hyperlink w:anchor="_Fig00080" w:history="1">
        <w:r>
          <w:t xml:space="preserve">Figure 18 – Répartition par service (refacturation)</w:t>
        </w:r>
        <w:r>
          <w:tab/>
        </w:r>
        <w:r>
          <w:t>35</w:t>
        </w:r>
      </w:hyperlink>
    </w:p>
    <w:p>
      <w:pPr>
        <w:pStyle w:val="TableofFigures"/>
      </w:pPr>
      <w:hyperlink w:anchor="_Fig00081" w:history="1">
        <w:r>
          <w:t xml:space="preserve">Figure 19 – Croisement service × produit</w:t>
        </w:r>
        <w:r>
          <w:tab/>
        </w:r>
        <w:r>
          <w:t>36</w:t>
        </w:r>
      </w:hyperlink>
    </w:p>
    <w:p>
      <w:pPr>
        <w:pStyle w:val="TableofFigures"/>
      </w:pPr>
      <w:hyperlink w:anchor="_Fig00082" w:history="1">
        <w:r>
          <w:t xml:space="preserve">Figure 20 – Profil horaire</w:t>
        </w:r>
        <w:r>
          <w:tab/>
        </w:r>
        <w:r>
          <w:t>36</w:t>
        </w:r>
      </w:hyperlink>
    </w:p>
    <w:p>
      <w:pPr>
        <w:pStyle w:val="TableofFigures"/>
      </w:pPr>
      <w:hyperlink w:anchor="_Fig00084" w:history="1">
        <w:r>
          <w:t xml:space="preserve">Figure 21 – Efficacité des jetons (comparaison des produits)</w:t>
        </w:r>
        <w:r>
          <w:tab/>
        </w:r>
        <w:r>
          <w:t>37</w:t>
        </w:r>
      </w:hyperlink>
    </w:p>
    <w:p>
      <w:pPr>
        <w:pStyle w:val="TableofFigures"/>
      </w:pPr>
      <w:hyperlink w:anchor="_Fig00085" w:history="1">
        <w:r>
          <w:t xml:space="preserve">Figure 22 – Efficacité d'un produit (MATLAB) en nombre de jetons</w:t>
        </w:r>
        <w:r>
          <w:tab/>
        </w:r>
        <w:r>
          <w:t>37</w:t>
        </w:r>
      </w:hyperlink>
    </w:p>
    <w:p>
      <w:pPr>
        <w:pStyle w:val="TableofFigures"/>
      </w:pPr>
      <w:hyperlink w:anchor="_Fig00086" w:history="1">
        <w:r>
          <w:t xml:space="preserve">Figure 23 – Optimisation et coûts</w:t>
        </w:r>
        <w:r>
          <w:tab/>
        </w:r>
        <w:r>
          <w:t>38</w:t>
        </w:r>
      </w:hyperlink>
    </w:p>
    <w:p>
      <w:pPr>
        <w:pStyle w:val="TableofFigures"/>
      </w:pPr>
      <w:hyperlink w:anchor="_Fig00087" w:history="1">
        <w:r>
          <w:t xml:space="preserve">Figure 24 – Contention</w:t>
        </w:r>
        <w:r>
          <w:tab/>
        </w:r>
        <w:r>
          <w:t>39</w:t>
        </w:r>
      </w:hyperlink>
    </w:p>
    <w:p>
      <w:pPr>
        <w:pStyle w:val="TableofFigures"/>
      </w:pPr>
      <w:hyperlink w:anchor="_Fig00088" w:history="1">
        <w:r>
          <w:t xml:space="preserve">Figure 25 – Refus de licence</w:t>
        </w:r>
        <w:r>
          <w:tab/>
        </w:r>
        <w:r>
          <w:t>39</w:t>
        </w:r>
      </w:hyperlink>
    </w:p>
    <w:p>
      <w:pPr>
        <w:pStyle w:val="TableofFigures"/>
      </w:pPr>
      <w:hyperlink w:anchor="_Fig00090" w:history="1">
        <w:r>
          <w:t xml:space="preserve">Figure 26 – Sessions</w:t>
        </w:r>
        <w:r>
          <w:tab/>
        </w:r>
        <w:r>
          <w:t>40</w:t>
        </w:r>
      </w:hyperlink>
    </w:p>
    <w:p>
      <w:pPr>
        <w:pStyle w:val="TableofFigures"/>
      </w:pPr>
      <w:hyperlink w:anchor="_Fig00091" w:history="1">
        <w:r>
          <w:t xml:space="preserve">Figure 27 – Journal des collectes</w:t>
        </w:r>
        <w:r>
          <w:tab/>
        </w:r>
        <w:r>
          <w:t>40</w:t>
        </w:r>
      </w:hyperlink>
    </w:p>
    <w:p>
      <w:pPr>
        <w:pStyle w:val="TableofFigures"/>
      </w:pPr>
      <w:hyperlink w:anchor="_Fig00094" w:history="1">
        <w:r>
          <w:t xml:space="preserve">Figure 28 – Tableau de bord en thème sombre</w:t>
        </w:r>
        <w:r>
          <w:tab/>
        </w:r>
        <w:r>
          <w:t>41</w:t>
        </w:r>
      </w:hyperlink>
    </w:p>
    <w:p>
      <w:pPr>
        <w:pStyle w:val="TableofFigures"/>
      </w:pPr>
      <w:hyperlink w:anchor="_Fig00095" w:history="1">
        <w:r>
          <w:t xml:space="preserve">Figure 29 – Affichage sur téléphone : tableau de bord et menu</w:t>
        </w:r>
        <w:r>
          <w:tab/>
        </w:r>
        <w:r>
          <w:t>42</w:t>
        </w:r>
      </w:hyperlink>
    </w:p>
    <w:p>
      <w:pPr>
        <w:pStyle w:val="TableofFigures"/>
      </w:pPr>
      <w:hyperlink w:anchor="_Fig00098" w:history="1">
        <w:r>
          <w:t xml:space="preserve">Figure 30 – Rapport mensuel reçu par e-mail</w:t>
        </w:r>
        <w:r>
          <w:tab/>
        </w:r>
        <w:r>
          <w:t>43</w:t>
        </w:r>
      </w:hyperlink>
      <w:r>
        <w:fldChar w:fldCharType="end"/>
      </w:r>
    </w:p>
    <w:p>
      <w:pPr>
        <w:pStyle w:val="Heading1"/>
      </w:pPr>
      <w:bookmarkStart w:id="1" w:name="_Toc00001"/>
      <w:r>
        <w:rPr/>
        <w:t xml:space="preserve">1. Introduction</w:t>
      </w:r>
      <w:bookmarkEnd w:id="1"/>
    </w:p>
    <w:p>
      <w:pPr>
        <w:pStyle w:val="Heading2"/>
      </w:pPr>
      <w:bookmarkStart w:id="2" w:name="_Toc00002"/>
      <w:r>
        <w:rPr/>
        <w:t xml:space="preserve">1.1 Objet du document</w:t>
      </w:r>
      <w:bookmarkEnd w:id="2"/>
    </w:p>
    <w:p>
      <w:pPr/>
      <w:r>
        <w:rPr/>
        <w:t xml:space="preserve">Le présent Dossier d'Exploitation (DEX) décrit l'ensemble des informations nécessaires pour installer, exploiter, superviser, sauvegarder, sécuriser et maintenir l'application </w:t>
      </w:r>
      <w:r>
        <w:rPr>
          <w:b/>
        </w:rPr>
        <w:t xml:space="preserve">FreeLM</w:t>
      </w:r>
      <w:r>
        <w:rPr/>
        <w:t xml:space="preserve"> en production. Il constitue la référence des équipes d'exploitation et de support ; il est complété par la documentation technique du dépôt (voir § 1.3).</w:t>
      </w:r>
    </w:p>
    <w:p>
      <w:pPr/>
      <w:r>
        <w:rPr/>
        <w:t xml:space="preserve">Il répond aux questions suivantes :</w:t>
      </w:r>
    </w:p>
    <w:p>
      <w:pPr>
        <w:pStyle w:val="ListParagraph"/>
        <w:numPr>
          <w:ilvl w:val="0"/>
          <w:numId w:val="1"/>
        </w:numPr>
      </w:pPr>
      <w:r>
        <w:rPr/>
        <w:t xml:space="preserve">Comment l'application est-elle construite et avec quels composants communique-t-elle ?</w:t>
      </w:r>
    </w:p>
    <w:p>
      <w:pPr>
        <w:pStyle w:val="ListParagraph"/>
        <w:numPr>
          <w:ilvl w:val="0"/>
          <w:numId w:val="1"/>
        </w:numPr>
      </w:pPr>
      <w:r>
        <w:rPr/>
        <w:t xml:space="preserve">Comment l'installer et la mettre en service ?</w:t>
      </w:r>
    </w:p>
    <w:p>
      <w:pPr>
        <w:pStyle w:val="ListParagraph"/>
        <w:numPr>
          <w:ilvl w:val="0"/>
          <w:numId w:val="1"/>
        </w:numPr>
      </w:pPr>
      <w:r>
        <w:rPr/>
        <w:t xml:space="preserve">Quelles tâches tournent automatiquement, quand, et comment vérifier qu'elles fonctionnent ?</w:t>
      </w:r>
    </w:p>
    <w:p>
      <w:pPr>
        <w:pStyle w:val="ListParagraph"/>
        <w:numPr>
          <w:ilvl w:val="0"/>
          <w:numId w:val="1"/>
        </w:numPr>
      </w:pPr>
      <w:r>
        <w:rPr/>
        <w:t xml:space="preserve">Comment réagir à un incident, restaurer les données ou reconstruire le serveur ?</w:t>
      </w:r>
    </w:p>
    <w:p>
      <w:pPr>
        <w:pStyle w:val="ListParagraph"/>
        <w:numPr>
          <w:ilvl w:val="0"/>
          <w:numId w:val="1"/>
        </w:numPr>
      </w:pPr>
      <w:r>
        <w:rPr/>
        <w:t xml:space="preserve">Comment les utilisateurs se servent-ils de l'interface ?</w:t>
      </w:r>
    </w:p>
    <w:p>
      <w:pPr>
        <w:pStyle w:val="Heading2"/>
      </w:pPr>
      <w:bookmarkStart w:id="3" w:name="_Toc00003"/>
      <w:r>
        <w:rPr/>
        <w:t xml:space="preserve">1.2 Périmètre</w:t>
      </w:r>
      <w:bookmarkEnd w:id="3"/>
    </w:p>
    <w:p>
      <w:pPr/>
      <w:r>
        <w:rPr/>
        <w:t xml:space="preserve">Le périmètre couvre l'application FreeLM version 0.1.0 :</w:t>
      </w:r>
    </w:p>
    <w:p>
      <w:pPr>
        <w:pStyle w:val="ListParagraph"/>
        <w:numPr>
          <w:ilvl w:val="0"/>
          <w:numId w:val="2"/>
        </w:numPr>
      </w:pPr>
      <w:r>
        <w:rPr/>
        <w:t xml:space="preserve">la collecte de la consommation des licences FlexLM / FlexNet par sondage </w:t>
      </w:r>
      <w:r>
        <w:rPr>
          <w:rFonts w:ascii="Consolas" w:hAnsi="Consolas" w:cs="Consolas"/>
          <w:color w:val="1C5CAB"/>
          <w:sz w:val="18"/>
          <w:szCs w:val="18"/>
          <w:shd w:val="clear" w:color="auto" w:fill="EEF3FA"/>
        </w:rPr>
        <w:t xml:space="preserve">lmutil lmstat</w:t>
      </w:r>
      <w:r>
        <w:rPr/>
        <w:t xml:space="preserve"> et lecture des logs debug ;</w:t>
      </w:r>
    </w:p>
    <w:p>
      <w:pPr>
        <w:pStyle w:val="ListParagraph"/>
        <w:numPr>
          <w:ilvl w:val="0"/>
          <w:numId w:val="2"/>
        </w:numPr>
      </w:pPr>
      <w:r>
        <w:rPr/>
        <w:t xml:space="preserve">l'historisation dans une base SQL Server ;</w:t>
      </w:r>
    </w:p>
    <w:p>
      <w:pPr>
        <w:pStyle w:val="ListParagraph"/>
        <w:numPr>
          <w:ilvl w:val="0"/>
          <w:numId w:val="2"/>
        </w:numPr>
      </w:pPr>
      <w:r>
        <w:rPr/>
        <w:t xml:space="preserve">l'interface web (tableau de bord, vue en direct, rapports, exports) et son authentification Windows / AD ;</w:t>
      </w:r>
    </w:p>
    <w:p>
      <w:pPr>
        <w:pStyle w:val="ListParagraph"/>
        <w:numPr>
          <w:ilvl w:val="0"/>
          <w:numId w:val="2"/>
        </w:numPr>
      </w:pPr>
      <w:r>
        <w:rPr/>
        <w:t xml:space="preserve">le rapport Excel mensuel et son envoi par e-mail ;</w:t>
      </w:r>
    </w:p>
    <w:p>
      <w:pPr>
        <w:pStyle w:val="ListParagraph"/>
        <w:numPr>
          <w:ilvl w:val="0"/>
          <w:numId w:val="2"/>
        </w:numPr>
      </w:pPr>
      <w:r>
        <w:rPr/>
        <w:t xml:space="preserve">les tâches planifiées Windows et les scripts associés.</w:t>
      </w:r>
    </w:p>
    <w:p>
      <w:pPr/>
      <w:r>
        <w:rPr/>
        <w:t xml:space="preserve">Hors périmètre : l'administration des serveurs de licences eux-mêmes (lmgrd, démons éditeurs, fichiers de licence), l'infrastructure SQL Server mutualisée, l'Active Directory et le relais SMTP, qui relèvent de leurs propres dossiers d'exploitation.</w:t>
      </w:r>
    </w:p>
    <w:p>
      <w:pPr>
        <w:pStyle w:val="Heading2"/>
      </w:pPr>
      <w:bookmarkStart w:id="4" w:name="_Toc00004"/>
      <w:r>
        <w:rPr/>
        <w:t xml:space="preserve">1.3 Documents de référence</w:t>
      </w:r>
      <w:bookmarkEnd w:id="4"/>
    </w:p>
    <w:p>
      <w:pPr>
        <w:pStyle w:val="Caption"/>
        <w:keepNext/>
      </w:pPr>
      <w:r>
        <w:rPr/>
        <w:t xml:space="preserve">Tableau 1 – Documents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55"/>
        <w:gridCol w:w="2653"/>
        <w:gridCol w:w="5028"/>
      </w:tblGrid>
      <w:tr>
        <w:trPr>
          <w:tblHeader/>
          <w:cantSplit/>
        </w:trPr>
        <w:tc>
          <w:tcPr>
            <w:tcW w:w="1955" w:type="dxa"/>
            <w:shd w:val="clear" w:color="auto" w:fill="2A78D6"/>
          </w:tcPr>
          <w:p>
            <w:pPr>
              <w:pStyle w:val="TableText"/>
            </w:pPr>
            <w:r>
              <w:rPr>
                <w:b/>
                <w:color w:val="FFFFFF"/>
                <w:sz w:val="18"/>
                <w:szCs w:val="18"/>
              </w:rPr>
              <w:t xml:space="preserve">Document</w:t>
            </w:r>
          </w:p>
        </w:tc>
        <w:tc>
          <w:tcPr>
            <w:tcW w:w="2653" w:type="dxa"/>
            <w:shd w:val="clear" w:color="auto" w:fill="2A78D6"/>
          </w:tcPr>
          <w:p>
            <w:pPr>
              <w:pStyle w:val="TableText"/>
            </w:pPr>
            <w:r>
              <w:rPr>
                <w:b/>
                <w:color w:val="FFFFFF"/>
                <w:sz w:val="18"/>
                <w:szCs w:val="18"/>
              </w:rPr>
              <w:t xml:space="preserve">Emplacement</w:t>
            </w:r>
          </w:p>
        </w:tc>
        <w:tc>
          <w:tcPr>
            <w:tcW w:w="5028" w:type="dxa"/>
            <w:shd w:val="clear" w:color="auto" w:fill="2A78D6"/>
          </w:tcPr>
          <w:p>
            <w:pPr>
              <w:pStyle w:val="TableText"/>
            </w:pPr>
            <w:r>
              <w:rPr>
                <w:b/>
                <w:color w:val="FFFFFF"/>
                <w:sz w:val="18"/>
                <w:szCs w:val="18"/>
              </w:rPr>
              <w:t xml:space="preserve">Contenu</w:t>
            </w:r>
          </w:p>
        </w:tc>
      </w:tr>
      <w:tr>
        <w:trPr>
          <w:cantSplit/>
        </w:trPr>
        <w:tc>
          <w:tcPr>
            <w:tcW w:w="1955" w:type="dxa"/>
          </w:tcPr>
          <w:p>
            <w:pPr>
              <w:pStyle w:val="TableText"/>
            </w:pPr>
            <w:r>
              <w:rPr>
                <w:sz w:val="18"/>
                <w:szCs w:val="18"/>
              </w:rPr>
              <w:t xml:space="preserve">README</w:t>
            </w:r>
          </w:p>
        </w:tc>
        <w:tc>
          <w:tcPr>
            <w:tcW w:w="2653" w:type="dxa"/>
          </w:tcPr>
          <w:p>
            <w:pPr>
              <w:pStyle w:val="TableText"/>
            </w:pPr>
            <w:r>
              <w:rPr>
                <w:sz w:val="18"/>
                <w:szCs w:val="18"/>
              </w:rPr>
              <w:t xml:space="preserve">README.md</w:t>
            </w:r>
          </w:p>
        </w:tc>
        <w:tc>
          <w:tcPr>
            <w:tcW w:w="5028" w:type="dxa"/>
          </w:tcPr>
          <w:p>
            <w:pPr>
              <w:pStyle w:val="TableText"/>
            </w:pPr>
            <w:r>
              <w:rPr>
                <w:sz w:val="18"/>
                <w:szCs w:val="18"/>
              </w:rPr>
              <w:t xml:space="preserve">Présentation, démarrage rapide, installation, commandes, comparaison OpenLM</w:t>
            </w:r>
          </w:p>
        </w:tc>
      </w:tr>
      <w:tr>
        <w:trPr>
          <w:cantSplit/>
        </w:trPr>
        <w:tc>
          <w:tcPr>
            <w:tcW w:w="1955" w:type="dxa"/>
            <w:shd w:val="clear" w:color="auto" w:fill="F4F7FC"/>
          </w:tcPr>
          <w:p>
            <w:pPr>
              <w:pStyle w:val="TableText"/>
            </w:pPr>
            <w:r>
              <w:rPr>
                <w:sz w:val="18"/>
                <w:szCs w:val="18"/>
              </w:rPr>
              <w:t xml:space="preserve">Architecture</w:t>
            </w:r>
          </w:p>
        </w:tc>
        <w:tc>
          <w:tcPr>
            <w:tcW w:w="2653" w:type="dxa"/>
            <w:shd w:val="clear" w:color="auto" w:fill="F4F7FC"/>
          </w:tcPr>
          <w:p>
            <w:pPr>
              <w:pStyle w:val="TableText"/>
            </w:pPr>
            <w:r>
              <w:rPr>
                <w:sz w:val="18"/>
                <w:szCs w:val="18"/>
              </w:rPr>
              <w:t xml:space="preserve">docs/ARCHITECTURE.md</w:t>
            </w:r>
          </w:p>
        </w:tc>
        <w:tc>
          <w:tcPr>
            <w:tcW w:w="5028" w:type="dxa"/>
            <w:shd w:val="clear" w:color="auto" w:fill="F4F7FC"/>
          </w:tcPr>
          <w:p>
            <w:pPr>
              <w:pStyle w:val="TableText"/>
            </w:pPr>
            <w:r>
              <w:rPr>
                <w:sz w:val="18"/>
                <w:szCs w:val="18"/>
              </w:rPr>
              <w:t xml:space="preserve">Modules, flux de collecte, schéma de base, ajout d'un gestionnaire</w:t>
            </w:r>
          </w:p>
        </w:tc>
      </w:tr>
      <w:tr>
        <w:trPr>
          <w:cantSplit/>
        </w:trPr>
        <w:tc>
          <w:tcPr>
            <w:tcW w:w="1955" w:type="dxa"/>
          </w:tcPr>
          <w:p>
            <w:pPr>
              <w:pStyle w:val="TableText"/>
            </w:pPr>
            <w:r>
              <w:rPr>
                <w:sz w:val="18"/>
                <w:szCs w:val="18"/>
              </w:rPr>
              <w:t xml:space="preserve">Authentification</w:t>
            </w:r>
          </w:p>
        </w:tc>
        <w:tc>
          <w:tcPr>
            <w:tcW w:w="2653" w:type="dxa"/>
          </w:tcPr>
          <w:p>
            <w:pPr>
              <w:pStyle w:val="TableText"/>
            </w:pPr>
            <w:r>
              <w:rPr>
                <w:sz w:val="18"/>
                <w:szCs w:val="18"/>
              </w:rPr>
              <w:t xml:space="preserve">docs/AUTHENTIFICATION.md</w:t>
            </w:r>
          </w:p>
        </w:tc>
        <w:tc>
          <w:tcPr>
            <w:tcW w:w="5028" w:type="dxa"/>
          </w:tcPr>
          <w:p>
            <w:pPr>
              <w:pStyle w:val="TableText"/>
            </w:pPr>
            <w:r>
              <w:rPr>
                <w:sz w:val="18"/>
                <w:szCs w:val="18"/>
              </w:rPr>
              <w:t xml:space="preserve">Connexion Windows / AD, SSO IIS, HTTPS, audit</w:t>
            </w:r>
          </w:p>
        </w:tc>
      </w:tr>
      <w:tr>
        <w:trPr>
          <w:cantSplit/>
        </w:trPr>
        <w:tc>
          <w:tcPr>
            <w:tcW w:w="1955" w:type="dxa"/>
            <w:shd w:val="clear" w:color="auto" w:fill="F4F7FC"/>
          </w:tcPr>
          <w:p>
            <w:pPr>
              <w:pStyle w:val="TableText"/>
            </w:pPr>
            <w:r>
              <w:rPr>
                <w:sz w:val="18"/>
                <w:szCs w:val="18"/>
              </w:rPr>
              <w:t xml:space="preserve">Sécurité</w:t>
            </w:r>
          </w:p>
        </w:tc>
        <w:tc>
          <w:tcPr>
            <w:tcW w:w="2653" w:type="dxa"/>
            <w:shd w:val="clear" w:color="auto" w:fill="F4F7FC"/>
          </w:tcPr>
          <w:p>
            <w:pPr>
              <w:pStyle w:val="TableText"/>
            </w:pPr>
            <w:r>
              <w:rPr>
                <w:sz w:val="18"/>
                <w:szCs w:val="18"/>
              </w:rPr>
              <w:t xml:space="preserve">docs/SECURITE.md</w:t>
            </w:r>
          </w:p>
        </w:tc>
        <w:tc>
          <w:tcPr>
            <w:tcW w:w="5028" w:type="dxa"/>
            <w:shd w:val="clear" w:color="auto" w:fill="F4F7FC"/>
          </w:tcPr>
          <w:p>
            <w:pPr>
              <w:pStyle w:val="TableText"/>
            </w:pPr>
            <w:r>
              <w:rPr>
                <w:sz w:val="18"/>
                <w:szCs w:val="18"/>
              </w:rPr>
              <w:t xml:space="preserve">Audit de sécurité, corrections, liste de contrôle de déploiement</w:t>
            </w:r>
          </w:p>
        </w:tc>
      </w:tr>
      <w:tr>
        <w:trPr>
          <w:cantSplit/>
        </w:trPr>
        <w:tc>
          <w:tcPr>
            <w:tcW w:w="1955" w:type="dxa"/>
          </w:tcPr>
          <w:p>
            <w:pPr>
              <w:pStyle w:val="TableText"/>
            </w:pPr>
            <w:r>
              <w:rPr>
                <w:sz w:val="18"/>
                <w:szCs w:val="18"/>
              </w:rPr>
              <w:t xml:space="preserve">Plan de test</w:t>
            </w:r>
          </w:p>
        </w:tc>
        <w:tc>
          <w:tcPr>
            <w:tcW w:w="2653" w:type="dxa"/>
          </w:tcPr>
          <w:p>
            <w:pPr>
              <w:pStyle w:val="TableText"/>
            </w:pPr>
            <w:r>
              <w:rPr>
                <w:sz w:val="18"/>
                <w:szCs w:val="18"/>
              </w:rPr>
              <w:t xml:space="preserve">docs/PLAN_DE_TEST.md</w:t>
            </w:r>
          </w:p>
        </w:tc>
        <w:tc>
          <w:tcPr>
            <w:tcW w:w="5028" w:type="dxa"/>
          </w:tcPr>
          <w:p>
            <w:pPr>
              <w:pStyle w:val="TableText"/>
            </w:pPr>
            <w:r>
              <w:rPr>
                <w:sz w:val="18"/>
                <w:szCs w:val="18"/>
              </w:rPr>
              <w:t xml:space="preserve">Cas de recette, validation sur serveurs réels, procès-verbal</w:t>
            </w:r>
          </w:p>
        </w:tc>
      </w:tr>
      <w:tr>
        <w:trPr>
          <w:cantSplit/>
        </w:trPr>
        <w:tc>
          <w:tcPr>
            <w:tcW w:w="1955" w:type="dxa"/>
            <w:shd w:val="clear" w:color="auto" w:fill="F4F7FC"/>
          </w:tcPr>
          <w:p>
            <w:pPr>
              <w:pStyle w:val="TableText"/>
            </w:pPr>
            <w:r>
              <w:rPr>
                <w:sz w:val="18"/>
                <w:szCs w:val="18"/>
              </w:rPr>
              <w:t xml:space="preserve">Journal des modifications</w:t>
            </w:r>
          </w:p>
        </w:tc>
        <w:tc>
          <w:tcPr>
            <w:tcW w:w="2653" w:type="dxa"/>
            <w:shd w:val="clear" w:color="auto" w:fill="F4F7FC"/>
          </w:tcPr>
          <w:p>
            <w:pPr>
              <w:pStyle w:val="TableText"/>
            </w:pPr>
            <w:r>
              <w:rPr>
                <w:sz w:val="18"/>
                <w:szCs w:val="18"/>
              </w:rPr>
              <w:t xml:space="preserve">CHANGELOG.md</w:t>
            </w:r>
          </w:p>
        </w:tc>
        <w:tc>
          <w:tcPr>
            <w:tcW w:w="5028" w:type="dxa"/>
            <w:shd w:val="clear" w:color="auto" w:fill="F4F7FC"/>
          </w:tcPr>
          <w:p>
            <w:pPr>
              <w:pStyle w:val="TableText"/>
            </w:pPr>
            <w:r>
              <w:rPr>
                <w:sz w:val="18"/>
                <w:szCs w:val="18"/>
              </w:rPr>
              <w:t xml:space="preserve">Évolutions par version</w:t>
            </w:r>
          </w:p>
        </w:tc>
      </w:tr>
      <w:tr>
        <w:trPr>
          <w:cantSplit/>
        </w:trPr>
        <w:tc>
          <w:tcPr>
            <w:tcW w:w="1955" w:type="dxa"/>
          </w:tcPr>
          <w:p>
            <w:pPr>
              <w:pStyle w:val="TableText"/>
            </w:pPr>
            <w:r>
              <w:rPr>
                <w:sz w:val="18"/>
                <w:szCs w:val="18"/>
              </w:rPr>
              <w:t xml:space="preserve">Configuration commentée</w:t>
            </w:r>
          </w:p>
        </w:tc>
        <w:tc>
          <w:tcPr>
            <w:tcW w:w="2653" w:type="dxa"/>
          </w:tcPr>
          <w:p>
            <w:pPr>
              <w:pStyle w:val="TableText"/>
            </w:pPr>
            <w:r>
              <w:rPr>
                <w:sz w:val="18"/>
                <w:szCs w:val="18"/>
              </w:rPr>
              <w:t xml:space="preserve">config/freelm.example.yaml</w:t>
            </w:r>
          </w:p>
        </w:tc>
        <w:tc>
          <w:tcPr>
            <w:tcW w:w="5028" w:type="dxa"/>
          </w:tcPr>
          <w:p>
            <w:pPr>
              <w:pStyle w:val="TableText"/>
            </w:pPr>
            <w:r>
              <w:rPr>
                <w:sz w:val="18"/>
                <w:szCs w:val="18"/>
              </w:rPr>
              <w:t xml:space="preserve">Tous les paramètres avec exemples</w:t>
            </w:r>
          </w:p>
        </w:tc>
      </w:tr>
    </w:tbl>
    <w:p>
      <w:pPr>
        <w:spacing w:after="80"/>
      </w:pPr>
    </w:p>
    <w:p>
      <w:pPr>
        <w:pStyle w:val="Heading2"/>
      </w:pPr>
      <w:bookmarkStart w:id="5" w:name="_Toc00005"/>
      <w:r>
        <w:rPr/>
        <w:t xml:space="preserve">1.4 Glossaire</w:t>
      </w:r>
      <w:bookmarkEnd w:id="5"/>
    </w:p>
    <w:p>
      <w:pPr>
        <w:pStyle w:val="Caption"/>
        <w:keepNext/>
      </w:pPr>
      <w:r>
        <w:rPr/>
        <w:t xml:space="preserve">Tableau 2 – Glossaire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45"/>
        <w:gridCol w:w="7192"/>
      </w:tblGrid>
      <w:tr>
        <w:trPr>
          <w:tblHeader/>
          <w:cantSplit/>
        </w:trPr>
        <w:tc>
          <w:tcPr>
            <w:tcW w:w="2445" w:type="dxa"/>
            <w:shd w:val="clear" w:color="auto" w:fill="2A78D6"/>
          </w:tcPr>
          <w:p>
            <w:pPr>
              <w:pStyle w:val="TableText"/>
            </w:pPr>
            <w:r>
              <w:rPr>
                <w:b/>
                <w:color w:val="FFFFFF"/>
                <w:sz w:val="18"/>
                <w:szCs w:val="18"/>
              </w:rPr>
              <w:t xml:space="preserve">Terme</w:t>
            </w:r>
          </w:p>
        </w:tc>
        <w:tc>
          <w:tcPr>
            <w:tcW w:w="7192" w:type="dxa"/>
            <w:shd w:val="clear" w:color="auto" w:fill="2A78D6"/>
          </w:tcPr>
          <w:p>
            <w:pPr>
              <w:pStyle w:val="TableText"/>
            </w:pPr>
            <w:r>
              <w:rPr>
                <w:b/>
                <w:color w:val="FFFFFF"/>
                <w:sz w:val="18"/>
                <w:szCs w:val="18"/>
              </w:rPr>
              <w:t xml:space="preserve">Définition</w:t>
            </w:r>
          </w:p>
        </w:tc>
      </w:tr>
      <w:tr>
        <w:trPr>
          <w:cantSplit/>
        </w:trPr>
        <w:tc>
          <w:tcPr>
            <w:tcW w:w="2445" w:type="dxa"/>
          </w:tcPr>
          <w:p>
            <w:pPr>
              <w:pStyle w:val="TableText"/>
            </w:pPr>
            <w:r>
              <w:rPr>
                <w:b/>
                <w:sz w:val="18"/>
                <w:szCs w:val="18"/>
              </w:rPr>
              <w:t xml:space="preserve">FlexLM / FlexNet Publisher</w:t>
            </w:r>
          </w:p>
        </w:tc>
        <w:tc>
          <w:tcPr>
            <w:tcW w:w="7192" w:type="dxa"/>
          </w:tcPr>
          <w:p>
            <w:pPr>
              <w:pStyle w:val="TableText"/>
            </w:pPr>
            <w:r>
              <w:rPr>
                <w:sz w:val="18"/>
                <w:szCs w:val="18"/>
              </w:rPr>
              <w:t xml:space="preserve">Gestionnaire de licences flottantes utilisé par Autodesk, Ansys, MathWorks, Siemens, etc.</w:t>
            </w:r>
          </w:p>
        </w:tc>
      </w:tr>
      <w:tr>
        <w:trPr>
          <w:cantSplit/>
        </w:trPr>
        <w:tc>
          <w:tcPr>
            <w:tcW w:w="2445" w:type="dxa"/>
            <w:shd w:val="clear" w:color="auto" w:fill="F4F7FC"/>
          </w:tcPr>
          <w:p>
            <w:pPr>
              <w:pStyle w:val="TableText"/>
            </w:pPr>
            <w:r>
              <w:rPr>
                <w:b/>
                <w:sz w:val="18"/>
                <w:szCs w:val="18"/>
              </w:rPr>
              <w:t xml:space="preserve">lmgrd</w:t>
            </w:r>
          </w:p>
        </w:tc>
        <w:tc>
          <w:tcPr>
            <w:tcW w:w="7192" w:type="dxa"/>
            <w:shd w:val="clear" w:color="auto" w:fill="F4F7FC"/>
          </w:tcPr>
          <w:p>
            <w:pPr>
              <w:pStyle w:val="TableText"/>
            </w:pPr>
            <w:r>
              <w:rPr>
                <w:sz w:val="18"/>
                <w:szCs w:val="18"/>
              </w:rPr>
              <w:t xml:space="preserve">Démon principal FlexLM ; écoute sur un port (ex. 27000) et délègue aux démons éditeurs.</w:t>
            </w:r>
          </w:p>
        </w:tc>
      </w:tr>
      <w:tr>
        <w:trPr>
          <w:cantSplit/>
        </w:trPr>
        <w:tc>
          <w:tcPr>
            <w:tcW w:w="2445" w:type="dxa"/>
          </w:tcPr>
          <w:p>
            <w:pPr>
              <w:pStyle w:val="TableText"/>
            </w:pPr>
            <w:r>
              <w:rPr>
                <w:b/>
                <w:sz w:val="18"/>
                <w:szCs w:val="18"/>
              </w:rPr>
              <w:t xml:space="preserve">Démon éditeur (vendor daemon)</w:t>
            </w:r>
          </w:p>
        </w:tc>
        <w:tc>
          <w:tcPr>
            <w:tcW w:w="7192" w:type="dxa"/>
          </w:tcPr>
          <w:p>
            <w:pPr>
              <w:pStyle w:val="TableText"/>
            </w:pPr>
            <w:r>
              <w:rPr>
                <w:sz w:val="18"/>
                <w:szCs w:val="18"/>
              </w:rPr>
              <w:t xml:space="preserve">Processus propre à un éditeur (adskflex, ansyslmd, MLM…) qui distribue ses jetons.</w:t>
            </w:r>
          </w:p>
        </w:tc>
      </w:tr>
      <w:tr>
        <w:trPr>
          <w:cantSplit/>
        </w:trPr>
        <w:tc>
          <w:tcPr>
            <w:tcW w:w="2445" w:type="dxa"/>
            <w:shd w:val="clear" w:color="auto" w:fill="F4F7FC"/>
          </w:tcPr>
          <w:p>
            <w:pPr>
              <w:pStyle w:val="TableText"/>
            </w:pPr>
            <w:r>
              <w:rPr>
                <w:b/>
                <w:sz w:val="18"/>
                <w:szCs w:val="18"/>
              </w:rPr>
              <w:t xml:space="preserve">lmutil / lmstat</w:t>
            </w:r>
          </w:p>
        </w:tc>
        <w:tc>
          <w:tcPr>
            <w:tcW w:w="7192" w:type="dxa"/>
            <w:shd w:val="clear" w:color="auto" w:fill="F4F7FC"/>
          </w:tcPr>
          <w:p>
            <w:pPr>
              <w:pStyle w:val="TableText"/>
            </w:pPr>
            <w:r>
              <w:rPr>
                <w:sz w:val="18"/>
                <w:szCs w:val="18"/>
              </w:rPr>
              <w:t xml:space="preserve">Outil en ligne de commande FlexLM ; </w:t>
            </w:r>
            <w:r>
              <w:rPr>
                <w:rFonts w:ascii="Consolas" w:hAnsi="Consolas" w:cs="Consolas"/>
                <w:color w:val="1C5CAB"/>
                <w:sz w:val="18"/>
                <w:szCs w:val="18"/>
                <w:shd w:val="clear" w:color="auto" w:fill="EEF3FA"/>
              </w:rPr>
              <w:t xml:space="preserve">lmutil lmstat -a</w:t>
            </w:r>
            <w:r>
              <w:rPr>
                <w:sz w:val="18"/>
                <w:szCs w:val="18"/>
              </w:rPr>
              <w:t xml:space="preserve"> liste les jetons émis, utilisés et les utilisateurs.</w:t>
            </w:r>
          </w:p>
        </w:tc>
      </w:tr>
      <w:tr>
        <w:trPr>
          <w:cantSplit/>
        </w:trPr>
        <w:tc>
          <w:tcPr>
            <w:tcW w:w="2445" w:type="dxa"/>
          </w:tcPr>
          <w:p>
            <w:pPr>
              <w:pStyle w:val="TableText"/>
            </w:pPr>
            <w:r>
              <w:rPr>
                <w:b/>
                <w:sz w:val="18"/>
                <w:szCs w:val="18"/>
              </w:rPr>
              <w:t xml:space="preserve">Feature</w:t>
            </w:r>
          </w:p>
        </w:tc>
        <w:tc>
          <w:tcPr>
            <w:tcW w:w="7192" w:type="dxa"/>
          </w:tcPr>
          <w:p>
            <w:pPr>
              <w:pStyle w:val="TableText"/>
            </w:pPr>
            <w:r>
              <w:rPr>
                <w:sz w:val="18"/>
                <w:szCs w:val="18"/>
              </w:rPr>
              <w:t xml:space="preserve">Code technique d'une licence dans FlexLM (ex. </w:t>
            </w:r>
            <w:r>
              <w:rPr>
                <w:rFonts w:ascii="Consolas" w:hAnsi="Consolas" w:cs="Consolas"/>
                <w:color w:val="1C5CAB"/>
                <w:sz w:val="18"/>
                <w:szCs w:val="18"/>
                <w:shd w:val="clear" w:color="auto" w:fill="EEF3FA"/>
              </w:rPr>
              <w:t xml:space="preserve">87545ACD_2024_0F</w:t>
            </w:r>
            <w:r>
              <w:rPr>
                <w:sz w:val="18"/>
                <w:szCs w:val="18"/>
              </w:rPr>
              <w:t xml:space="preserve">), rattaché à un produit lisible par FreeLM.</w:t>
            </w:r>
          </w:p>
        </w:tc>
      </w:tr>
      <w:tr>
        <w:trPr>
          <w:cantSplit/>
        </w:trPr>
        <w:tc>
          <w:tcPr>
            <w:tcW w:w="2445" w:type="dxa"/>
            <w:shd w:val="clear" w:color="auto" w:fill="F4F7FC"/>
          </w:tcPr>
          <w:p>
            <w:pPr>
              <w:pStyle w:val="TableText"/>
            </w:pPr>
            <w:r>
              <w:rPr>
                <w:b/>
                <w:sz w:val="18"/>
                <w:szCs w:val="18"/>
              </w:rPr>
              <w:t xml:space="preserve">Jeton</w:t>
            </w:r>
          </w:p>
        </w:tc>
        <w:tc>
          <w:tcPr>
            <w:tcW w:w="7192" w:type="dxa"/>
            <w:shd w:val="clear" w:color="auto" w:fill="F4F7FC"/>
          </w:tcPr>
          <w:p>
            <w:pPr>
              <w:pStyle w:val="TableText"/>
            </w:pPr>
            <w:r>
              <w:rPr>
                <w:sz w:val="18"/>
                <w:szCs w:val="18"/>
              </w:rPr>
              <w:t xml:space="preserve">Unité de licence flottante ; un utilisateur en « emprunte » un (checkout) puis le rend (checkin).</w:t>
            </w:r>
          </w:p>
        </w:tc>
      </w:tr>
      <w:tr>
        <w:trPr>
          <w:cantSplit/>
        </w:trPr>
        <w:tc>
          <w:tcPr>
            <w:tcW w:w="2445" w:type="dxa"/>
          </w:tcPr>
          <w:p>
            <w:pPr>
              <w:pStyle w:val="TableText"/>
            </w:pPr>
            <w:r>
              <w:rPr>
                <w:b/>
                <w:sz w:val="18"/>
                <w:szCs w:val="18"/>
              </w:rPr>
              <w:t xml:space="preserve">Session</w:t>
            </w:r>
          </w:p>
        </w:tc>
        <w:tc>
          <w:tcPr>
            <w:tcW w:w="7192" w:type="dxa"/>
          </w:tcPr>
          <w:p>
            <w:pPr>
              <w:pStyle w:val="TableText"/>
            </w:pPr>
            <w:r>
              <w:rPr>
                <w:sz w:val="18"/>
                <w:szCs w:val="18"/>
              </w:rPr>
              <w:t xml:space="preserve">Période pendant laquelle un utilisateur détient un jeton, reconstituée par FreeLM.</w:t>
            </w:r>
          </w:p>
        </w:tc>
      </w:tr>
      <w:tr>
        <w:trPr>
          <w:cantSplit/>
        </w:trPr>
        <w:tc>
          <w:tcPr>
            <w:tcW w:w="2445" w:type="dxa"/>
            <w:shd w:val="clear" w:color="auto" w:fill="F4F7FC"/>
          </w:tcPr>
          <w:p>
            <w:pPr>
              <w:pStyle w:val="TableText"/>
            </w:pPr>
            <w:r>
              <w:rPr>
                <w:b/>
                <w:sz w:val="18"/>
                <w:szCs w:val="18"/>
              </w:rPr>
              <w:t xml:space="preserve">Refus (DENIED)</w:t>
            </w:r>
          </w:p>
        </w:tc>
        <w:tc>
          <w:tcPr>
            <w:tcW w:w="7192" w:type="dxa"/>
            <w:shd w:val="clear" w:color="auto" w:fill="F4F7FC"/>
          </w:tcPr>
          <w:p>
            <w:pPr>
              <w:pStyle w:val="TableText"/>
            </w:pPr>
            <w:r>
              <w:rPr>
                <w:sz w:val="18"/>
                <w:szCs w:val="18"/>
              </w:rPr>
              <w:t xml:space="preserve">Demande de jeton refusée faute de jeton disponible ; visible uniquement dans le log debug.</w:t>
            </w:r>
          </w:p>
        </w:tc>
      </w:tr>
      <w:tr>
        <w:trPr>
          <w:cantSplit/>
        </w:trPr>
        <w:tc>
          <w:tcPr>
            <w:tcW w:w="2445" w:type="dxa"/>
          </w:tcPr>
          <w:p>
            <w:pPr>
              <w:pStyle w:val="TableText"/>
            </w:pPr>
            <w:r>
              <w:rPr>
                <w:b/>
                <w:sz w:val="18"/>
                <w:szCs w:val="18"/>
              </w:rPr>
              <w:t xml:space="preserve">Saturation</w:t>
            </w:r>
          </w:p>
        </w:tc>
        <w:tc>
          <w:tcPr>
            <w:tcW w:w="7192" w:type="dxa"/>
          </w:tcPr>
          <w:p>
            <w:pPr>
              <w:pStyle w:val="TableText"/>
            </w:pPr>
            <w:r>
              <w:rPr>
                <w:sz w:val="18"/>
                <w:szCs w:val="18"/>
              </w:rPr>
              <w:t xml:space="preserve">Heure pendant laquelle tous les jetons d'une feature sont utilisés.</w:t>
            </w:r>
          </w:p>
        </w:tc>
      </w:tr>
      <w:tr>
        <w:trPr>
          <w:cantSplit/>
        </w:trPr>
        <w:tc>
          <w:tcPr>
            <w:tcW w:w="2445" w:type="dxa"/>
            <w:shd w:val="clear" w:color="auto" w:fill="F4F7FC"/>
          </w:tcPr>
          <w:p>
            <w:pPr>
              <w:pStyle w:val="TableText"/>
            </w:pPr>
            <w:r>
              <w:rPr>
                <w:b/>
                <w:sz w:val="18"/>
                <w:szCs w:val="18"/>
              </w:rPr>
              <w:t xml:space="preserve">Heures ouvrées</w:t>
            </w:r>
          </w:p>
        </w:tc>
        <w:tc>
          <w:tcPr>
            <w:tcW w:w="7192" w:type="dxa"/>
            <w:shd w:val="clear" w:color="auto" w:fill="F4F7FC"/>
          </w:tcPr>
          <w:p>
            <w:pPr>
              <w:pStyle w:val="TableText"/>
            </w:pPr>
            <w:r>
              <w:rPr>
                <w:sz w:val="18"/>
                <w:szCs w:val="18"/>
              </w:rPr>
              <w:t xml:space="preserve">Jours ouvrés, plage </w:t>
            </w:r>
            <w:r>
              <w:rPr>
                <w:rFonts w:ascii="Consolas" w:hAnsi="Consolas" w:cs="Consolas"/>
                <w:color w:val="1C5CAB"/>
                <w:sz w:val="18"/>
                <w:szCs w:val="18"/>
                <w:shd w:val="clear" w:color="auto" w:fill="EEF3FA"/>
              </w:rPr>
              <w:t xml:space="preserve">business_hours</w:t>
            </w:r>
            <w:r>
              <w:rPr>
                <w:sz w:val="18"/>
                <w:szCs w:val="18"/>
              </w:rPr>
              <w:t xml:space="preserve"> (8 h – 19 h par défaut) ; base des taux « heures ouvrées ».</w:t>
            </w:r>
          </w:p>
        </w:tc>
      </w:tr>
      <w:tr>
        <w:trPr>
          <w:cantSplit/>
        </w:trPr>
        <w:tc>
          <w:tcPr>
            <w:tcW w:w="2445" w:type="dxa"/>
          </w:tcPr>
          <w:p>
            <w:pPr>
              <w:pStyle w:val="TableText"/>
            </w:pPr>
            <w:r>
              <w:rPr>
                <w:b/>
                <w:sz w:val="18"/>
                <w:szCs w:val="18"/>
              </w:rPr>
              <w:t xml:space="preserve">Taux d'occupation</w:t>
            </w:r>
          </w:p>
        </w:tc>
        <w:tc>
          <w:tcPr>
            <w:tcW w:w="7192" w:type="dxa"/>
          </w:tcPr>
          <w:p>
            <w:pPr>
              <w:pStyle w:val="TableText"/>
            </w:pPr>
            <w:r>
              <w:rPr>
                <w:sz w:val="18"/>
                <w:szCs w:val="18"/>
              </w:rPr>
              <w:t xml:space="preserve">Jetons utilisés / jetons émis, moyenné sur la période.</w:t>
            </w:r>
          </w:p>
        </w:tc>
      </w:tr>
      <w:tr>
        <w:trPr>
          <w:cantSplit/>
        </w:trPr>
        <w:tc>
          <w:tcPr>
            <w:tcW w:w="2445" w:type="dxa"/>
            <w:shd w:val="clear" w:color="auto" w:fill="F4F7FC"/>
          </w:tcPr>
          <w:p>
            <w:pPr>
              <w:pStyle w:val="TableText"/>
            </w:pPr>
            <w:r>
              <w:rPr>
                <w:b/>
                <w:sz w:val="18"/>
                <w:szCs w:val="18"/>
              </w:rPr>
              <w:t xml:space="preserve">Efficacité</w:t>
            </w:r>
          </w:p>
        </w:tc>
        <w:tc>
          <w:tcPr>
            <w:tcW w:w="7192" w:type="dxa"/>
            <w:shd w:val="clear" w:color="auto" w:fill="F4F7FC"/>
          </w:tcPr>
          <w:p>
            <w:pPr>
              <w:pStyle w:val="TableText"/>
            </w:pPr>
            <w:r>
              <w:rPr>
                <w:sz w:val="18"/>
                <w:szCs w:val="18"/>
              </w:rPr>
              <w:t xml:space="preserve">Part du temps ouvré où au moins N jetons sont utilisés ; sert à recommander un nombre de jetons.</w:t>
            </w:r>
          </w:p>
        </w:tc>
      </w:tr>
      <w:tr>
        <w:trPr>
          <w:cantSplit/>
        </w:trPr>
        <w:tc>
          <w:tcPr>
            <w:tcW w:w="2445" w:type="dxa"/>
          </w:tcPr>
          <w:p>
            <w:pPr>
              <w:pStyle w:val="TableText"/>
            </w:pPr>
            <w:r>
              <w:rPr>
                <w:b/>
                <w:sz w:val="18"/>
                <w:szCs w:val="18"/>
              </w:rPr>
              <w:t xml:space="preserve">gMSA</w:t>
            </w:r>
          </w:p>
        </w:tc>
        <w:tc>
          <w:tcPr>
            <w:tcW w:w="7192" w:type="dxa"/>
          </w:tcPr>
          <w:p>
            <w:pPr>
              <w:pStyle w:val="TableText"/>
            </w:pPr>
            <w:r>
              <w:rPr>
                <w:sz w:val="18"/>
                <w:szCs w:val="18"/>
              </w:rPr>
              <w:t xml:space="preserve">Group Managed Service Account : compte de service AD dont le mot de passe est géré automatiquement.</w:t>
            </w:r>
          </w:p>
        </w:tc>
      </w:tr>
      <w:tr>
        <w:trPr>
          <w:cantSplit/>
        </w:trPr>
        <w:tc>
          <w:tcPr>
            <w:tcW w:w="2445" w:type="dxa"/>
            <w:shd w:val="clear" w:color="auto" w:fill="F4F7FC"/>
          </w:tcPr>
          <w:p>
            <w:pPr>
              <w:pStyle w:val="TableText"/>
            </w:pPr>
            <w:r>
              <w:rPr>
                <w:b/>
                <w:sz w:val="18"/>
                <w:szCs w:val="18"/>
              </w:rPr>
              <w:t xml:space="preserve">LDAPS</w:t>
            </w:r>
          </w:p>
        </w:tc>
        <w:tc>
          <w:tcPr>
            <w:tcW w:w="7192" w:type="dxa"/>
            <w:shd w:val="clear" w:color="auto" w:fill="F4F7FC"/>
          </w:tcPr>
          <w:p>
            <w:pPr>
              <w:pStyle w:val="TableText"/>
            </w:pPr>
            <w:r>
              <w:rPr>
                <w:sz w:val="18"/>
                <w:szCs w:val="18"/>
              </w:rPr>
              <w:t xml:space="preserve">LDAP chiffré en TLS (port 636), utilisé pour vérifier les identifiants Windows.</w:t>
            </w:r>
          </w:p>
        </w:tc>
      </w:tr>
      <w:tr>
        <w:trPr>
          <w:cantSplit/>
        </w:trPr>
        <w:tc>
          <w:tcPr>
            <w:tcW w:w="2445" w:type="dxa"/>
          </w:tcPr>
          <w:p>
            <w:pPr>
              <w:pStyle w:val="TableText"/>
            </w:pPr>
            <w:r>
              <w:rPr>
                <w:b/>
                <w:sz w:val="18"/>
                <w:szCs w:val="18"/>
              </w:rPr>
              <w:t xml:space="preserve">N1 / N2 / N3</w:t>
            </w:r>
          </w:p>
        </w:tc>
        <w:tc>
          <w:tcPr>
            <w:tcW w:w="7192" w:type="dxa"/>
          </w:tcPr>
          <w:p>
            <w:pPr>
              <w:pStyle w:val="TableText"/>
            </w:pPr>
            <w:r>
              <w:rPr>
                <w:sz w:val="18"/>
                <w:szCs w:val="18"/>
              </w:rPr>
              <w:t xml:space="preserve">Niveaux de support : pilotage, exploitation technique, expertise / éditeur.</w:t>
            </w:r>
          </w:p>
        </w:tc>
      </w:tr>
    </w:tbl>
    <w:p>
      <w:pPr>
        <w:spacing w:after="80"/>
      </w:pPr>
    </w:p>
    <w:p>
      <w:pPr>
        <w:pStyle w:val="Heading1"/>
      </w:pPr>
      <w:bookmarkStart w:id="6" w:name="_Toc00006"/>
      <w:r>
        <w:rPr/>
        <w:t xml:space="preserve">2. Présentation de l'application</w:t>
      </w:r>
      <w:bookmarkEnd w:id="6"/>
    </w:p>
    <w:p>
      <w:pPr>
        <w:pStyle w:val="Heading2"/>
      </w:pPr>
      <w:bookmarkStart w:id="7" w:name="_Toc00007"/>
      <w:r>
        <w:rPr/>
        <w:t xml:space="preserve">2.1 Finalité</w:t>
      </w:r>
      <w:bookmarkEnd w:id="7"/>
    </w:p>
    <w:p>
      <w:pPr/>
      <w:r>
        <w:rPr/>
        <w:t xml:space="preserve">Les licences d'ingénierie (CAO, simulation, calcul) représentent un poste de dépense important. FreeLM mesure leur utilisation réelle pour répondre à des questions concrètes : </w:t>
      </w:r>
      <w:r>
        <w:rPr>
          <w:b/>
        </w:rPr>
        <w:t xml:space="preserve">combien de jetons sont réellement nécessaires, qui les utilise, quand y a-t-il pénurie, quelles licences sont sous-utilisées</w:t>
      </w:r>
      <w:r>
        <w:rPr/>
        <w:t xml:space="preserve">, et combien pourrait-on économiser au prochain renouvellement.</w:t>
      </w:r>
    </w:p>
    <w:p>
      <w:pPr/>
      <w:r>
        <w:rPr/>
        <w:t xml:space="preserve">FreeLM est une alternative libre (licence MIT) à OpenLM pour le reporting d'usage. Il ne modifie jamais les serveurs de licences : il lit leur état et leurs journaux.</w:t>
      </w:r>
    </w:p>
    <w:p>
      <w:pPr>
        <w:pStyle w:val="Heading2"/>
      </w:pPr>
      <w:bookmarkStart w:id="8" w:name="_Toc00008"/>
      <w:r>
        <w:rPr/>
        <w:t xml:space="preserve">2.2 Bénéficiaires</w:t>
      </w:r>
      <w:bookmarkEnd w:id="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6425"/>
      </w:tblGrid>
      <w:tr>
        <w:trPr>
          <w:tblHeader/>
          <w:cantSplit/>
        </w:trPr>
        <w:tc>
          <w:tcPr>
            <w:tcW w:w="3212" w:type="dxa"/>
            <w:shd w:val="clear" w:color="auto" w:fill="2A78D6"/>
          </w:tcPr>
          <w:p>
            <w:pPr>
              <w:pStyle w:val="TableText"/>
            </w:pPr>
            <w:r>
              <w:rPr>
                <w:b/>
                <w:color w:val="FFFFFF"/>
                <w:sz w:val="18"/>
                <w:szCs w:val="18"/>
              </w:rPr>
              <w:t xml:space="preserve">Population</w:t>
            </w:r>
          </w:p>
        </w:tc>
        <w:tc>
          <w:tcPr>
            <w:tcW w:w="6425" w:type="dxa"/>
            <w:shd w:val="clear" w:color="auto" w:fill="2A78D6"/>
          </w:tcPr>
          <w:p>
            <w:pPr>
              <w:pStyle w:val="TableText"/>
            </w:pPr>
            <w:r>
              <w:rPr>
                <w:b/>
                <w:color w:val="FFFFFF"/>
                <w:sz w:val="18"/>
                <w:szCs w:val="18"/>
              </w:rPr>
              <w:t xml:space="preserve">Usage principal</w:t>
            </w:r>
          </w:p>
        </w:tc>
      </w:tr>
      <w:tr>
        <w:trPr>
          <w:cantSplit/>
        </w:trPr>
        <w:tc>
          <w:tcPr>
            <w:tcW w:w="3212" w:type="dxa"/>
          </w:tcPr>
          <w:p>
            <w:pPr>
              <w:pStyle w:val="TableText"/>
            </w:pPr>
            <w:r>
              <w:rPr>
                <w:sz w:val="18"/>
                <w:szCs w:val="18"/>
              </w:rPr>
              <w:t xml:space="preserve">Responsables CAO / simulation</w:t>
            </w:r>
          </w:p>
        </w:tc>
        <w:tc>
          <w:tcPr>
            <w:tcW w:w="6425" w:type="dxa"/>
          </w:tcPr>
          <w:p>
            <w:pPr>
              <w:pStyle w:val="TableText"/>
            </w:pPr>
            <w:r>
              <w:rPr>
                <w:sz w:val="18"/>
                <w:szCs w:val="18"/>
              </w:rPr>
              <w:t xml:space="preserve">Dimensionnement du parc, pénuries, profils d'usage</w:t>
            </w:r>
          </w:p>
        </w:tc>
      </w:tr>
      <w:tr>
        <w:trPr>
          <w:cantSplit/>
        </w:trPr>
        <w:tc>
          <w:tcPr>
            <w:tcW w:w="3212" w:type="dxa"/>
            <w:shd w:val="clear" w:color="auto" w:fill="F4F7FC"/>
          </w:tcPr>
          <w:p>
            <w:pPr>
              <w:pStyle w:val="TableText"/>
            </w:pPr>
            <w:r>
              <w:rPr>
                <w:sz w:val="18"/>
                <w:szCs w:val="18"/>
              </w:rPr>
              <w:t xml:space="preserve">Achats / contrôle de gestion</w:t>
            </w:r>
          </w:p>
        </w:tc>
        <w:tc>
          <w:tcPr>
            <w:tcW w:w="6425" w:type="dxa"/>
            <w:shd w:val="clear" w:color="auto" w:fill="F4F7FC"/>
          </w:tcPr>
          <w:p>
            <w:pPr>
              <w:pStyle w:val="TableText"/>
            </w:pPr>
            <w:r>
              <w:rPr>
                <w:sz w:val="18"/>
                <w:szCs w:val="18"/>
              </w:rPr>
              <w:t xml:space="preserve">Coûts, économies potentielles, refacturation par service</w:t>
            </w:r>
          </w:p>
        </w:tc>
      </w:tr>
      <w:tr>
        <w:trPr>
          <w:cantSplit/>
        </w:trPr>
        <w:tc>
          <w:tcPr>
            <w:tcW w:w="3212" w:type="dxa"/>
          </w:tcPr>
          <w:p>
            <w:pPr>
              <w:pStyle w:val="TableText"/>
            </w:pPr>
            <w:r>
              <w:rPr>
                <w:sz w:val="18"/>
                <w:szCs w:val="18"/>
              </w:rPr>
              <w:t xml:space="preserve">DSI / exploitation</w:t>
            </w:r>
          </w:p>
        </w:tc>
        <w:tc>
          <w:tcPr>
            <w:tcW w:w="6425" w:type="dxa"/>
          </w:tcPr>
          <w:p>
            <w:pPr>
              <w:pStyle w:val="TableText"/>
            </w:pPr>
            <w:r>
              <w:rPr>
                <w:sz w:val="18"/>
                <w:szCs w:val="18"/>
              </w:rPr>
              <w:t xml:space="preserve">Supervision des serveurs de licences, alertes d'expiration</w:t>
            </w:r>
          </w:p>
        </w:tc>
      </w:tr>
      <w:tr>
        <w:trPr>
          <w:cantSplit/>
        </w:trPr>
        <w:tc>
          <w:tcPr>
            <w:tcW w:w="3212" w:type="dxa"/>
            <w:shd w:val="clear" w:color="auto" w:fill="F4F7FC"/>
          </w:tcPr>
          <w:p>
            <w:pPr>
              <w:pStyle w:val="TableText"/>
            </w:pPr>
            <w:r>
              <w:rPr>
                <w:sz w:val="18"/>
                <w:szCs w:val="18"/>
              </w:rPr>
              <w:t xml:space="preserve">Direction</w:t>
            </w:r>
          </w:p>
        </w:tc>
        <w:tc>
          <w:tcPr>
            <w:tcW w:w="6425" w:type="dxa"/>
            <w:shd w:val="clear" w:color="auto" w:fill="F4F7FC"/>
          </w:tcPr>
          <w:p>
            <w:pPr>
              <w:pStyle w:val="TableText"/>
            </w:pPr>
            <w:r>
              <w:rPr>
                <w:sz w:val="18"/>
                <w:szCs w:val="18"/>
              </w:rPr>
              <w:t xml:space="preserve">Rapport mensuel par e-mail, indicateurs clés</w:t>
            </w:r>
          </w:p>
        </w:tc>
      </w:tr>
    </w:tbl>
    <w:p>
      <w:pPr>
        <w:spacing w:after="80"/>
      </w:pPr>
    </w:p>
    <w:p>
      <w:pPr>
        <w:pStyle w:val="Heading2"/>
      </w:pPr>
      <w:bookmarkStart w:id="9" w:name="_Toc00009"/>
      <w:r>
        <w:rPr/>
        <w:t xml:space="preserve">2.3 Fonctionnalités</w:t>
      </w:r>
      <w:bookmarkEnd w:id="9"/>
    </w:p>
    <w:p>
      <w:pPr>
        <w:pStyle w:val="Caption"/>
        <w:keepNext/>
      </w:pPr>
      <w:r>
        <w:rPr/>
        <w:t xml:space="preserve">Tableau 3 – Fonctionnalités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13"/>
        <w:gridCol w:w="7624"/>
      </w:tblGrid>
      <w:tr>
        <w:trPr>
          <w:tblHeader/>
          <w:cantSplit/>
        </w:trPr>
        <w:tc>
          <w:tcPr>
            <w:tcW w:w="2013" w:type="dxa"/>
            <w:shd w:val="clear" w:color="auto" w:fill="2A78D6"/>
          </w:tcPr>
          <w:p>
            <w:pPr>
              <w:pStyle w:val="TableText"/>
            </w:pPr>
            <w:r>
              <w:rPr>
                <w:b/>
                <w:color w:val="FFFFFF"/>
                <w:sz w:val="18"/>
                <w:szCs w:val="18"/>
              </w:rPr>
              <w:t xml:space="preserve">Domaine</w:t>
            </w:r>
          </w:p>
        </w:tc>
        <w:tc>
          <w:tcPr>
            <w:tcW w:w="7624" w:type="dxa"/>
            <w:shd w:val="clear" w:color="auto" w:fill="2A78D6"/>
          </w:tcPr>
          <w:p>
            <w:pPr>
              <w:pStyle w:val="TableText"/>
            </w:pPr>
            <w:r>
              <w:rPr>
                <w:b/>
                <w:color w:val="FFFFFF"/>
                <w:sz w:val="18"/>
                <w:szCs w:val="18"/>
              </w:rPr>
              <w:t xml:space="preserve">Fonctionnalités</w:t>
            </w:r>
          </w:p>
        </w:tc>
      </w:tr>
      <w:tr>
        <w:trPr>
          <w:cantSplit/>
        </w:trPr>
        <w:tc>
          <w:tcPr>
            <w:tcW w:w="2013" w:type="dxa"/>
          </w:tcPr>
          <w:p>
            <w:pPr>
              <w:pStyle w:val="TableText"/>
            </w:pPr>
            <w:r>
              <w:rPr>
                <w:b/>
                <w:sz w:val="18"/>
                <w:szCs w:val="18"/>
              </w:rPr>
              <w:t xml:space="preserve">Collecte</w:t>
            </w:r>
          </w:p>
        </w:tc>
        <w:tc>
          <w:tcPr>
            <w:tcW w:w="7624" w:type="dxa"/>
          </w:tcPr>
          <w:p>
            <w:pPr>
              <w:pStyle w:val="TableText"/>
            </w:pPr>
            <w:r>
              <w:rPr>
                <w:sz w:val="18"/>
                <w:szCs w:val="18"/>
              </w:rPr>
              <w:t xml:space="preserve">Sondage </w:t>
            </w:r>
            <w:r>
              <w:rPr>
                <w:rFonts w:ascii="Consolas" w:hAnsi="Consolas" w:cs="Consolas"/>
                <w:color w:val="1C5CAB"/>
                <w:sz w:val="18"/>
                <w:szCs w:val="18"/>
                <w:shd w:val="clear" w:color="auto" w:fill="EEF3FA"/>
              </w:rPr>
              <w:t xml:space="preserve">lmutil lmstat -a</w:t>
            </w:r>
            <w:r>
              <w:rPr>
                <w:sz w:val="18"/>
                <w:szCs w:val="18"/>
              </w:rPr>
              <w:t xml:space="preserve"> (jetons émis / utilisés, utilisateurs, dates d'expiration) et lecture incrémentale des logs debug FlexLM (refus, sessions à la seconde). Aucun agent sur les postes.</w:t>
            </w:r>
          </w:p>
        </w:tc>
      </w:tr>
      <w:tr>
        <w:trPr>
          <w:cantSplit/>
        </w:trPr>
        <w:tc>
          <w:tcPr>
            <w:tcW w:w="2013" w:type="dxa"/>
            <w:shd w:val="clear" w:color="auto" w:fill="F4F7FC"/>
          </w:tcPr>
          <w:p>
            <w:pPr>
              <w:pStyle w:val="TableText"/>
            </w:pPr>
            <w:r>
              <w:rPr>
                <w:b/>
                <w:sz w:val="18"/>
                <w:szCs w:val="18"/>
              </w:rPr>
              <w:t xml:space="preserve">Historisation</w:t>
            </w:r>
          </w:p>
        </w:tc>
        <w:tc>
          <w:tcPr>
            <w:tcW w:w="7624" w:type="dxa"/>
            <w:shd w:val="clear" w:color="auto" w:fill="F4F7FC"/>
          </w:tcPr>
          <w:p>
            <w:pPr>
              <w:pStyle w:val="TableText"/>
            </w:pPr>
            <w:r>
              <w:rPr>
                <w:sz w:val="18"/>
                <w:szCs w:val="18"/>
              </w:rPr>
              <w:t xml:space="preserve">SQL Server : sessions, refus, sondages, agrégats horaires conservés sans limite, journal des collectes.</w:t>
            </w:r>
          </w:p>
        </w:tc>
      </w:tr>
      <w:tr>
        <w:trPr>
          <w:cantSplit/>
        </w:trPr>
        <w:tc>
          <w:tcPr>
            <w:tcW w:w="2013" w:type="dxa"/>
          </w:tcPr>
          <w:p>
            <w:pPr>
              <w:pStyle w:val="TableText"/>
            </w:pPr>
            <w:r>
              <w:rPr>
                <w:b/>
                <w:sz w:val="18"/>
                <w:szCs w:val="18"/>
              </w:rPr>
              <w:t xml:space="preserve">Tableau de bord</w:t>
            </w:r>
          </w:p>
        </w:tc>
        <w:tc>
          <w:tcPr>
            <w:tcW w:w="7624" w:type="dxa"/>
          </w:tcPr>
          <w:p>
            <w:pPr>
              <w:pStyle w:val="TableText"/>
            </w:pPr>
            <w:r>
              <w:rPr>
                <w:sz w:val="18"/>
                <w:szCs w:val="18"/>
              </w:rPr>
              <w:t xml:space="preserve">Alertes (collecte en échec ou arrêtée, refus, expirations, saturation, sous-utilisation), 6 indicateurs comparés à la période précédente, tendance, état en direct, produits, utilisateurs, refus, profil horaire, serveurs et échéances.</w:t>
            </w:r>
          </w:p>
        </w:tc>
      </w:tr>
      <w:tr>
        <w:trPr>
          <w:cantSplit/>
        </w:trPr>
        <w:tc>
          <w:tcPr>
            <w:tcW w:w="2013" w:type="dxa"/>
            <w:shd w:val="clear" w:color="auto" w:fill="F4F7FC"/>
          </w:tcPr>
          <w:p>
            <w:pPr>
              <w:pStyle w:val="TableText"/>
            </w:pPr>
            <w:r>
              <w:rPr>
                <w:b/>
                <w:sz w:val="18"/>
                <w:szCs w:val="18"/>
              </w:rPr>
              <w:t xml:space="preserve">En direct</w:t>
            </w:r>
          </w:p>
        </w:tc>
        <w:tc>
          <w:tcPr>
            <w:tcW w:w="7624" w:type="dxa"/>
            <w:shd w:val="clear" w:color="auto" w:fill="F4F7FC"/>
          </w:tcPr>
          <w:p>
            <w:pPr>
              <w:pStyle w:val="TableText"/>
            </w:pPr>
            <w:r>
              <w:rPr>
                <w:sz w:val="18"/>
                <w:szCs w:val="18"/>
              </w:rPr>
              <w:t xml:space="preserve">Jetons utilisés / libres par produit, utilisateurs connectés, poste, durée ; actualisation chaque minute.</w:t>
            </w:r>
          </w:p>
        </w:tc>
      </w:tr>
      <w:tr>
        <w:trPr>
          <w:cantSplit/>
        </w:trPr>
        <w:tc>
          <w:tcPr>
            <w:tcW w:w="2013" w:type="dxa"/>
          </w:tcPr>
          <w:p>
            <w:pPr>
              <w:pStyle w:val="TableText"/>
            </w:pPr>
            <w:r>
              <w:rPr>
                <w:b/>
                <w:sz w:val="18"/>
                <w:szCs w:val="18"/>
              </w:rPr>
              <w:t xml:space="preserve">Rapports</w:t>
            </w:r>
          </w:p>
        </w:tc>
        <w:tc>
          <w:tcPr>
            <w:tcW w:w="7624" w:type="dxa"/>
          </w:tcPr>
          <w:p>
            <w:pPr>
              <w:pStyle w:val="TableText"/>
            </w:pPr>
            <w:r>
              <w:rPr>
                <w:sz w:val="18"/>
                <w:szCs w:val="18"/>
              </w:rPr>
              <w:t xml:space="preserve">Synthèse, usage dans le temps, répartition, croisement, profil horaire, contention, refus, efficacité, optimisation et coûts, sessions, collectes.</w:t>
            </w:r>
          </w:p>
        </w:tc>
      </w:tr>
      <w:tr>
        <w:trPr>
          <w:cantSplit/>
        </w:trPr>
        <w:tc>
          <w:tcPr>
            <w:tcW w:w="2013" w:type="dxa"/>
            <w:shd w:val="clear" w:color="auto" w:fill="F4F7FC"/>
          </w:tcPr>
          <w:p>
            <w:pPr>
              <w:pStyle w:val="TableText"/>
            </w:pPr>
            <w:r>
              <w:rPr>
                <w:b/>
                <w:sz w:val="18"/>
                <w:szCs w:val="18"/>
              </w:rPr>
              <w:t xml:space="preserve">Exports</w:t>
            </w:r>
          </w:p>
        </w:tc>
        <w:tc>
          <w:tcPr>
            <w:tcW w:w="7624" w:type="dxa"/>
            <w:shd w:val="clear" w:color="auto" w:fill="F4F7FC"/>
          </w:tcPr>
          <w:p>
            <w:pPr>
              <w:pStyle w:val="TableText"/>
            </w:pPr>
            <w:r>
              <w:rPr>
                <w:sz w:val="18"/>
                <w:szCs w:val="18"/>
              </w:rPr>
              <w:t xml:space="preserve">Excel (avec graphique), CSV (format Excel français), JSON ; classeur complet 8 onglets.</w:t>
            </w:r>
          </w:p>
        </w:tc>
      </w:tr>
      <w:tr>
        <w:trPr>
          <w:cantSplit/>
        </w:trPr>
        <w:tc>
          <w:tcPr>
            <w:tcW w:w="2013" w:type="dxa"/>
          </w:tcPr>
          <w:p>
            <w:pPr>
              <w:pStyle w:val="TableText"/>
            </w:pPr>
            <w:r>
              <w:rPr>
                <w:b/>
                <w:sz w:val="18"/>
                <w:szCs w:val="18"/>
              </w:rPr>
              <w:t xml:space="preserve">Rapport mensuel</w:t>
            </w:r>
          </w:p>
        </w:tc>
        <w:tc>
          <w:tcPr>
            <w:tcW w:w="7624" w:type="dxa"/>
          </w:tcPr>
          <w:p>
            <w:pPr>
              <w:pStyle w:val="TableText"/>
            </w:pPr>
            <w:r>
              <w:rPr>
                <w:sz w:val="18"/>
                <w:szCs w:val="18"/>
              </w:rPr>
              <w:t xml:space="preserve">Classeur Excel produit automatiquement et envoyé par e-mail aux abonnés.</w:t>
            </w:r>
          </w:p>
        </w:tc>
      </w:tr>
      <w:tr>
        <w:trPr>
          <w:cantSplit/>
        </w:trPr>
        <w:tc>
          <w:tcPr>
            <w:tcW w:w="2013" w:type="dxa"/>
            <w:shd w:val="clear" w:color="auto" w:fill="F4F7FC"/>
          </w:tcPr>
          <w:p>
            <w:pPr>
              <w:pStyle w:val="TableText"/>
            </w:pPr>
            <w:r>
              <w:rPr>
                <w:b/>
                <w:sz w:val="18"/>
                <w:szCs w:val="18"/>
              </w:rPr>
              <w:t xml:space="preserve">Sécurité</w:t>
            </w:r>
          </w:p>
        </w:tc>
        <w:tc>
          <w:tcPr>
            <w:tcW w:w="7624" w:type="dxa"/>
            <w:shd w:val="clear" w:color="auto" w:fill="F4F7FC"/>
          </w:tcPr>
          <w:p>
            <w:pPr>
              <w:pStyle w:val="TableText"/>
            </w:pPr>
            <w:r>
              <w:rPr>
                <w:sz w:val="18"/>
                <w:szCs w:val="18"/>
              </w:rPr>
              <w:t xml:space="preserve">Connexion Windows / AD (LDAPS) ou SSO derrière IIS, HTTPS, restriction par groupe, journal d'audit.</w:t>
            </w:r>
          </w:p>
        </w:tc>
      </w:tr>
    </w:tbl>
    <w:p>
      <w:pPr>
        <w:spacing w:after="80"/>
      </w:pPr>
    </w:p>
    <w:p>
      <w:pPr>
        <w:pStyle w:val="Figure"/>
        <w:keepNext/>
      </w:pPr>
      <w:r>
        <w:drawing>
          <wp:inline distT="0" distB="0" distL="0" distR="0">
            <wp:extent cx="5940000" cy="3712500"/>
            <wp:docPr id="2" name="Image 2" descr="Tableau de bord de FreeLM (page d'accueil)"/>
            <wp:cNvGraphicFramePr>
              <a:graphicFrameLocks noChangeAspect="1"/>
            </wp:cNvGraphicFramePr>
            <a:graphic>
              <a:graphicData uri="http://schemas.openxmlformats.org/drawingml/2006/picture">
                <pic:pic>
                  <pic:nvPicPr>
                    <pic:cNvPr id="2" name="dashboard_top.png"/>
                    <pic:cNvPicPr/>
                  </pic:nvPicPr>
                  <pic:blipFill>
                    <a:blip r:embed="rIdImg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10" w:name="_Fig00010"/>
      <w:r>
        <w:rPr/>
        <w:t xml:space="preserve">Figure </w:t>
      </w:r>
      <w:fldSimple w:instr=" SEQ Figure \* ARABIC ">
        <w:r>
          <w:t>1</w:t>
        </w:r>
      </w:fldSimple>
      <w:r>
        <w:rPr/>
        <w:t xml:space="preserve"> – Tableau de bord de FreeLM (page d'accueil)</w:t>
      </w:r>
      <w:bookmarkEnd w:id="10"/>
    </w:p>
    <w:p>
      <w:pPr>
        <w:pStyle w:val="Heading2"/>
      </w:pPr>
      <w:bookmarkStart w:id="11" w:name="_Toc00011"/>
      <w:r>
        <w:rPr/>
        <w:t xml:space="preserve">2.4 Principes de fonctionnement</w:t>
      </w:r>
      <w:bookmarkEnd w:id="11"/>
    </w:p>
    <w:p>
      <w:pPr>
        <w:pStyle w:val="ListParagraph"/>
        <w:numPr>
          <w:ilvl w:val="0"/>
          <w:numId w:val="3"/>
        </w:numPr>
      </w:pPr>
      <w:r>
        <w:rPr>
          <w:b/>
        </w:rPr>
        <w:t xml:space="preserve">Sans agent</w:t>
      </w:r>
      <w:r>
        <w:rPr/>
        <w:t xml:space="preserve"> : seuls le serveur FreeLM et les serveurs de licences sont concernés ; rien n'est installé sur les postes.</w:t>
      </w:r>
    </w:p>
    <w:p>
      <w:pPr>
        <w:pStyle w:val="ListParagraph"/>
        <w:numPr>
          <w:ilvl w:val="0"/>
          <w:numId w:val="3"/>
        </w:numPr>
      </w:pPr>
      <w:r>
        <w:rPr>
          <w:b/>
        </w:rPr>
        <w:t xml:space="preserve">Lecture seule</w:t>
      </w:r>
      <w:r>
        <w:rPr/>
        <w:t xml:space="preserve"> : FreeLM n'agit jamais sur les licences (pas de libération ni de réservation de jetons).</w:t>
      </w:r>
    </w:p>
    <w:p>
      <w:pPr>
        <w:pStyle w:val="ListParagraph"/>
        <w:numPr>
          <w:ilvl w:val="0"/>
          <w:numId w:val="3"/>
        </w:numPr>
      </w:pPr>
      <w:r>
        <w:rPr>
          <w:b/>
        </w:rPr>
        <w:t xml:space="preserve">Tâches planifiées</w:t>
      </w:r>
      <w:r>
        <w:rPr/>
        <w:t xml:space="preserve"> : la collecte est une commande lancée toutes les 5 minutes par le Planificateur de tâches Windows.</w:t>
      </w:r>
    </w:p>
    <w:p>
      <w:pPr>
        <w:pStyle w:val="ListParagraph"/>
        <w:numPr>
          <w:ilvl w:val="0"/>
          <w:numId w:val="3"/>
        </w:numPr>
      </w:pPr>
      <w:r>
        <w:rPr>
          <w:b/>
        </w:rPr>
        <w:t xml:space="preserve">Indépendance</w:t>
      </w:r>
      <w:r>
        <w:rPr/>
        <w:t xml:space="preserve"> : un serveur de licences injoignable n'empêche pas la collecte des autres ; chaque échec est tracé.</w:t>
      </w:r>
    </w:p>
    <w:p>
      <w:pPr>
        <w:pStyle w:val="ListParagraph"/>
        <w:numPr>
          <w:ilvl w:val="0"/>
          <w:numId w:val="3"/>
        </w:numPr>
      </w:pPr>
      <w:r>
        <w:rPr>
          <w:b/>
        </w:rPr>
        <w:t xml:space="preserve">Aucune dépendance Internet</w:t>
      </w:r>
      <w:r>
        <w:rPr/>
        <w:t xml:space="preserve"> : l'interface n'appelle aucun service externe (pas de CDN).</w:t>
      </w:r>
    </w:p>
    <w:p>
      <w:pPr>
        <w:pStyle w:val="Heading2"/>
      </w:pPr>
      <w:bookmarkStart w:id="12" w:name="_Toc00012"/>
      <w:r>
        <w:rPr/>
        <w:t xml:space="preserve">2.5 Criticité et niveau de service</w:t>
      </w:r>
      <w:bookmarkEnd w:id="12"/>
    </w:p>
    <w:p>
      <w:pPr/>
      <w:r>
        <w:rPr/>
        <w:t xml:space="preserve">FreeLM est un outil de </w:t>
      </w:r>
      <w:r>
        <w:rPr>
          <w:b/>
        </w:rPr>
        <w:t xml:space="preserve">pilotage et de reporting</w:t>
      </w:r>
      <w:r>
        <w:rPr/>
        <w:t xml:space="preserve">. Son indisponibilité n'a </w:t>
      </w:r>
      <w:r>
        <w:rPr>
          <w:b/>
        </w:rPr>
        <w:t xml:space="preserve">aucun impact sur l'utilisation des licences</w:t>
      </w:r>
      <w:r>
        <w:rPr/>
        <w:t xml:space="preserve"> par les utilisateurs : les serveurs FlexLM continuent de fonctionner normalement. Seule la continuité de l'historique est affectée (trou de collecte).</w:t>
      </w:r>
    </w:p>
    <w:p>
      <w:pPr>
        <w:pStyle w:val="Caption"/>
        <w:keepNext/>
      </w:pPr>
      <w:r>
        <w:rPr/>
        <w:t xml:space="preserve">Tableau 4 – Criticité (DICT) et niveau de service proposés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589"/>
        <w:gridCol w:w="2301"/>
        <w:gridCol w:w="4747"/>
      </w:tblGrid>
      <w:tr>
        <w:trPr>
          <w:tblHeader/>
          <w:cantSplit/>
        </w:trPr>
        <w:tc>
          <w:tcPr>
            <w:tcW w:w="2589" w:type="dxa"/>
            <w:shd w:val="clear" w:color="auto" w:fill="2A78D6"/>
          </w:tcPr>
          <w:p>
            <w:pPr>
              <w:pStyle w:val="TableText"/>
            </w:pPr>
            <w:r>
              <w:rPr>
                <w:b/>
                <w:color w:val="FFFFFF"/>
                <w:sz w:val="18"/>
                <w:szCs w:val="18"/>
              </w:rPr>
              <w:t xml:space="preserve">Critère</w:t>
            </w:r>
          </w:p>
        </w:tc>
        <w:tc>
          <w:tcPr>
            <w:tcW w:w="2301" w:type="dxa"/>
            <w:shd w:val="clear" w:color="auto" w:fill="2A78D6"/>
          </w:tcPr>
          <w:p>
            <w:pPr>
              <w:pStyle w:val="TableText"/>
            </w:pPr>
            <w:r>
              <w:rPr>
                <w:b/>
                <w:color w:val="FFFFFF"/>
                <w:sz w:val="18"/>
                <w:szCs w:val="18"/>
              </w:rPr>
              <w:t xml:space="preserve">Niveau proposé</w:t>
            </w:r>
          </w:p>
        </w:tc>
        <w:tc>
          <w:tcPr>
            <w:tcW w:w="4747" w:type="dxa"/>
            <w:shd w:val="clear" w:color="auto" w:fill="2A78D6"/>
          </w:tcPr>
          <w:p>
            <w:pPr>
              <w:pStyle w:val="TableText"/>
            </w:pPr>
            <w:r>
              <w:rPr>
                <w:b/>
                <w:color w:val="FFFFFF"/>
                <w:sz w:val="18"/>
                <w:szCs w:val="18"/>
              </w:rPr>
              <w:t xml:space="preserve">Justification</w:t>
            </w:r>
          </w:p>
        </w:tc>
      </w:tr>
      <w:tr>
        <w:trPr>
          <w:cantSplit/>
        </w:trPr>
        <w:tc>
          <w:tcPr>
            <w:tcW w:w="2589" w:type="dxa"/>
          </w:tcPr>
          <w:p>
            <w:pPr>
              <w:pStyle w:val="TableText"/>
            </w:pPr>
            <w:r>
              <w:rPr>
                <w:sz w:val="18"/>
                <w:szCs w:val="18"/>
              </w:rPr>
              <w:t xml:space="preserve">Disponibilité</w:t>
            </w:r>
          </w:p>
        </w:tc>
        <w:tc>
          <w:tcPr>
            <w:tcW w:w="2301" w:type="dxa"/>
          </w:tcPr>
          <w:p>
            <w:pPr>
              <w:pStyle w:val="TableText"/>
            </w:pPr>
            <w:r>
              <w:rPr>
                <w:sz w:val="18"/>
                <w:szCs w:val="18"/>
              </w:rPr>
              <w:t xml:space="preserve">Faible à moyen (2/4)</w:t>
            </w:r>
          </w:p>
        </w:tc>
        <w:tc>
          <w:tcPr>
            <w:tcW w:w="4747" w:type="dxa"/>
          </w:tcPr>
          <w:p>
            <w:pPr>
              <w:pStyle w:val="TableText"/>
            </w:pPr>
            <w:r>
              <w:rPr>
                <w:sz w:val="18"/>
                <w:szCs w:val="18"/>
              </w:rPr>
              <w:t xml:space="preserve">Aucun impact sur la production ; perte d'historique pendant l'arrêt</w:t>
            </w:r>
          </w:p>
        </w:tc>
      </w:tr>
      <w:tr>
        <w:trPr>
          <w:cantSplit/>
        </w:trPr>
        <w:tc>
          <w:tcPr>
            <w:tcW w:w="2589" w:type="dxa"/>
            <w:shd w:val="clear" w:color="auto" w:fill="F4F7FC"/>
          </w:tcPr>
          <w:p>
            <w:pPr>
              <w:pStyle w:val="TableText"/>
            </w:pPr>
            <w:r>
              <w:rPr>
                <w:sz w:val="18"/>
                <w:szCs w:val="18"/>
              </w:rPr>
              <w:t xml:space="preserve">Intégrité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Données servant à des décisions d'achat</w:t>
            </w:r>
          </w:p>
        </w:tc>
      </w:tr>
      <w:tr>
        <w:trPr>
          <w:cantSplit/>
        </w:trPr>
        <w:tc>
          <w:tcPr>
            <w:tcW w:w="2589" w:type="dxa"/>
          </w:tcPr>
          <w:p>
            <w:pPr>
              <w:pStyle w:val="TableText"/>
            </w:pPr>
            <w:r>
              <w:rPr>
                <w:sz w:val="18"/>
                <w:szCs w:val="18"/>
              </w:rPr>
              <w:t xml:space="preserve">Confidentialité</w:t>
            </w:r>
          </w:p>
        </w:tc>
        <w:tc>
          <w:tcPr>
            <w:tcW w:w="2301" w:type="dxa"/>
          </w:tcPr>
          <w:p>
            <w:pPr>
              <w:pStyle w:val="TableText"/>
            </w:pPr>
            <w:r>
              <w:rPr>
                <w:sz w:val="18"/>
                <w:szCs w:val="18"/>
              </w:rPr>
              <w:t xml:space="preserve">Moyen (2/4)</w:t>
            </w:r>
          </w:p>
        </w:tc>
        <w:tc>
          <w:tcPr>
            <w:tcW w:w="4747" w:type="dxa"/>
          </w:tcPr>
          <w:p>
            <w:pPr>
              <w:pStyle w:val="TableText"/>
            </w:pPr>
            <w:r>
              <w:rPr>
                <w:sz w:val="18"/>
                <w:szCs w:val="18"/>
              </w:rPr>
              <w:t xml:space="preserve">Données nominatives d'usage (identifiants, postes, horaires)</w:t>
            </w:r>
          </w:p>
        </w:tc>
      </w:tr>
      <w:tr>
        <w:trPr>
          <w:cantSplit/>
        </w:trPr>
        <w:tc>
          <w:tcPr>
            <w:tcW w:w="2589" w:type="dxa"/>
            <w:shd w:val="clear" w:color="auto" w:fill="F4F7FC"/>
          </w:tcPr>
          <w:p>
            <w:pPr>
              <w:pStyle w:val="TableText"/>
            </w:pPr>
            <w:r>
              <w:rPr>
                <w:sz w:val="18"/>
                <w:szCs w:val="18"/>
              </w:rPr>
              <w:t xml:space="preserve">Traçabilité</w:t>
            </w:r>
          </w:p>
        </w:tc>
        <w:tc>
          <w:tcPr>
            <w:tcW w:w="2301" w:type="dxa"/>
            <w:shd w:val="clear" w:color="auto" w:fill="F4F7FC"/>
          </w:tcPr>
          <w:p>
            <w:pPr>
              <w:pStyle w:val="TableText"/>
            </w:pPr>
            <w:r>
              <w:rPr>
                <w:sz w:val="18"/>
                <w:szCs w:val="18"/>
              </w:rPr>
              <w:t xml:space="preserve">Moyen (2/4)</w:t>
            </w:r>
          </w:p>
        </w:tc>
        <w:tc>
          <w:tcPr>
            <w:tcW w:w="4747" w:type="dxa"/>
            <w:shd w:val="clear" w:color="auto" w:fill="F4F7FC"/>
          </w:tcPr>
          <w:p>
            <w:pPr>
              <w:pStyle w:val="TableText"/>
            </w:pPr>
            <w:r>
              <w:rPr>
                <w:sz w:val="18"/>
                <w:szCs w:val="18"/>
              </w:rPr>
              <w:t xml:space="preserve">Journal d'audit des connexions et des exports</w:t>
            </w:r>
          </w:p>
        </w:tc>
      </w:tr>
      <w:tr>
        <w:trPr>
          <w:cantSplit/>
        </w:trPr>
        <w:tc>
          <w:tcPr>
            <w:tcW w:w="2589" w:type="dxa"/>
          </w:tcPr>
          <w:p>
            <w:pPr>
              <w:pStyle w:val="TableText"/>
            </w:pPr>
            <w:r>
              <w:rPr>
                <w:sz w:val="18"/>
                <w:szCs w:val="18"/>
              </w:rPr>
              <w:t xml:space="preserve">Plage de service</w:t>
            </w:r>
          </w:p>
        </w:tc>
        <w:tc>
          <w:tcPr>
            <w:tcW w:w="2301" w:type="dxa"/>
          </w:tcPr>
          <w:p>
            <w:pPr>
              <w:pStyle w:val="TableText"/>
            </w:pPr>
            <w:r>
              <w:rPr>
                <w:sz w:val="18"/>
                <w:szCs w:val="18"/>
              </w:rPr>
              <w:t xml:space="preserve">Heures ouvrées</w:t>
            </w:r>
          </w:p>
        </w:tc>
        <w:tc>
          <w:tcPr>
            <w:tcW w:w="4747" w:type="dxa"/>
          </w:tcPr>
          <w:p>
            <w:pPr>
              <w:pStyle w:val="TableText"/>
            </w:pPr>
            <w:r>
              <w:rPr>
                <w:sz w:val="18"/>
                <w:szCs w:val="18"/>
              </w:rPr>
              <w:t xml:space="preserve">Collecte 24 h / 24 ; support en heures ouvrées</w:t>
            </w:r>
          </w:p>
        </w:tc>
      </w:tr>
      <w:tr>
        <w:trPr>
          <w:cantSplit/>
        </w:trPr>
        <w:tc>
          <w:tcPr>
            <w:tcW w:w="2589" w:type="dxa"/>
            <w:shd w:val="clear" w:color="auto" w:fill="F4F7FC"/>
          </w:tcPr>
          <w:p>
            <w:pPr>
              <w:pStyle w:val="TableText"/>
            </w:pPr>
            <w:r>
              <w:rPr>
                <w:sz w:val="18"/>
                <w:szCs w:val="18"/>
              </w:rPr>
              <w:t xml:space="preserve">Délai de reprise (RTO)</w:t>
            </w:r>
          </w:p>
        </w:tc>
        <w:tc>
          <w:tcPr>
            <w:tcW w:w="2301" w:type="dxa"/>
            <w:shd w:val="clear" w:color="auto" w:fill="F4F7FC"/>
          </w:tcPr>
          <w:p>
            <w:pPr>
              <w:pStyle w:val="TableText"/>
            </w:pPr>
            <w:r>
              <w:rPr>
                <w:sz w:val="18"/>
                <w:szCs w:val="18"/>
              </w:rPr>
              <w:t xml:space="preserve">1 jour ouvré</w:t>
            </w:r>
          </w:p>
        </w:tc>
        <w:tc>
          <w:tcPr>
            <w:tcW w:w="4747" w:type="dxa"/>
            <w:shd w:val="clear" w:color="auto" w:fill="F4F7FC"/>
          </w:tcPr>
          <w:p>
            <w:pPr>
              <w:pStyle w:val="TableText"/>
            </w:pPr>
            <w:r>
              <w:rPr>
                <w:sz w:val="18"/>
                <w:szCs w:val="18"/>
              </w:rPr>
              <w:t xml:space="preserve">Reconstruction possible à partir de la sauvegarde SQL et de la configuration</w:t>
            </w:r>
          </w:p>
        </w:tc>
      </w:tr>
      <w:tr>
        <w:trPr>
          <w:cantSplit/>
        </w:trPr>
        <w:tc>
          <w:tcPr>
            <w:tcW w:w="2589" w:type="dxa"/>
          </w:tcPr>
          <w:p>
            <w:pPr>
              <w:pStyle w:val="TableText"/>
            </w:pPr>
            <w:r>
              <w:rPr>
                <w:sz w:val="18"/>
                <w:szCs w:val="18"/>
              </w:rPr>
              <w:t xml:space="preserve">Perte de données admissible (RPO)</w:t>
            </w:r>
          </w:p>
        </w:tc>
        <w:tc>
          <w:tcPr>
            <w:tcW w:w="2301" w:type="dxa"/>
          </w:tcPr>
          <w:p>
            <w:pPr>
              <w:pStyle w:val="TableText"/>
            </w:pPr>
            <w:r>
              <w:rPr>
                <w:sz w:val="18"/>
                <w:szCs w:val="18"/>
              </w:rPr>
              <w:t xml:space="preserve">24 heures</w:t>
            </w:r>
          </w:p>
        </w:tc>
        <w:tc>
          <w:tcPr>
            <w:tcW w:w="4747" w:type="dxa"/>
          </w:tcPr>
          <w:p>
            <w:pPr>
              <w:pStyle w:val="TableText"/>
            </w:pPr>
            <w:r>
              <w:rPr>
                <w:sz w:val="18"/>
                <w:szCs w:val="18"/>
              </w:rPr>
              <w:t xml:space="preserve">Sauvegarde SQL quotidienne</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Ces niveaux sont une proposition à valider avec le responsable applicatif lors de la mise en production.</w:t>
            </w:r>
          </w:p>
        </w:tc>
      </w:tr>
    </w:tbl>
    <w:p>
      <w:pPr>
        <w:spacing w:after="60"/>
      </w:pPr>
    </w:p>
    <w:p>
      <w:pPr>
        <w:pStyle w:val="Heading1"/>
      </w:pPr>
      <w:bookmarkStart w:id="13" w:name="_Toc00013"/>
      <w:r>
        <w:rPr/>
        <w:t xml:space="preserve">3. Architecture technique</w:t>
      </w:r>
      <w:bookmarkEnd w:id="13"/>
    </w:p>
    <w:p>
      <w:pPr>
        <w:pStyle w:val="Heading2"/>
      </w:pPr>
      <w:bookmarkStart w:id="14" w:name="_Toc00014"/>
      <w:r>
        <w:rPr/>
        <w:t xml:space="preserve">3.1 Vue d'ensemble</w:t>
      </w:r>
      <w:bookmarkEnd w:id="14"/>
    </w:p>
    <w:p>
      <w:pPr/>
      <w:r>
        <w:rPr/>
        <w:t xml:space="preserve">FreeLM est installé sur un serveur Windows. Il interroge les serveurs de licences, écrit dans une base SQL Server et restitue les données par une interface web et des rapports Excel. Il s'appuie sur l'Active Directory pour l'authentification et sur un relais SMTP pour l'envoi des rapports.</w:t>
      </w:r>
    </w:p>
    <w:p>
      <w:pPr>
        <w:pStyle w:val="Figure"/>
        <w:keepNext/>
      </w:pPr>
      <w:r>
        <w:drawing>
          <wp:inline distT="0" distB="0" distL="0" distR="0">
            <wp:extent cx="6120000" cy="3278571"/>
            <wp:docPr id="3" name="Image 3" descr="Architecture technique et flux"/>
            <wp:cNvGraphicFramePr>
              <a:graphicFrameLocks noChangeAspect="1"/>
            </wp:cNvGraphicFramePr>
            <a:graphic>
              <a:graphicData uri="http://schemas.openxmlformats.org/drawingml/2006/picture">
                <pic:pic>
                  <pic:nvPicPr>
                    <pic:cNvPr id="3" name="diag_architecture.png"/>
                    <pic:cNvPicPr/>
                  </pic:nvPicPr>
                  <pic:blipFill>
                    <a:blip r:embed="rIdImg3"/>
                    <a:stretch>
                      <a:fillRect/>
                    </a:stretch>
                  </pic:blipFill>
                  <pic:spPr>
                    <a:xfrm>
                      <a:off x="0" y="0"/>
                      <a:ext cx="6120000" cy="3278571"/>
                    </a:xfrm>
                    <a:prstGeom prst="rect">
                      <a:avLst/>
                    </a:prstGeom>
                    <a:ln w="9525">
                      <a:solidFill>
                        <a:srgbClr val="D9D8D2"/>
                      </a:solidFill>
                    </a:ln>
                  </pic:spPr>
                </pic:pic>
              </a:graphicData>
            </a:graphic>
          </wp:inline>
        </w:drawing>
      </w:r>
    </w:p>
    <w:p>
      <w:pPr>
        <w:pStyle w:val="Caption"/>
      </w:pPr>
      <w:bookmarkStart w:id="15" w:name="_Fig00015"/>
      <w:r>
        <w:rPr/>
        <w:t xml:space="preserve">Figure </w:t>
      </w:r>
      <w:fldSimple w:instr=" SEQ Figure \* ARABIC ">
        <w:r>
          <w:t>2</w:t>
        </w:r>
      </w:fldSimple>
      <w:r>
        <w:rPr/>
        <w:t xml:space="preserve"> – Architecture technique et flux</w:t>
      </w:r>
      <w:bookmarkEnd w:id="15"/>
    </w:p>
    <w:p>
      <w:pPr>
        <w:pStyle w:val="Heading2"/>
      </w:pPr>
      <w:bookmarkStart w:id="16" w:name="_Toc00016"/>
      <w:r>
        <w:rPr/>
        <w:t xml:space="preserve">3.2 Composants logiciels</w:t>
      </w:r>
      <w:bookmarkEnd w:id="16"/>
    </w:p>
    <w:p>
      <w:pPr>
        <w:pStyle w:val="Caption"/>
        <w:keepNext/>
      </w:pPr>
      <w:r>
        <w:rPr/>
        <w:t xml:space="preserve">Tableau 5 – Composants logiciels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3029"/>
        <w:gridCol w:w="4130"/>
      </w:tblGrid>
      <w:tr>
        <w:trPr>
          <w:tblHeader/>
          <w:cantSplit/>
        </w:trPr>
        <w:tc>
          <w:tcPr>
            <w:tcW w:w="2478" w:type="dxa"/>
            <w:shd w:val="clear" w:color="auto" w:fill="2A78D6"/>
          </w:tcPr>
          <w:p>
            <w:pPr>
              <w:pStyle w:val="TableText"/>
            </w:pPr>
            <w:r>
              <w:rPr>
                <w:b/>
                <w:color w:val="FFFFFF"/>
                <w:sz w:val="18"/>
                <w:szCs w:val="18"/>
              </w:rPr>
              <w:t xml:space="preserve">Composant</w:t>
            </w:r>
          </w:p>
        </w:tc>
        <w:tc>
          <w:tcPr>
            <w:tcW w:w="3029" w:type="dxa"/>
            <w:shd w:val="clear" w:color="auto" w:fill="2A78D6"/>
          </w:tcPr>
          <w:p>
            <w:pPr>
              <w:pStyle w:val="TableText"/>
            </w:pPr>
            <w:r>
              <w:rPr>
                <w:b/>
                <w:color w:val="FFFFFF"/>
                <w:sz w:val="18"/>
                <w:szCs w:val="18"/>
              </w:rPr>
              <w:t xml:space="preserve">Version / technologie</w:t>
            </w:r>
          </w:p>
        </w:tc>
        <w:tc>
          <w:tcPr>
            <w:tcW w:w="4130" w:type="dxa"/>
            <w:shd w:val="clear" w:color="auto" w:fill="2A78D6"/>
          </w:tcPr>
          <w:p>
            <w:pPr>
              <w:pStyle w:val="TableText"/>
            </w:pPr>
            <w:r>
              <w:rPr>
                <w:b/>
                <w:color w:val="FFFFFF"/>
                <w:sz w:val="18"/>
                <w:szCs w:val="18"/>
              </w:rPr>
              <w:t xml:space="preserve">Rôle</w:t>
            </w:r>
          </w:p>
        </w:tc>
      </w:tr>
      <w:tr>
        <w:trPr>
          <w:cantSplit/>
        </w:trPr>
        <w:tc>
          <w:tcPr>
            <w:tcW w:w="2478" w:type="dxa"/>
          </w:tcPr>
          <w:p>
            <w:pPr>
              <w:pStyle w:val="TableText"/>
            </w:pPr>
            <w:r>
              <w:rPr>
                <w:sz w:val="18"/>
                <w:szCs w:val="18"/>
              </w:rPr>
              <w:t xml:space="preserve">FreeLM</w:t>
            </w:r>
          </w:p>
        </w:tc>
        <w:tc>
          <w:tcPr>
            <w:tcW w:w="3029" w:type="dxa"/>
          </w:tcPr>
          <w:p>
            <w:pPr>
              <w:pStyle w:val="TableText"/>
            </w:pPr>
            <w:r>
              <w:rPr>
                <w:sz w:val="18"/>
                <w:szCs w:val="18"/>
              </w:rPr>
              <w:t xml:space="preserve">0.1.0</w:t>
            </w:r>
          </w:p>
        </w:tc>
        <w:tc>
          <w:tcPr>
            <w:tcW w:w="4130" w:type="dxa"/>
          </w:tcPr>
          <w:p>
            <w:pPr>
              <w:pStyle w:val="TableText"/>
            </w:pPr>
            <w:r>
              <w:rPr>
                <w:sz w:val="18"/>
                <w:szCs w:val="18"/>
              </w:rPr>
              <w:t xml:space="preserve">Application : collecte, rapports, interface web (Python)</w:t>
            </w:r>
          </w:p>
        </w:tc>
      </w:tr>
      <w:tr>
        <w:trPr>
          <w:cantSplit/>
        </w:trPr>
        <w:tc>
          <w:tcPr>
            <w:tcW w:w="2478" w:type="dxa"/>
            <w:shd w:val="clear" w:color="auto" w:fill="F4F7FC"/>
          </w:tcPr>
          <w:p>
            <w:pPr>
              <w:pStyle w:val="TableText"/>
            </w:pPr>
            <w:r>
              <w:rPr>
                <w:sz w:val="18"/>
                <w:szCs w:val="18"/>
              </w:rPr>
              <w:t xml:space="preserve">FreeLM.exe</w:t>
            </w:r>
          </w:p>
        </w:tc>
        <w:tc>
          <w:tcPr>
            <w:tcW w:w="3029" w:type="dxa"/>
            <w:shd w:val="clear" w:color="auto" w:fill="F4F7FC"/>
          </w:tcPr>
          <w:p>
            <w:pPr>
              <w:pStyle w:val="TableText"/>
            </w:pPr>
            <w:r>
              <w:rPr>
                <w:sz w:val="18"/>
                <w:szCs w:val="18"/>
              </w:rPr>
              <w:t xml:space="preserve">Exécutable autonome (PyInstaller)</w:t>
            </w:r>
          </w:p>
        </w:tc>
        <w:tc>
          <w:tcPr>
            <w:tcW w:w="4130" w:type="dxa"/>
            <w:shd w:val="clear" w:color="auto" w:fill="F4F7FC"/>
          </w:tcPr>
          <w:p>
            <w:pPr>
              <w:pStyle w:val="TableText"/>
            </w:pPr>
            <w:r>
              <w:rPr>
                <w:sz w:val="18"/>
                <w:szCs w:val="18"/>
              </w:rPr>
              <w:t xml:space="preserve">Même fonctionnement sans installation de Python</w:t>
            </w:r>
          </w:p>
        </w:tc>
      </w:tr>
      <w:tr>
        <w:trPr>
          <w:cantSplit/>
        </w:trPr>
        <w:tc>
          <w:tcPr>
            <w:tcW w:w="2478" w:type="dxa"/>
          </w:tcPr>
          <w:p>
            <w:pPr>
              <w:pStyle w:val="TableText"/>
            </w:pPr>
            <w:r>
              <w:rPr>
                <w:sz w:val="18"/>
                <w:szCs w:val="18"/>
              </w:rPr>
              <w:t xml:space="preserve">Python (option)</w:t>
            </w:r>
          </w:p>
        </w:tc>
        <w:tc>
          <w:tcPr>
            <w:tcW w:w="3029" w:type="dxa"/>
          </w:tcPr>
          <w:p>
            <w:pPr>
              <w:pStyle w:val="TableText"/>
            </w:pPr>
            <w:r>
              <w:rPr>
                <w:sz w:val="18"/>
                <w:szCs w:val="18"/>
              </w:rPr>
              <w:t xml:space="preserve">3.10 ou supérieur, 64 bits</w:t>
            </w:r>
          </w:p>
        </w:tc>
        <w:tc>
          <w:tcPr>
            <w:tcW w:w="4130" w:type="dxa"/>
          </w:tcPr>
          <w:p>
            <w:pPr>
              <w:pStyle w:val="TableText"/>
            </w:pPr>
            <w:r>
              <w:rPr>
                <w:sz w:val="18"/>
                <w:szCs w:val="18"/>
              </w:rPr>
              <w:t xml:space="preserve">Si l'exécutable n'est pas utilisé</w:t>
            </w:r>
          </w:p>
        </w:tc>
      </w:tr>
      <w:tr>
        <w:trPr>
          <w:cantSplit/>
        </w:trPr>
        <w:tc>
          <w:tcPr>
            <w:tcW w:w="2478" w:type="dxa"/>
            <w:shd w:val="clear" w:color="auto" w:fill="F4F7FC"/>
          </w:tcPr>
          <w:p>
            <w:pPr>
              <w:pStyle w:val="TableText"/>
            </w:pPr>
            <w:r>
              <w:rPr>
                <w:sz w:val="18"/>
                <w:szCs w:val="18"/>
              </w:rPr>
              <w:t xml:space="preserve">Bibliothèques Python</w:t>
            </w:r>
          </w:p>
        </w:tc>
        <w:tc>
          <w:tcPr>
            <w:tcW w:w="3029" w:type="dxa"/>
            <w:shd w:val="clear" w:color="auto" w:fill="F4F7FC"/>
          </w:tcPr>
          <w:p>
            <w:pPr>
              <w:pStyle w:val="TableText"/>
            </w:pPr>
            <w:r>
              <w:rPr>
                <w:sz w:val="18"/>
                <w:szCs w:val="18"/>
              </w:rPr>
              <w:t xml:space="preserve">pyodbc, PyYAML, openpyxl, ldap3</w:t>
            </w:r>
          </w:p>
        </w:tc>
        <w:tc>
          <w:tcPr>
            <w:tcW w:w="4130" w:type="dxa"/>
            <w:shd w:val="clear" w:color="auto" w:fill="F4F7FC"/>
          </w:tcPr>
          <w:p>
            <w:pPr>
              <w:pStyle w:val="TableText"/>
            </w:pPr>
            <w:r>
              <w:rPr>
                <w:sz w:val="18"/>
                <w:szCs w:val="18"/>
              </w:rPr>
              <w:t xml:space="preserve">Base de données, configuration, Excel, annuaire</w:t>
            </w:r>
          </w:p>
        </w:tc>
      </w:tr>
      <w:tr>
        <w:trPr>
          <w:cantSplit/>
        </w:trPr>
        <w:tc>
          <w:tcPr>
            <w:tcW w:w="2478" w:type="dxa"/>
          </w:tcPr>
          <w:p>
            <w:pPr>
              <w:pStyle w:val="TableText"/>
            </w:pPr>
            <w:r>
              <w:rPr>
                <w:sz w:val="18"/>
                <w:szCs w:val="18"/>
              </w:rPr>
              <w:t xml:space="preserve">lmutil.exe</w:t>
            </w:r>
          </w:p>
        </w:tc>
        <w:tc>
          <w:tcPr>
            <w:tcW w:w="3029" w:type="dxa"/>
          </w:tcPr>
          <w:p>
            <w:pPr>
              <w:pStyle w:val="TableText"/>
            </w:pPr>
            <w:r>
              <w:rPr>
                <w:sz w:val="18"/>
                <w:szCs w:val="18"/>
              </w:rPr>
              <w:t xml:space="preserve">Fourni avec FlexLM (11.x)</w:t>
            </w:r>
          </w:p>
        </w:tc>
        <w:tc>
          <w:tcPr>
            <w:tcW w:w="4130" w:type="dxa"/>
          </w:tcPr>
          <w:p>
            <w:pPr>
              <w:pStyle w:val="TableText"/>
            </w:pPr>
            <w:r>
              <w:rPr>
                <w:sz w:val="18"/>
                <w:szCs w:val="18"/>
              </w:rPr>
              <w:t xml:space="preserve">Interrogation des serveurs de licences</w:t>
            </w:r>
          </w:p>
        </w:tc>
      </w:tr>
      <w:tr>
        <w:trPr>
          <w:cantSplit/>
        </w:trPr>
        <w:tc>
          <w:tcPr>
            <w:tcW w:w="2478" w:type="dxa"/>
            <w:shd w:val="clear" w:color="auto" w:fill="F4F7FC"/>
          </w:tcPr>
          <w:p>
            <w:pPr>
              <w:pStyle w:val="TableText"/>
            </w:pPr>
            <w:r>
              <w:rPr>
                <w:sz w:val="18"/>
                <w:szCs w:val="18"/>
              </w:rPr>
              <w:t xml:space="preserve">ODBC Driver for SQL Server</w:t>
            </w:r>
          </w:p>
        </w:tc>
        <w:tc>
          <w:tcPr>
            <w:tcW w:w="3029" w:type="dxa"/>
            <w:shd w:val="clear" w:color="auto" w:fill="F4F7FC"/>
          </w:tcPr>
          <w:p>
            <w:pPr>
              <w:pStyle w:val="TableText"/>
            </w:pPr>
            <w:r>
              <w:rPr>
                <w:sz w:val="18"/>
                <w:szCs w:val="18"/>
              </w:rPr>
              <w:t xml:space="preserve">18</w:t>
            </w:r>
          </w:p>
        </w:tc>
        <w:tc>
          <w:tcPr>
            <w:tcW w:w="4130" w:type="dxa"/>
            <w:shd w:val="clear" w:color="auto" w:fill="F4F7FC"/>
          </w:tcPr>
          <w:p>
            <w:pPr>
              <w:pStyle w:val="TableText"/>
            </w:pPr>
            <w:r>
              <w:rPr>
                <w:sz w:val="18"/>
                <w:szCs w:val="18"/>
              </w:rPr>
              <w:t xml:space="preserve">Connexion à la base</w:t>
            </w:r>
          </w:p>
        </w:tc>
      </w:tr>
      <w:tr>
        <w:trPr>
          <w:cantSplit/>
        </w:trPr>
        <w:tc>
          <w:tcPr>
            <w:tcW w:w="2478" w:type="dxa"/>
          </w:tcPr>
          <w:p>
            <w:pPr>
              <w:pStyle w:val="TableText"/>
            </w:pPr>
            <w:r>
              <w:rPr>
                <w:sz w:val="18"/>
                <w:szCs w:val="18"/>
              </w:rPr>
              <w:t xml:space="preserve">SQL Server</w:t>
            </w:r>
          </w:p>
        </w:tc>
        <w:tc>
          <w:tcPr>
            <w:tcW w:w="3029" w:type="dxa"/>
          </w:tcPr>
          <w:p>
            <w:pPr>
              <w:pStyle w:val="TableText"/>
            </w:pPr>
            <w:r>
              <w:rPr>
                <w:sz w:val="18"/>
                <w:szCs w:val="18"/>
              </w:rPr>
              <w:t xml:space="preserve">2016 ou supérieur (validé 2022)</w:t>
            </w:r>
          </w:p>
        </w:tc>
        <w:tc>
          <w:tcPr>
            <w:tcW w:w="4130" w:type="dxa"/>
          </w:tcPr>
          <w:p>
            <w:pPr>
              <w:pStyle w:val="TableText"/>
            </w:pPr>
            <w:r>
              <w:rPr>
                <w:sz w:val="18"/>
                <w:szCs w:val="18"/>
              </w:rPr>
              <w:t xml:space="preserve">Stockage de l'historique</w:t>
            </w:r>
          </w:p>
        </w:tc>
      </w:tr>
      <w:tr>
        <w:trPr>
          <w:cantSplit/>
        </w:trPr>
        <w:tc>
          <w:tcPr>
            <w:tcW w:w="2478" w:type="dxa"/>
            <w:shd w:val="clear" w:color="auto" w:fill="F4F7FC"/>
          </w:tcPr>
          <w:p>
            <w:pPr>
              <w:pStyle w:val="TableText"/>
            </w:pPr>
            <w:r>
              <w:rPr>
                <w:sz w:val="18"/>
                <w:szCs w:val="18"/>
              </w:rPr>
              <w:t xml:space="preserve">Planificateur de tâches</w:t>
            </w:r>
          </w:p>
        </w:tc>
        <w:tc>
          <w:tcPr>
            <w:tcW w:w="3029" w:type="dxa"/>
            <w:shd w:val="clear" w:color="auto" w:fill="F4F7FC"/>
          </w:tcPr>
          <w:p>
            <w:pPr>
              <w:pStyle w:val="TableText"/>
            </w:pPr>
            <w:r>
              <w:rPr>
                <w:sz w:val="18"/>
                <w:szCs w:val="18"/>
              </w:rPr>
              <w:t xml:space="preserve">Windows Server 2016 ou supérieur</w:t>
            </w:r>
          </w:p>
        </w:tc>
        <w:tc>
          <w:tcPr>
            <w:tcW w:w="4130" w:type="dxa"/>
            <w:shd w:val="clear" w:color="auto" w:fill="F4F7FC"/>
          </w:tcPr>
          <w:p>
            <w:pPr>
              <w:pStyle w:val="TableText"/>
            </w:pPr>
            <w:r>
              <w:rPr>
                <w:sz w:val="18"/>
                <w:szCs w:val="18"/>
              </w:rPr>
              <w:t xml:space="preserve">Ordonnancement</w:t>
            </w:r>
          </w:p>
        </w:tc>
      </w:tr>
      <w:tr>
        <w:trPr>
          <w:cantSplit/>
        </w:trPr>
        <w:tc>
          <w:tcPr>
            <w:tcW w:w="2478" w:type="dxa"/>
          </w:tcPr>
          <w:p>
            <w:pPr>
              <w:pStyle w:val="TableText"/>
            </w:pPr>
            <w:r>
              <w:rPr>
                <w:sz w:val="18"/>
                <w:szCs w:val="18"/>
              </w:rPr>
              <w:t xml:space="preserve">Navigateur</w:t>
            </w:r>
          </w:p>
        </w:tc>
        <w:tc>
          <w:tcPr>
            <w:tcW w:w="3029" w:type="dxa"/>
          </w:tcPr>
          <w:p>
            <w:pPr>
              <w:pStyle w:val="TableText"/>
            </w:pPr>
            <w:r>
              <w:rPr>
                <w:sz w:val="18"/>
                <w:szCs w:val="18"/>
              </w:rPr>
              <w:t xml:space="preserve">Edge, Chrome, Firefox récents</w:t>
            </w:r>
          </w:p>
        </w:tc>
        <w:tc>
          <w:tcPr>
            <w:tcW w:w="4130" w:type="dxa"/>
          </w:tcPr>
          <w:p>
            <w:pPr>
              <w:pStyle w:val="TableText"/>
            </w:pPr>
            <w:r>
              <w:rPr>
                <w:sz w:val="18"/>
                <w:szCs w:val="18"/>
              </w:rPr>
              <w:t xml:space="preserve">Interface utilisateur</w:t>
            </w:r>
          </w:p>
        </w:tc>
      </w:tr>
    </w:tbl>
    <w:p>
      <w:pPr>
        <w:spacing w:after="80"/>
      </w:pPr>
    </w:p>
    <w:p>
      <w:pPr>
        <w:pStyle w:val="Heading2"/>
      </w:pPr>
      <w:bookmarkStart w:id="17" w:name="_Toc00017"/>
      <w:r>
        <w:rPr/>
        <w:t xml:space="preserve">3.3 Matrice des flux réseau</w:t>
      </w:r>
      <w:bookmarkEnd w:id="17"/>
    </w:p>
    <w:p>
      <w:pPr>
        <w:pStyle w:val="Caption"/>
        <w:keepNext/>
      </w:pPr>
      <w:r>
        <w:rPr/>
        <w:t xml:space="preserve">Tableau 6 – Matrice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73"/>
        <w:gridCol w:w="1835"/>
        <w:gridCol w:w="1835"/>
        <w:gridCol w:w="2409"/>
        <w:gridCol w:w="2983"/>
      </w:tblGrid>
      <w:tr>
        <w:trPr>
          <w:tblHeader/>
          <w:cantSplit/>
        </w:trPr>
        <w:tc>
          <w:tcPr>
            <w:tcW w:w="573" w:type="dxa"/>
            <w:shd w:val="clear" w:color="auto" w:fill="2A78D6"/>
          </w:tcPr>
          <w:p>
            <w:pPr>
              <w:pStyle w:val="TableText"/>
            </w:pPr>
            <w:r>
              <w:rPr>
                <w:b/>
                <w:color w:val="FFFFFF"/>
                <w:sz w:val="18"/>
                <w:szCs w:val="18"/>
              </w:rPr>
              <w:t xml:space="preserve">N°</w:t>
            </w:r>
          </w:p>
        </w:tc>
        <w:tc>
          <w:tcPr>
            <w:tcW w:w="1835" w:type="dxa"/>
            <w:shd w:val="clear" w:color="auto" w:fill="2A78D6"/>
          </w:tcPr>
          <w:p>
            <w:pPr>
              <w:pStyle w:val="TableText"/>
            </w:pPr>
            <w:r>
              <w:rPr>
                <w:b/>
                <w:color w:val="FFFFFF"/>
                <w:sz w:val="18"/>
                <w:szCs w:val="18"/>
              </w:rPr>
              <w:t xml:space="preserve">Source</w:t>
            </w:r>
          </w:p>
        </w:tc>
        <w:tc>
          <w:tcPr>
            <w:tcW w:w="1835" w:type="dxa"/>
            <w:shd w:val="clear" w:color="auto" w:fill="2A78D6"/>
          </w:tcPr>
          <w:p>
            <w:pPr>
              <w:pStyle w:val="TableText"/>
            </w:pPr>
            <w:r>
              <w:rPr>
                <w:b/>
                <w:color w:val="FFFFFF"/>
                <w:sz w:val="18"/>
                <w:szCs w:val="18"/>
              </w:rPr>
              <w:t xml:space="preserve">Destination</w:t>
            </w:r>
          </w:p>
        </w:tc>
        <w:tc>
          <w:tcPr>
            <w:tcW w:w="2409" w:type="dxa"/>
            <w:shd w:val="clear" w:color="auto" w:fill="2A78D6"/>
          </w:tcPr>
          <w:p>
            <w:pPr>
              <w:pStyle w:val="TableText"/>
            </w:pPr>
            <w:r>
              <w:rPr>
                <w:b/>
                <w:color w:val="FFFFFF"/>
                <w:sz w:val="18"/>
                <w:szCs w:val="18"/>
              </w:rPr>
              <w:t xml:space="preserve">Port / protocole</w:t>
            </w:r>
          </w:p>
        </w:tc>
        <w:tc>
          <w:tcPr>
            <w:tcW w:w="2983" w:type="dxa"/>
            <w:shd w:val="clear" w:color="auto" w:fill="2A78D6"/>
          </w:tcPr>
          <w:p>
            <w:pPr>
              <w:pStyle w:val="TableText"/>
            </w:pPr>
            <w:r>
              <w:rPr>
                <w:b/>
                <w:color w:val="FFFFFF"/>
                <w:sz w:val="18"/>
                <w:szCs w:val="18"/>
              </w:rPr>
              <w:t xml:space="preserve">Usage</w:t>
            </w:r>
          </w:p>
        </w:tc>
      </w:tr>
      <w:tr>
        <w:trPr>
          <w:cantSplit/>
        </w:trPr>
        <w:tc>
          <w:tcPr>
            <w:tcW w:w="573" w:type="dxa"/>
          </w:tcPr>
          <w:p>
            <w:pPr>
              <w:pStyle w:val="TableText"/>
            </w:pPr>
            <w:r>
              <w:rPr>
                <w:sz w:val="18"/>
                <w:szCs w:val="18"/>
              </w:rPr>
              <w:t xml:space="preserve">F1</w:t>
            </w:r>
          </w:p>
        </w:tc>
        <w:tc>
          <w:tcPr>
            <w:tcW w:w="1835" w:type="dxa"/>
          </w:tcPr>
          <w:p>
            <w:pPr>
              <w:pStyle w:val="TableText"/>
            </w:pPr>
            <w:r>
              <w:rPr>
                <w:sz w:val="18"/>
                <w:szCs w:val="18"/>
              </w:rPr>
              <w:t xml:space="preserve">Postes utilisateurs</w:t>
            </w:r>
          </w:p>
        </w:tc>
        <w:tc>
          <w:tcPr>
            <w:tcW w:w="1835" w:type="dxa"/>
          </w:tcPr>
          <w:p>
            <w:pPr>
              <w:pStyle w:val="TableText"/>
            </w:pPr>
            <w:r>
              <w:rPr>
                <w:sz w:val="18"/>
                <w:szCs w:val="18"/>
              </w:rPr>
              <w:t xml:space="preserve">Serveur FreeLM</w:t>
            </w:r>
          </w:p>
        </w:tc>
        <w:tc>
          <w:tcPr>
            <w:tcW w:w="2409" w:type="dxa"/>
          </w:tcPr>
          <w:p>
            <w:pPr>
              <w:pStyle w:val="TableText"/>
            </w:pPr>
            <w:r>
              <w:rPr>
                <w:sz w:val="18"/>
                <w:szCs w:val="18"/>
              </w:rPr>
              <w:t xml:space="preserve">TCP 8765 (HTTPS)</w:t>
            </w:r>
          </w:p>
        </w:tc>
        <w:tc>
          <w:tcPr>
            <w:tcW w:w="2983" w:type="dxa"/>
          </w:tcPr>
          <w:p>
            <w:pPr>
              <w:pStyle w:val="TableText"/>
            </w:pPr>
            <w:r>
              <w:rPr>
                <w:sz w:val="18"/>
                <w:szCs w:val="18"/>
              </w:rPr>
              <w:t xml:space="preserve">Interface web (port configurable)</w:t>
            </w:r>
          </w:p>
        </w:tc>
      </w:tr>
      <w:tr>
        <w:trPr>
          <w:cantSplit/>
        </w:trPr>
        <w:tc>
          <w:tcPr>
            <w:tcW w:w="573" w:type="dxa"/>
            <w:shd w:val="clear" w:color="auto" w:fill="F4F7FC"/>
          </w:tcPr>
          <w:p>
            <w:pPr>
              <w:pStyle w:val="TableText"/>
            </w:pPr>
            <w:r>
              <w:rPr>
                <w:sz w:val="18"/>
                <w:szCs w:val="18"/>
              </w:rPr>
              <w:t xml:space="preserve">F2</w:t>
            </w:r>
          </w:p>
        </w:tc>
        <w:tc>
          <w:tcPr>
            <w:tcW w:w="1835" w:type="dxa"/>
            <w:shd w:val="clear" w:color="auto" w:fill="F4F7FC"/>
          </w:tcPr>
          <w:p>
            <w:pPr>
              <w:pStyle w:val="TableText"/>
            </w:pPr>
            <w:r>
              <w:rPr>
                <w:sz w:val="18"/>
                <w:szCs w:val="18"/>
              </w:rPr>
              <w:t xml:space="preserve">Serveur FreeLM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port lmgrd (27000-27009, 1055…)</w:t>
            </w:r>
          </w:p>
        </w:tc>
        <w:tc>
          <w:tcPr>
            <w:tcW w:w="2983" w:type="dxa"/>
            <w:shd w:val="clear" w:color="auto" w:fill="F4F7FC"/>
          </w:tcPr>
          <w:p>
            <w:pPr>
              <w:pStyle w:val="TableText"/>
            </w:pPr>
            <w:r>
              <w:rPr>
                <w:sz w:val="18"/>
                <w:szCs w:val="18"/>
              </w:rPr>
              <w:t xml:space="preserve">Sondage lmstat</w:t>
            </w:r>
          </w:p>
        </w:tc>
      </w:tr>
      <w:tr>
        <w:trPr>
          <w:cantSplit/>
        </w:trPr>
        <w:tc>
          <w:tcPr>
            <w:tcW w:w="573" w:type="dxa"/>
          </w:tcPr>
          <w:p>
            <w:pPr>
              <w:pStyle w:val="TableText"/>
            </w:pPr>
            <w:r>
              <w:rPr>
                <w:sz w:val="18"/>
                <w:szCs w:val="18"/>
              </w:rPr>
              <w:t xml:space="preserve">F3</w:t>
            </w:r>
          </w:p>
        </w:tc>
        <w:tc>
          <w:tcPr>
            <w:tcW w:w="1835" w:type="dxa"/>
          </w:tcPr>
          <w:p>
            <w:pPr>
              <w:pStyle w:val="TableText"/>
            </w:pPr>
            <w:r>
              <w:rPr>
                <w:sz w:val="18"/>
                <w:szCs w:val="18"/>
              </w:rPr>
              <w:t xml:space="preserve">Serveur FreeLM</w:t>
            </w:r>
          </w:p>
        </w:tc>
        <w:tc>
          <w:tcPr>
            <w:tcW w:w="1835" w:type="dxa"/>
          </w:tcPr>
          <w:p>
            <w:pPr>
              <w:pStyle w:val="TableText"/>
            </w:pPr>
            <w:r>
              <w:rPr>
                <w:sz w:val="18"/>
                <w:szCs w:val="18"/>
              </w:rPr>
              <w:t xml:space="preserve">Serveurs de licences</w:t>
            </w:r>
          </w:p>
        </w:tc>
        <w:tc>
          <w:tcPr>
            <w:tcW w:w="2409" w:type="dxa"/>
          </w:tcPr>
          <w:p>
            <w:pPr>
              <w:pStyle w:val="TableText"/>
            </w:pPr>
            <w:r>
              <w:rPr>
                <w:sz w:val="18"/>
                <w:szCs w:val="18"/>
              </w:rPr>
              <w:t xml:space="preserve">TCP ports des démons éditeurs</w:t>
            </w:r>
          </w:p>
        </w:tc>
        <w:tc>
          <w:tcPr>
            <w:tcW w:w="2983" w:type="dxa"/>
          </w:tcPr>
          <w:p>
            <w:pPr>
              <w:pStyle w:val="TableText"/>
            </w:pPr>
            <w:r>
              <w:rPr>
                <w:sz w:val="18"/>
                <w:szCs w:val="18"/>
              </w:rPr>
              <w:t xml:space="preserve">Sondage lmstat (fixer le port du démon dans le fichier de licence)</w:t>
            </w:r>
          </w:p>
        </w:tc>
      </w:tr>
      <w:tr>
        <w:trPr>
          <w:cantSplit/>
        </w:trPr>
        <w:tc>
          <w:tcPr>
            <w:tcW w:w="573" w:type="dxa"/>
            <w:shd w:val="clear" w:color="auto" w:fill="F4F7FC"/>
          </w:tcPr>
          <w:p>
            <w:pPr>
              <w:pStyle w:val="TableText"/>
            </w:pPr>
            <w:r>
              <w:rPr>
                <w:sz w:val="18"/>
                <w:szCs w:val="18"/>
              </w:rPr>
              <w:t xml:space="preserve">F4</w:t>
            </w:r>
          </w:p>
        </w:tc>
        <w:tc>
          <w:tcPr>
            <w:tcW w:w="1835" w:type="dxa"/>
            <w:shd w:val="clear" w:color="auto" w:fill="F4F7FC"/>
          </w:tcPr>
          <w:p>
            <w:pPr>
              <w:pStyle w:val="TableText"/>
            </w:pPr>
            <w:r>
              <w:rPr>
                <w:sz w:val="18"/>
                <w:szCs w:val="18"/>
              </w:rPr>
              <w:t xml:space="preserve">Serveur FreeLM</w:t>
            </w:r>
          </w:p>
        </w:tc>
        <w:tc>
          <w:tcPr>
            <w:tcW w:w="1835" w:type="dxa"/>
            <w:shd w:val="clear" w:color="auto" w:fill="F4F7FC"/>
          </w:tcPr>
          <w:p>
            <w:pPr>
              <w:pStyle w:val="TableText"/>
            </w:pPr>
            <w:r>
              <w:rPr>
                <w:sz w:val="18"/>
                <w:szCs w:val="18"/>
              </w:rPr>
              <w:t xml:space="preserve">Serveurs de licences</w:t>
            </w:r>
          </w:p>
        </w:tc>
        <w:tc>
          <w:tcPr>
            <w:tcW w:w="2409" w:type="dxa"/>
            <w:shd w:val="clear" w:color="auto" w:fill="F4F7FC"/>
          </w:tcPr>
          <w:p>
            <w:pPr>
              <w:pStyle w:val="TableText"/>
            </w:pPr>
            <w:r>
              <w:rPr>
                <w:sz w:val="18"/>
                <w:szCs w:val="18"/>
              </w:rPr>
              <w:t xml:space="preserve">TCP 445 (SMB)</w:t>
            </w:r>
          </w:p>
        </w:tc>
        <w:tc>
          <w:tcPr>
            <w:tcW w:w="2983" w:type="dxa"/>
            <w:shd w:val="clear" w:color="auto" w:fill="F4F7FC"/>
          </w:tcPr>
          <w:p>
            <w:pPr>
              <w:pStyle w:val="TableText"/>
            </w:pPr>
            <w:r>
              <w:rPr>
                <w:sz w:val="18"/>
                <w:szCs w:val="18"/>
              </w:rPr>
              <w:t xml:space="preserve">Lecture des logs debug (si collecteur log)</w:t>
            </w:r>
          </w:p>
        </w:tc>
      </w:tr>
      <w:tr>
        <w:trPr>
          <w:cantSplit/>
        </w:trPr>
        <w:tc>
          <w:tcPr>
            <w:tcW w:w="573" w:type="dxa"/>
          </w:tcPr>
          <w:p>
            <w:pPr>
              <w:pStyle w:val="TableText"/>
            </w:pPr>
            <w:r>
              <w:rPr>
                <w:sz w:val="18"/>
                <w:szCs w:val="18"/>
              </w:rPr>
              <w:t xml:space="preserve">F5</w:t>
            </w:r>
          </w:p>
        </w:tc>
        <w:tc>
          <w:tcPr>
            <w:tcW w:w="1835" w:type="dxa"/>
          </w:tcPr>
          <w:p>
            <w:pPr>
              <w:pStyle w:val="TableText"/>
            </w:pPr>
            <w:r>
              <w:rPr>
                <w:sz w:val="18"/>
                <w:szCs w:val="18"/>
              </w:rPr>
              <w:t xml:space="preserve">Serveur FreeLM</w:t>
            </w:r>
          </w:p>
        </w:tc>
        <w:tc>
          <w:tcPr>
            <w:tcW w:w="1835" w:type="dxa"/>
          </w:tcPr>
          <w:p>
            <w:pPr>
              <w:pStyle w:val="TableText"/>
            </w:pPr>
            <w:r>
              <w:rPr>
                <w:sz w:val="18"/>
                <w:szCs w:val="18"/>
              </w:rPr>
              <w:t xml:space="preserve">SQL Server</w:t>
            </w:r>
          </w:p>
        </w:tc>
        <w:tc>
          <w:tcPr>
            <w:tcW w:w="2409" w:type="dxa"/>
          </w:tcPr>
          <w:p>
            <w:pPr>
              <w:pStyle w:val="TableText"/>
            </w:pPr>
            <w:r>
              <w:rPr>
                <w:sz w:val="18"/>
                <w:szCs w:val="18"/>
              </w:rPr>
              <w:t xml:space="preserve">TCP 1433 (TDS chiffré)</w:t>
            </w:r>
          </w:p>
        </w:tc>
        <w:tc>
          <w:tcPr>
            <w:tcW w:w="2983" w:type="dxa"/>
          </w:tcPr>
          <w:p>
            <w:pPr>
              <w:pStyle w:val="TableText"/>
            </w:pPr>
            <w:r>
              <w:rPr>
                <w:sz w:val="18"/>
                <w:szCs w:val="18"/>
              </w:rPr>
              <w:t xml:space="preserve">Base FreeLM</w:t>
            </w:r>
          </w:p>
        </w:tc>
      </w:tr>
      <w:tr>
        <w:trPr>
          <w:cantSplit/>
        </w:trPr>
        <w:tc>
          <w:tcPr>
            <w:tcW w:w="573" w:type="dxa"/>
            <w:shd w:val="clear" w:color="auto" w:fill="F4F7FC"/>
          </w:tcPr>
          <w:p>
            <w:pPr>
              <w:pStyle w:val="TableText"/>
            </w:pPr>
            <w:r>
              <w:rPr>
                <w:sz w:val="18"/>
                <w:szCs w:val="18"/>
              </w:rPr>
              <w:t xml:space="preserve">F6</w:t>
            </w:r>
          </w:p>
        </w:tc>
        <w:tc>
          <w:tcPr>
            <w:tcW w:w="1835" w:type="dxa"/>
            <w:shd w:val="clear" w:color="auto" w:fill="F4F7FC"/>
          </w:tcPr>
          <w:p>
            <w:pPr>
              <w:pStyle w:val="TableText"/>
            </w:pPr>
            <w:r>
              <w:rPr>
                <w:sz w:val="18"/>
                <w:szCs w:val="18"/>
              </w:rPr>
              <w:t xml:space="preserve">Serveur FreeLM</w:t>
            </w:r>
          </w:p>
        </w:tc>
        <w:tc>
          <w:tcPr>
            <w:tcW w:w="1835" w:type="dxa"/>
            <w:shd w:val="clear" w:color="auto" w:fill="F4F7FC"/>
          </w:tcPr>
          <w:p>
            <w:pPr>
              <w:pStyle w:val="TableText"/>
            </w:pPr>
            <w:r>
              <w:rPr>
                <w:sz w:val="18"/>
                <w:szCs w:val="18"/>
              </w:rPr>
              <w:t xml:space="preserve">Contrôleurs de domaine</w:t>
            </w:r>
          </w:p>
        </w:tc>
        <w:tc>
          <w:tcPr>
            <w:tcW w:w="2409" w:type="dxa"/>
            <w:shd w:val="clear" w:color="auto" w:fill="F4F7FC"/>
          </w:tcPr>
          <w:p>
            <w:pPr>
              <w:pStyle w:val="TableText"/>
            </w:pPr>
            <w:r>
              <w:rPr>
                <w:sz w:val="18"/>
                <w:szCs w:val="18"/>
              </w:rPr>
              <w:t xml:space="preserve">TCP 636 (LDAPS) ou 389 + STARTTLS</w:t>
            </w:r>
          </w:p>
        </w:tc>
        <w:tc>
          <w:tcPr>
            <w:tcW w:w="2983" w:type="dxa"/>
            <w:shd w:val="clear" w:color="auto" w:fill="F4F7FC"/>
          </w:tcPr>
          <w:p>
            <w:pPr>
              <w:pStyle w:val="TableText"/>
            </w:pPr>
            <w:r>
              <w:rPr>
                <w:sz w:val="18"/>
                <w:szCs w:val="18"/>
              </w:rPr>
              <w:t xml:space="preserve">Connexion des utilisateurs (mode ldap)</w:t>
            </w:r>
          </w:p>
        </w:tc>
      </w:tr>
      <w:tr>
        <w:trPr>
          <w:cantSplit/>
        </w:trPr>
        <w:tc>
          <w:tcPr>
            <w:tcW w:w="573" w:type="dxa"/>
          </w:tcPr>
          <w:p>
            <w:pPr>
              <w:pStyle w:val="TableText"/>
            </w:pPr>
            <w:r>
              <w:rPr>
                <w:sz w:val="18"/>
                <w:szCs w:val="18"/>
              </w:rPr>
              <w:t xml:space="preserve">F7</w:t>
            </w:r>
          </w:p>
        </w:tc>
        <w:tc>
          <w:tcPr>
            <w:tcW w:w="1835" w:type="dxa"/>
          </w:tcPr>
          <w:p>
            <w:pPr>
              <w:pStyle w:val="TableText"/>
            </w:pPr>
            <w:r>
              <w:rPr>
                <w:sz w:val="18"/>
                <w:szCs w:val="18"/>
              </w:rPr>
              <w:t xml:space="preserve">Serveur FreeLM</w:t>
            </w:r>
          </w:p>
        </w:tc>
        <w:tc>
          <w:tcPr>
            <w:tcW w:w="1835" w:type="dxa"/>
          </w:tcPr>
          <w:p>
            <w:pPr>
              <w:pStyle w:val="TableText"/>
            </w:pPr>
            <w:r>
              <w:rPr>
                <w:sz w:val="18"/>
                <w:szCs w:val="18"/>
              </w:rPr>
              <w:t xml:space="preserve">Relais SMTP</w:t>
            </w:r>
          </w:p>
        </w:tc>
        <w:tc>
          <w:tcPr>
            <w:tcW w:w="2409" w:type="dxa"/>
          </w:tcPr>
          <w:p>
            <w:pPr>
              <w:pStyle w:val="TableText"/>
            </w:pPr>
            <w:r>
              <w:rPr>
                <w:sz w:val="18"/>
                <w:szCs w:val="18"/>
              </w:rPr>
              <w:t xml:space="preserve">TCP 25 / 587 / 465</w:t>
            </w:r>
          </w:p>
        </w:tc>
        <w:tc>
          <w:tcPr>
            <w:tcW w:w="2983" w:type="dxa"/>
          </w:tcPr>
          <w:p>
            <w:pPr>
              <w:pStyle w:val="TableText"/>
            </w:pPr>
            <w:r>
              <w:rPr>
                <w:sz w:val="18"/>
                <w:szCs w:val="18"/>
              </w:rPr>
              <w:t xml:space="preserve">Envoi des rapports par e-mail</w:t>
            </w:r>
          </w:p>
        </w:tc>
      </w:tr>
      <w:tr>
        <w:trPr>
          <w:cantSplit/>
        </w:trPr>
        <w:tc>
          <w:tcPr>
            <w:tcW w:w="573" w:type="dxa"/>
            <w:shd w:val="clear" w:color="auto" w:fill="F4F7FC"/>
          </w:tcPr>
          <w:p>
            <w:pPr>
              <w:pStyle w:val="TableText"/>
            </w:pPr>
            <w:r>
              <w:rPr>
                <w:sz w:val="18"/>
                <w:szCs w:val="18"/>
              </w:rPr>
              <w:t xml:space="preserve">F8</w:t>
            </w:r>
          </w:p>
        </w:tc>
        <w:tc>
          <w:tcPr>
            <w:tcW w:w="1835" w:type="dxa"/>
            <w:shd w:val="clear" w:color="auto" w:fill="F4F7FC"/>
          </w:tcPr>
          <w:p>
            <w:pPr>
              <w:pStyle w:val="TableText"/>
            </w:pPr>
            <w:r>
              <w:rPr>
                <w:sz w:val="18"/>
                <w:szCs w:val="18"/>
              </w:rPr>
              <w:t xml:space="preserve">IIS (option)</w:t>
            </w:r>
          </w:p>
        </w:tc>
        <w:tc>
          <w:tcPr>
            <w:tcW w:w="1835" w:type="dxa"/>
            <w:shd w:val="clear" w:color="auto" w:fill="F4F7FC"/>
          </w:tcPr>
          <w:p>
            <w:pPr>
              <w:pStyle w:val="TableText"/>
            </w:pPr>
            <w:r>
              <w:rPr>
                <w:sz w:val="18"/>
                <w:szCs w:val="18"/>
              </w:rPr>
              <w:t xml:space="preserve">Serveur FreeLM</w:t>
            </w:r>
          </w:p>
        </w:tc>
        <w:tc>
          <w:tcPr>
            <w:tcW w:w="2409" w:type="dxa"/>
            <w:shd w:val="clear" w:color="auto" w:fill="F4F7FC"/>
          </w:tcPr>
          <w:p>
            <w:pPr>
              <w:pStyle w:val="TableText"/>
            </w:pPr>
            <w:r>
              <w:rPr>
                <w:sz w:val="18"/>
                <w:szCs w:val="18"/>
              </w:rPr>
              <w:t xml:space="preserve">TCP 8765 local</w:t>
            </w:r>
          </w:p>
        </w:tc>
        <w:tc>
          <w:tcPr>
            <w:tcW w:w="2983" w:type="dxa"/>
            <w:shd w:val="clear" w:color="auto" w:fill="F4F7FC"/>
          </w:tcPr>
          <w:p>
            <w:pPr>
              <w:pStyle w:val="TableText"/>
            </w:pPr>
            <w:r>
              <w:rPr>
                <w:sz w:val="18"/>
                <w:szCs w:val="18"/>
              </w:rPr>
              <w:t xml:space="preserve">Mode header (SSO) : IIS en frontal</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démons éditeurs utilisent par défaut un port dynamique. Pour ouvrir le pare-feu de façon précise, fixer ce port dans le fichier de licence (ligne </w:t>
            </w:r>
            <w:r>
              <w:rPr>
                <w:rFonts w:ascii="Consolas" w:hAnsi="Consolas" w:cs="Consolas"/>
                <w:color w:val="1C5CAB"/>
                <w:sz w:val="18"/>
                <w:szCs w:val="18"/>
                <w:shd w:val="clear" w:color="auto" w:fill="EEF3FA"/>
              </w:rPr>
              <w:t xml:space="preserve">VENDOR adskflex port=2080</w:t>
            </w:r>
            <w:r>
              <w:rPr/>
              <w:t xml:space="preserve">, par exemple).</w:t>
            </w:r>
          </w:p>
        </w:tc>
      </w:tr>
    </w:tbl>
    <w:p>
      <w:pPr>
        <w:spacing w:after="60"/>
      </w:pPr>
    </w:p>
    <w:p>
      <w:pPr>
        <w:pStyle w:val="Heading2"/>
      </w:pPr>
      <w:bookmarkStart w:id="18" w:name="_Toc00018"/>
      <w:r>
        <w:rPr/>
        <w:t xml:space="preserve">3.4 Flux de collecte</w:t>
      </w:r>
      <w:bookmarkEnd w:id="18"/>
    </w:p>
    <w:p>
      <w:pPr/>
      <w:r>
        <w:rPr/>
        <w:t xml:space="preserve">Chaque exécution de </w:t>
      </w:r>
      <w:r>
        <w:rPr>
          <w:rFonts w:ascii="Consolas" w:hAnsi="Consolas" w:cs="Consolas"/>
          <w:color w:val="1C5CAB"/>
          <w:sz w:val="18"/>
          <w:szCs w:val="18"/>
          <w:shd w:val="clear" w:color="auto" w:fill="EEF3FA"/>
        </w:rPr>
        <w:t xml:space="preserve">freelm collect</w:t>
      </w:r>
      <w:r>
        <w:rPr/>
        <w:t xml:space="preserve"> traite les serveurs l'un après l'autre, avec une transaction par serveur et par collecteur. Deux sources sont possibles et peuvent être combinées :</w:t>
      </w:r>
    </w:p>
    <w:p>
      <w:pPr>
        <w:pStyle w:val="Figure"/>
        <w:keepNext/>
      </w:pPr>
      <w:r>
        <w:drawing>
          <wp:inline distT="0" distB="0" distL="0" distR="0">
            <wp:extent cx="6120000" cy="1879714"/>
            <wp:docPr id="4" name="Image 4" descr="Flux de collecte"/>
            <wp:cNvGraphicFramePr>
              <a:graphicFrameLocks noChangeAspect="1"/>
            </wp:cNvGraphicFramePr>
            <a:graphic>
              <a:graphicData uri="http://schemas.openxmlformats.org/drawingml/2006/picture">
                <pic:pic>
                  <pic:nvPicPr>
                    <pic:cNvPr id="4" name="diag_flux_collecte.png"/>
                    <pic:cNvPicPr/>
                  </pic:nvPicPr>
                  <pic:blipFill>
                    <a:blip r:embed="rIdImg4"/>
                    <a:stretch>
                      <a:fillRect/>
                    </a:stretch>
                  </pic:blipFill>
                  <pic:spPr>
                    <a:xfrm>
                      <a:off x="0" y="0"/>
                      <a:ext cx="6120000" cy="1879714"/>
                    </a:xfrm>
                    <a:prstGeom prst="rect">
                      <a:avLst/>
                    </a:prstGeom>
                    <a:ln w="9525">
                      <a:solidFill>
                        <a:srgbClr val="D9D8D2"/>
                      </a:solidFill>
                    </a:ln>
                  </pic:spPr>
                </pic:pic>
              </a:graphicData>
            </a:graphic>
          </wp:inline>
        </w:drawing>
      </w:r>
    </w:p>
    <w:p>
      <w:pPr>
        <w:pStyle w:val="Caption"/>
      </w:pPr>
      <w:bookmarkStart w:id="19" w:name="_Fig00019"/>
      <w:r>
        <w:rPr/>
        <w:t xml:space="preserve">Figure </w:t>
      </w:r>
      <w:fldSimple w:instr=" SEQ Figure \* ARABIC ">
        <w:r>
          <w:t>3</w:t>
        </w:r>
      </w:fldSimple>
      <w:r>
        <w:rPr/>
        <w:t xml:space="preserve"> – Flux de collecte</w:t>
      </w:r>
      <w:bookmarkEnd w:id="19"/>
    </w:p>
    <w:p>
      <w:pPr>
        <w:pStyle w:val="Caption"/>
        <w:keepNext/>
      </w:pPr>
      <w:r>
        <w:rPr/>
        <w:t xml:space="preserve">Tableau 7 – Comparaison des deux sources de collecte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67"/>
        <w:gridCol w:w="3685"/>
        <w:gridCol w:w="3685"/>
      </w:tblGrid>
      <w:tr>
        <w:trPr>
          <w:tblHeader/>
          <w:cantSplit/>
        </w:trPr>
        <w:tc>
          <w:tcPr>
            <w:tcW w:w="2267" w:type="dxa"/>
            <w:shd w:val="clear" w:color="auto" w:fill="2A78D6"/>
          </w:tcPr>
          <w:p>
            <w:pPr>
              <w:pStyle w:val="TableText"/>
            </w:pPr>
          </w:p>
        </w:tc>
        <w:tc>
          <w:tcPr>
            <w:tcW w:w="3685" w:type="dxa"/>
            <w:shd w:val="clear" w:color="auto" w:fill="2A78D6"/>
          </w:tcPr>
          <w:p>
            <w:pPr>
              <w:pStyle w:val="TableText"/>
            </w:pPr>
            <w:r>
              <w:rPr>
                <w:b/>
                <w:color w:val="FFFFFF"/>
                <w:sz w:val="18"/>
                <w:szCs w:val="18"/>
              </w:rPr>
              <w:t xml:space="preserve">Collecteur lmstat (sondage)</w:t>
            </w:r>
          </w:p>
        </w:tc>
        <w:tc>
          <w:tcPr>
            <w:tcW w:w="3685" w:type="dxa"/>
            <w:shd w:val="clear" w:color="auto" w:fill="2A78D6"/>
          </w:tcPr>
          <w:p>
            <w:pPr>
              <w:pStyle w:val="TableText"/>
            </w:pPr>
            <w:r>
              <w:rPr>
                <w:b/>
                <w:color w:val="FFFFFF"/>
                <w:sz w:val="18"/>
                <w:szCs w:val="18"/>
              </w:rPr>
              <w:t xml:space="preserve">Collecteur log (fichier debug)</w:t>
            </w:r>
          </w:p>
        </w:tc>
      </w:tr>
      <w:tr>
        <w:trPr>
          <w:cantSplit/>
        </w:trPr>
        <w:tc>
          <w:tcPr>
            <w:tcW w:w="2267" w:type="dxa"/>
          </w:tcPr>
          <w:p>
            <w:pPr>
              <w:pStyle w:val="TableText"/>
            </w:pPr>
            <w:r>
              <w:rPr>
                <w:sz w:val="18"/>
                <w:szCs w:val="18"/>
              </w:rPr>
              <w:t xml:space="preserve">Accès requis</w:t>
            </w:r>
          </w:p>
        </w:tc>
        <w:tc>
          <w:tcPr>
            <w:tcW w:w="3685" w:type="dxa"/>
          </w:tcPr>
          <w:p>
            <w:pPr>
              <w:pStyle w:val="TableText"/>
            </w:pPr>
            <w:r>
              <w:rPr>
                <w:sz w:val="18"/>
                <w:szCs w:val="18"/>
              </w:rPr>
              <w:t xml:space="preserve">Réseau vers lmgrd + lmutil.exe</w:t>
            </w:r>
          </w:p>
        </w:tc>
        <w:tc>
          <w:tcPr>
            <w:tcW w:w="3685" w:type="dxa"/>
          </w:tcPr>
          <w:p>
            <w:pPr>
              <w:pStyle w:val="TableText"/>
            </w:pPr>
            <w:r>
              <w:rPr>
                <w:sz w:val="18"/>
                <w:szCs w:val="18"/>
              </w:rPr>
              <w:t xml:space="preserve">Lecture du fichier log (partage SMB)</w:t>
            </w:r>
          </w:p>
        </w:tc>
      </w:tr>
      <w:tr>
        <w:trPr>
          <w:cantSplit/>
        </w:trPr>
        <w:tc>
          <w:tcPr>
            <w:tcW w:w="2267" w:type="dxa"/>
            <w:shd w:val="clear" w:color="auto" w:fill="F4F7FC"/>
          </w:tcPr>
          <w:p>
            <w:pPr>
              <w:pStyle w:val="TableText"/>
            </w:pPr>
            <w:r>
              <w:rPr>
                <w:sz w:val="18"/>
                <w:szCs w:val="18"/>
              </w:rPr>
              <w:t xml:space="preserve">Jetons émis / utilisés</w:t>
            </w:r>
          </w:p>
        </w:tc>
        <w:tc>
          <w:tcPr>
            <w:tcW w:w="3685" w:type="dxa"/>
            <w:shd w:val="clear" w:color="auto" w:fill="F4F7FC"/>
          </w:tcPr>
          <w:p>
            <w:pPr>
              <w:pStyle w:val="TableText"/>
            </w:pPr>
            <w:r>
              <w:rPr>
                <w:sz w:val="18"/>
                <w:szCs w:val="18"/>
              </w:rPr>
              <w:t xml:space="preserve">Oui</w:t>
            </w:r>
          </w:p>
        </w:tc>
        <w:tc>
          <w:tcPr>
            <w:tcW w:w="3685" w:type="dxa"/>
            <w:shd w:val="clear" w:color="auto" w:fill="F4F7FC"/>
          </w:tcPr>
          <w:p>
            <w:pPr>
              <w:pStyle w:val="TableText"/>
            </w:pPr>
            <w:r>
              <w:rPr>
                <w:sz w:val="18"/>
                <w:szCs w:val="18"/>
              </w:rPr>
              <w:t xml:space="preserve">Non</w:t>
            </w:r>
          </w:p>
        </w:tc>
      </w:tr>
      <w:tr>
        <w:trPr>
          <w:cantSplit/>
        </w:trPr>
        <w:tc>
          <w:tcPr>
            <w:tcW w:w="2267" w:type="dxa"/>
          </w:tcPr>
          <w:p>
            <w:pPr>
              <w:pStyle w:val="TableText"/>
            </w:pPr>
            <w:r>
              <w:rPr>
                <w:sz w:val="18"/>
                <w:szCs w:val="18"/>
              </w:rPr>
              <w:t xml:space="preserve">Sessions</w:t>
            </w:r>
          </w:p>
        </w:tc>
        <w:tc>
          <w:tcPr>
            <w:tcW w:w="3685" w:type="dxa"/>
          </w:tcPr>
          <w:p>
            <w:pPr>
              <w:pStyle w:val="TableText"/>
            </w:pPr>
            <w:r>
              <w:rPr>
                <w:sz w:val="18"/>
                <w:szCs w:val="18"/>
              </w:rPr>
              <w:t xml:space="preserve">Oui, précision = intervalle de sondage (5 min)</w:t>
            </w:r>
          </w:p>
        </w:tc>
        <w:tc>
          <w:tcPr>
            <w:tcW w:w="3685" w:type="dxa"/>
          </w:tcPr>
          <w:p>
            <w:pPr>
              <w:pStyle w:val="TableText"/>
            </w:pPr>
            <w:r>
              <w:rPr>
                <w:sz w:val="18"/>
                <w:szCs w:val="18"/>
              </w:rPr>
              <w:t xml:space="preserve">Oui, à la seconde</w:t>
            </w:r>
          </w:p>
        </w:tc>
      </w:tr>
      <w:tr>
        <w:trPr>
          <w:cantSplit/>
        </w:trPr>
        <w:tc>
          <w:tcPr>
            <w:tcW w:w="2267" w:type="dxa"/>
            <w:shd w:val="clear" w:color="auto" w:fill="F4F7FC"/>
          </w:tcPr>
          <w:p>
            <w:pPr>
              <w:pStyle w:val="TableText"/>
            </w:pPr>
            <w:r>
              <w:rPr>
                <w:sz w:val="18"/>
                <w:szCs w:val="18"/>
              </w:rPr>
              <w:t xml:space="preserve">Refus / files d'attente</w:t>
            </w:r>
          </w:p>
        </w:tc>
        <w:tc>
          <w:tcPr>
            <w:tcW w:w="3685" w:type="dxa"/>
            <w:shd w:val="clear" w:color="auto" w:fill="F4F7FC"/>
          </w:tcPr>
          <w:p>
            <w:pPr>
              <w:pStyle w:val="TableText"/>
            </w:pPr>
            <w:r>
              <w:rPr>
                <w:sz w:val="18"/>
                <w:szCs w:val="18"/>
              </w:rPr>
              <w:t xml:space="preserve">File courante seulement</w:t>
            </w:r>
          </w:p>
        </w:tc>
        <w:tc>
          <w:tcPr>
            <w:tcW w:w="3685" w:type="dxa"/>
            <w:shd w:val="clear" w:color="auto" w:fill="F4F7FC"/>
          </w:tcPr>
          <w:p>
            <w:pPr>
              <w:pStyle w:val="TableText"/>
            </w:pPr>
            <w:r>
              <w:rPr>
                <w:sz w:val="18"/>
                <w:szCs w:val="18"/>
              </w:rPr>
              <w:t xml:space="preserve">Oui (DENIED, QUEUED)</w:t>
            </w:r>
          </w:p>
        </w:tc>
      </w:tr>
      <w:tr>
        <w:trPr>
          <w:cantSplit/>
        </w:trPr>
        <w:tc>
          <w:tcPr>
            <w:tcW w:w="2267" w:type="dxa"/>
          </w:tcPr>
          <w:p>
            <w:pPr>
              <w:pStyle w:val="TableText"/>
            </w:pPr>
            <w:r>
              <w:rPr>
                <w:sz w:val="18"/>
                <w:szCs w:val="18"/>
              </w:rPr>
              <w:t xml:space="preserve">Dates d'expiration</w:t>
            </w:r>
          </w:p>
        </w:tc>
        <w:tc>
          <w:tcPr>
            <w:tcW w:w="3685" w:type="dxa"/>
          </w:tcPr>
          <w:p>
            <w:pPr>
              <w:pStyle w:val="TableText"/>
            </w:pPr>
            <w:r>
              <w:rPr>
                <w:sz w:val="18"/>
                <w:szCs w:val="18"/>
              </w:rPr>
              <w:t xml:space="preserve">Oui</w:t>
            </w:r>
          </w:p>
        </w:tc>
        <w:tc>
          <w:tcPr>
            <w:tcW w:w="3685" w:type="dxa"/>
          </w:tcPr>
          <w:p>
            <w:pPr>
              <w:pStyle w:val="TableText"/>
            </w:pPr>
            <w:r>
              <w:rPr>
                <w:sz w:val="18"/>
                <w:szCs w:val="18"/>
              </w:rPr>
              <w:t xml:space="preserve">Non</w:t>
            </w:r>
          </w:p>
        </w:tc>
      </w:tr>
      <w:tr>
        <w:trPr>
          <w:cantSplit/>
        </w:trPr>
        <w:tc>
          <w:tcPr>
            <w:tcW w:w="2267" w:type="dxa"/>
            <w:shd w:val="clear" w:color="auto" w:fill="F4F7FC"/>
          </w:tcPr>
          <w:p>
            <w:pPr>
              <w:pStyle w:val="TableText"/>
            </w:pPr>
            <w:r>
              <w:rPr>
                <w:sz w:val="18"/>
                <w:szCs w:val="18"/>
              </w:rPr>
              <w:t xml:space="preserve">Reprise d'historique</w:t>
            </w:r>
          </w:p>
        </w:tc>
        <w:tc>
          <w:tcPr>
            <w:tcW w:w="3685" w:type="dxa"/>
            <w:shd w:val="clear" w:color="auto" w:fill="F4F7FC"/>
          </w:tcPr>
          <w:p>
            <w:pPr>
              <w:pStyle w:val="TableText"/>
            </w:pPr>
            <w:r>
              <w:rPr>
                <w:sz w:val="18"/>
                <w:szCs w:val="18"/>
              </w:rPr>
              <w:t xml:space="preserve">Non</w:t>
            </w:r>
          </w:p>
        </w:tc>
        <w:tc>
          <w:tcPr>
            <w:tcW w:w="3685" w:type="dxa"/>
            <w:shd w:val="clear" w:color="auto" w:fill="F4F7FC"/>
          </w:tcPr>
          <w:p>
            <w:pPr>
              <w:pStyle w:val="TableText"/>
            </w:pPr>
            <w:r>
              <w:rPr>
                <w:sz w:val="18"/>
                <w:szCs w:val="18"/>
              </w:rPr>
              <w:t xml:space="preserve">Oui (</w:t>
            </w:r>
            <w:r>
              <w:rPr>
                <w:rFonts w:ascii="Consolas" w:hAnsi="Consolas" w:cs="Consolas"/>
                <w:color w:val="1C5CAB"/>
                <w:sz w:val="18"/>
                <w:szCs w:val="18"/>
                <w:shd w:val="clear" w:color="auto" w:fill="EEF3FA"/>
              </w:rPr>
              <w:t xml:space="preserve">freelm import-log</w:t>
            </w:r>
            <w:r>
              <w:rPr>
                <w:sz w:val="18"/>
                <w:szCs w:val="18"/>
              </w:rPr>
              <w:t xml:space="preserve">)</w:t>
            </w:r>
          </w:p>
        </w:tc>
      </w:tr>
    </w:tbl>
    <w:p>
      <w:pPr>
        <w:spacing w:after="80"/>
      </w:pPr>
    </w:p>
    <w:p>
      <w:pPr/>
      <w:r>
        <w:rPr/>
        <w:t xml:space="preserve">Reconstitution des sessions par lmstat : chaque emprunt est identifié par (feature, utilisateur, poste, handle). Un emprunt nouveau ouvre une session ; un emprunt disparu la ferme, avec une fin estimée au milieu de l'intervalle entre deux sondages (plafonnée à 30 minutes si la collecte a été interrompue). Si un démon éditeur est arrêté, ses sessions restent ouvertes ; si le serveur est injoignable, rien n'est modifié.</w:t>
      </w:r>
    </w:p>
    <w:p>
      <w:pPr>
        <w:pStyle w:val="Heading2"/>
      </w:pPr>
      <w:bookmarkStart w:id="20" w:name="_Toc00020"/>
      <w:r>
        <w:rPr/>
        <w:t xml:space="preserve">3.5 Modèle de données</w:t>
      </w:r>
      <w:bookmarkEnd w:id="20"/>
    </w:p>
    <w:p>
      <w:pPr>
        <w:pStyle w:val="Figure"/>
        <w:keepNext/>
      </w:pPr>
      <w:r>
        <w:drawing>
          <wp:inline distT="0" distB="0" distL="0" distR="0">
            <wp:extent cx="6120000" cy="2824615"/>
            <wp:docPr id="5" name="Image 5" descr="Modèle de données (schéma v3)"/>
            <wp:cNvGraphicFramePr>
              <a:graphicFrameLocks noChangeAspect="1"/>
            </wp:cNvGraphicFramePr>
            <a:graphic>
              <a:graphicData uri="http://schemas.openxmlformats.org/drawingml/2006/picture">
                <pic:pic>
                  <pic:nvPicPr>
                    <pic:cNvPr id="5" name="diag_modele_donnees.png"/>
                    <pic:cNvPicPr/>
                  </pic:nvPicPr>
                  <pic:blipFill>
                    <a:blip r:embed="rIdImg5"/>
                    <a:stretch>
                      <a:fillRect/>
                    </a:stretch>
                  </pic:blipFill>
                  <pic:spPr>
                    <a:xfrm>
                      <a:off x="0" y="0"/>
                      <a:ext cx="6120000" cy="2824615"/>
                    </a:xfrm>
                    <a:prstGeom prst="rect">
                      <a:avLst/>
                    </a:prstGeom>
                    <a:ln w="9525">
                      <a:solidFill>
                        <a:srgbClr val="D9D8D2"/>
                      </a:solidFill>
                    </a:ln>
                  </pic:spPr>
                </pic:pic>
              </a:graphicData>
            </a:graphic>
          </wp:inline>
        </w:drawing>
      </w:r>
    </w:p>
    <w:p>
      <w:pPr>
        <w:pStyle w:val="Caption"/>
      </w:pPr>
      <w:bookmarkStart w:id="21" w:name="_Fig00021"/>
      <w:r>
        <w:rPr/>
        <w:t xml:space="preserve">Figure </w:t>
      </w:r>
      <w:fldSimple w:instr=" SEQ Figure \* ARABIC ">
        <w:r>
          <w:t>4</w:t>
        </w:r>
      </w:fldSimple>
      <w:r>
        <w:rPr/>
        <w:t xml:space="preserve"> – Modèle de données (schéma v3)</w:t>
      </w:r>
      <w:bookmarkEnd w:id="21"/>
    </w:p>
    <w:p>
      <w:pPr>
        <w:pStyle w:val="Caption"/>
        <w:keepNext/>
      </w:pPr>
      <w:r>
        <w:rPr/>
        <w:t xml:space="preserve">Tableau 8 – Tables de la base FreeLM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77"/>
        <w:gridCol w:w="3583"/>
        <w:gridCol w:w="2224"/>
        <w:gridCol w:w="1853"/>
      </w:tblGrid>
      <w:tr>
        <w:trPr>
          <w:tblHeader/>
          <w:cantSplit/>
        </w:trPr>
        <w:tc>
          <w:tcPr>
            <w:tcW w:w="1977" w:type="dxa"/>
            <w:shd w:val="clear" w:color="auto" w:fill="2A78D6"/>
          </w:tcPr>
          <w:p>
            <w:pPr>
              <w:pStyle w:val="TableText"/>
            </w:pPr>
            <w:r>
              <w:rPr>
                <w:b/>
                <w:color w:val="FFFFFF"/>
                <w:sz w:val="18"/>
                <w:szCs w:val="18"/>
              </w:rPr>
              <w:t xml:space="preserve">Table</w:t>
            </w:r>
          </w:p>
        </w:tc>
        <w:tc>
          <w:tcPr>
            <w:tcW w:w="3583" w:type="dxa"/>
            <w:shd w:val="clear" w:color="auto" w:fill="2A78D6"/>
          </w:tcPr>
          <w:p>
            <w:pPr>
              <w:pStyle w:val="TableText"/>
            </w:pPr>
            <w:r>
              <w:rPr>
                <w:b/>
                <w:color w:val="FFFFFF"/>
                <w:sz w:val="18"/>
                <w:szCs w:val="18"/>
              </w:rPr>
              <w:t xml:space="preserve">Contenu</w:t>
            </w:r>
          </w:p>
        </w:tc>
        <w:tc>
          <w:tcPr>
            <w:tcW w:w="2224" w:type="dxa"/>
            <w:shd w:val="clear" w:color="auto" w:fill="2A78D6"/>
          </w:tcPr>
          <w:p>
            <w:pPr>
              <w:pStyle w:val="TableText"/>
            </w:pPr>
            <w:r>
              <w:rPr>
                <w:b/>
                <w:color w:val="FFFFFF"/>
                <w:sz w:val="18"/>
                <w:szCs w:val="18"/>
              </w:rPr>
              <w:t xml:space="preserve">Volumétrie indicative</w:t>
            </w:r>
          </w:p>
        </w:tc>
        <w:tc>
          <w:tcPr>
            <w:tcW w:w="1853" w:type="dxa"/>
            <w:shd w:val="clear" w:color="auto" w:fill="2A78D6"/>
          </w:tcPr>
          <w:p>
            <w:pPr>
              <w:pStyle w:val="TableText"/>
            </w:pPr>
            <w:r>
              <w:rPr>
                <w:b/>
                <w:color w:val="FFFFFF"/>
                <w:sz w:val="18"/>
                <w:szCs w:val="18"/>
              </w:rPr>
              <w:t xml:space="preserve">Conservation</w:t>
            </w:r>
          </w:p>
        </w:tc>
      </w:tr>
      <w:tr>
        <w:trPr>
          <w:cantSplit/>
        </w:trPr>
        <w:tc>
          <w:tcPr>
            <w:tcW w:w="1977" w:type="dxa"/>
          </w:tcPr>
          <w:p>
            <w:pPr>
              <w:pStyle w:val="TableText"/>
            </w:pPr>
            <w:r>
              <w:rPr>
                <w:sz w:val="18"/>
                <w:szCs w:val="18"/>
              </w:rPr>
              <w:t xml:space="preserve">license_server</w:t>
            </w:r>
          </w:p>
        </w:tc>
        <w:tc>
          <w:tcPr>
            <w:tcW w:w="3583" w:type="dxa"/>
          </w:tcPr>
          <w:p>
            <w:pPr>
              <w:pStyle w:val="TableText"/>
            </w:pPr>
            <w:r>
              <w:rPr>
                <w:sz w:val="18"/>
                <w:szCs w:val="18"/>
              </w:rPr>
              <w:t xml:space="preserve">Serveurs déclarés dans la configuration</w:t>
            </w:r>
          </w:p>
        </w:tc>
        <w:tc>
          <w:tcPr>
            <w:tcW w:w="2224" w:type="dxa"/>
          </w:tcPr>
          <w:p>
            <w:pPr>
              <w:pStyle w:val="TableText"/>
            </w:pPr>
            <w:r>
              <w:rPr>
                <w:sz w:val="18"/>
                <w:szCs w:val="18"/>
              </w:rPr>
              <w:t xml:space="preserve">Quelques lignes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feature</w:t>
            </w:r>
          </w:p>
        </w:tc>
        <w:tc>
          <w:tcPr>
            <w:tcW w:w="3583" w:type="dxa"/>
            <w:shd w:val="clear" w:color="auto" w:fill="F4F7FC"/>
          </w:tcPr>
          <w:p>
            <w:pPr>
              <w:pStyle w:val="TableText"/>
            </w:pPr>
            <w:r>
              <w:rPr>
                <w:sz w:val="18"/>
                <w:szCs w:val="18"/>
              </w:rPr>
              <w:t xml:space="preserve">Features FlexLM, produit, éditeur, date d'expiration</w:t>
            </w:r>
          </w:p>
        </w:tc>
        <w:tc>
          <w:tcPr>
            <w:tcW w:w="2224" w:type="dxa"/>
            <w:shd w:val="clear" w:color="auto" w:fill="F4F7FC"/>
          </w:tcPr>
          <w:p>
            <w:pPr>
              <w:pStyle w:val="TableText"/>
            </w:pPr>
            <w:r>
              <w:rPr>
                <w:sz w:val="18"/>
                <w:szCs w:val="18"/>
              </w:rPr>
              <w:t xml:space="preserve">Dizaines à centaines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usage_snapshot</w:t>
            </w:r>
          </w:p>
        </w:tc>
        <w:tc>
          <w:tcPr>
            <w:tcW w:w="3583" w:type="dxa"/>
          </w:tcPr>
          <w:p>
            <w:pPr>
              <w:pStyle w:val="TableText"/>
            </w:pPr>
            <w:r>
              <w:rPr>
                <w:sz w:val="18"/>
                <w:szCs w:val="18"/>
              </w:rPr>
              <w:t xml:space="preserve">Sondages bruts (jetons émis / utilisés / en attente)</w:t>
            </w:r>
          </w:p>
        </w:tc>
        <w:tc>
          <w:tcPr>
            <w:tcW w:w="2224" w:type="dxa"/>
          </w:tcPr>
          <w:p>
            <w:pPr>
              <w:pStyle w:val="TableText"/>
            </w:pPr>
            <w:r>
              <w:rPr>
                <w:sz w:val="18"/>
                <w:szCs w:val="18"/>
              </w:rPr>
              <w:t xml:space="preserve">≈ 290 lignes / feature / jour</w:t>
            </w:r>
          </w:p>
        </w:tc>
        <w:tc>
          <w:tcPr>
            <w:tcW w:w="1853" w:type="dxa"/>
          </w:tcPr>
          <w:p>
            <w:pPr>
              <w:pStyle w:val="TableText"/>
            </w:pPr>
            <w:r>
              <w:rPr>
                <w:sz w:val="18"/>
                <w:szCs w:val="18"/>
              </w:rPr>
              <w:t xml:space="preserve">90 jours (</w:t>
            </w:r>
            <w:r>
              <w:rPr>
                <w:rFonts w:ascii="Consolas" w:hAnsi="Consolas" w:cs="Consolas"/>
                <w:color w:val="1C5CAB"/>
                <w:sz w:val="18"/>
                <w:szCs w:val="18"/>
                <w:shd w:val="clear" w:color="auto" w:fill="EEF3FA"/>
              </w:rPr>
              <w:t xml:space="preserve">snapshots_days</w:t>
            </w:r>
            <w:r>
              <w:rPr>
                <w:sz w:val="18"/>
                <w:szCs w:val="18"/>
              </w:rPr>
              <w:t xml:space="preserve">)</w:t>
            </w:r>
          </w:p>
        </w:tc>
      </w:tr>
      <w:tr>
        <w:trPr>
          <w:cantSplit/>
        </w:trPr>
        <w:tc>
          <w:tcPr>
            <w:tcW w:w="1977" w:type="dxa"/>
            <w:shd w:val="clear" w:color="auto" w:fill="F4F7FC"/>
          </w:tcPr>
          <w:p>
            <w:pPr>
              <w:pStyle w:val="TableText"/>
            </w:pPr>
            <w:r>
              <w:rPr>
                <w:sz w:val="18"/>
                <w:szCs w:val="18"/>
              </w:rPr>
              <w:t xml:space="preserve">usage_hourly</w:t>
            </w:r>
          </w:p>
        </w:tc>
        <w:tc>
          <w:tcPr>
            <w:tcW w:w="3583" w:type="dxa"/>
            <w:shd w:val="clear" w:color="auto" w:fill="F4F7FC"/>
          </w:tcPr>
          <w:p>
            <w:pPr>
              <w:pStyle w:val="TableText"/>
            </w:pPr>
            <w:r>
              <w:rPr>
                <w:sz w:val="18"/>
                <w:szCs w:val="18"/>
              </w:rPr>
              <w:t xml:space="preserve">Agrégats horaires (somme, min, max, échantillons)</w:t>
            </w:r>
          </w:p>
        </w:tc>
        <w:tc>
          <w:tcPr>
            <w:tcW w:w="2224" w:type="dxa"/>
            <w:shd w:val="clear" w:color="auto" w:fill="F4F7FC"/>
          </w:tcPr>
          <w:p>
            <w:pPr>
              <w:pStyle w:val="TableText"/>
            </w:pPr>
            <w:r>
              <w:rPr>
                <w:sz w:val="18"/>
                <w:szCs w:val="18"/>
              </w:rPr>
              <w:t xml:space="preserve">24 lignes / feature / jour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license_session</w:t>
            </w:r>
          </w:p>
        </w:tc>
        <w:tc>
          <w:tcPr>
            <w:tcW w:w="3583" w:type="dxa"/>
          </w:tcPr>
          <w:p>
            <w:pPr>
              <w:pStyle w:val="TableText"/>
            </w:pPr>
            <w:r>
              <w:rPr>
                <w:sz w:val="18"/>
                <w:szCs w:val="18"/>
              </w:rPr>
              <w:t xml:space="preserve">Sessions d'utilisation reconstituées</w:t>
            </w:r>
          </w:p>
        </w:tc>
        <w:tc>
          <w:tcPr>
            <w:tcW w:w="2224" w:type="dxa"/>
          </w:tcPr>
          <w:p>
            <w:pPr>
              <w:pStyle w:val="TableText"/>
            </w:pPr>
            <w:r>
              <w:rPr>
                <w:sz w:val="18"/>
                <w:szCs w:val="18"/>
              </w:rPr>
              <w:t xml:space="preserve">Selon l'activité (milliers / mois)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license_event</w:t>
            </w:r>
          </w:p>
        </w:tc>
        <w:tc>
          <w:tcPr>
            <w:tcW w:w="3583" w:type="dxa"/>
            <w:shd w:val="clear" w:color="auto" w:fill="F4F7FC"/>
          </w:tcPr>
          <w:p>
            <w:pPr>
              <w:pStyle w:val="TableText"/>
            </w:pPr>
            <w:r>
              <w:rPr>
                <w:sz w:val="18"/>
                <w:szCs w:val="18"/>
              </w:rPr>
              <w:t xml:space="preserve">Refus, files d'attente, arrêts de démon</w:t>
            </w:r>
          </w:p>
        </w:tc>
        <w:tc>
          <w:tcPr>
            <w:tcW w:w="2224" w:type="dxa"/>
            <w:shd w:val="clear" w:color="auto" w:fill="F4F7FC"/>
          </w:tcPr>
          <w:p>
            <w:pPr>
              <w:pStyle w:val="TableText"/>
            </w:pPr>
            <w:r>
              <w:rPr>
                <w:sz w:val="18"/>
                <w:szCs w:val="18"/>
              </w:rPr>
              <w:t xml:space="preserve">Selon l'activité</w:t>
            </w:r>
          </w:p>
        </w:tc>
        <w:tc>
          <w:tcPr>
            <w:tcW w:w="1853" w:type="dxa"/>
            <w:shd w:val="clear" w:color="auto" w:fill="F4F7FC"/>
          </w:tcPr>
          <w:p>
            <w:pPr>
              <w:pStyle w:val="TableText"/>
            </w:pPr>
            <w:r>
              <w:rPr>
                <w:sz w:val="18"/>
                <w:szCs w:val="18"/>
              </w:rPr>
              <w:t xml:space="preserve">730 jours (</w:t>
            </w:r>
            <w:r>
              <w:rPr>
                <w:rFonts w:ascii="Consolas" w:hAnsi="Consolas" w:cs="Consolas"/>
                <w:color w:val="1C5CAB"/>
                <w:sz w:val="18"/>
                <w:szCs w:val="18"/>
                <w:shd w:val="clear" w:color="auto" w:fill="EEF3FA"/>
              </w:rPr>
              <w:t xml:space="preserve">events_days</w:t>
            </w:r>
            <w:r>
              <w:rPr>
                <w:sz w:val="18"/>
                <w:szCs w:val="18"/>
              </w:rPr>
              <w:t xml:space="preserve">)</w:t>
            </w:r>
          </w:p>
        </w:tc>
      </w:tr>
      <w:tr>
        <w:trPr>
          <w:cantSplit/>
        </w:trPr>
        <w:tc>
          <w:tcPr>
            <w:tcW w:w="1977" w:type="dxa"/>
          </w:tcPr>
          <w:p>
            <w:pPr>
              <w:pStyle w:val="TableText"/>
            </w:pPr>
            <w:r>
              <w:rPr>
                <w:sz w:val="18"/>
                <w:szCs w:val="18"/>
              </w:rPr>
              <w:t xml:space="preserve">collection_run</w:t>
            </w:r>
          </w:p>
        </w:tc>
        <w:tc>
          <w:tcPr>
            <w:tcW w:w="3583" w:type="dxa"/>
          </w:tcPr>
          <w:p>
            <w:pPr>
              <w:pStyle w:val="TableText"/>
            </w:pPr>
            <w:r>
              <w:rPr>
                <w:sz w:val="18"/>
                <w:szCs w:val="18"/>
              </w:rPr>
              <w:t xml:space="preserve">Journal des collectes (OK / ERROR, message)</w:t>
            </w:r>
          </w:p>
        </w:tc>
        <w:tc>
          <w:tcPr>
            <w:tcW w:w="2224" w:type="dxa"/>
          </w:tcPr>
          <w:p>
            <w:pPr>
              <w:pStyle w:val="TableText"/>
            </w:pPr>
            <w:r>
              <w:rPr>
                <w:sz w:val="18"/>
                <w:szCs w:val="18"/>
              </w:rPr>
              <w:t xml:space="preserve">≈ 290 lignes / serveur / jour</w:t>
            </w:r>
          </w:p>
        </w:tc>
        <w:tc>
          <w:tcPr>
            <w:tcW w:w="1853" w:type="dxa"/>
          </w:tcPr>
          <w:p>
            <w:pPr>
              <w:pStyle w:val="TableText"/>
            </w:pPr>
            <w:r>
              <w:rPr>
                <w:sz w:val="18"/>
                <w:szCs w:val="18"/>
              </w:rPr>
              <w:t xml:space="preserve">730 jours</w:t>
            </w:r>
          </w:p>
        </w:tc>
      </w:tr>
      <w:tr>
        <w:trPr>
          <w:cantSplit/>
        </w:trPr>
        <w:tc>
          <w:tcPr>
            <w:tcW w:w="1977" w:type="dxa"/>
            <w:shd w:val="clear" w:color="auto" w:fill="F4F7FC"/>
          </w:tcPr>
          <w:p>
            <w:pPr>
              <w:pStyle w:val="TableText"/>
            </w:pPr>
            <w:r>
              <w:rPr>
                <w:sz w:val="18"/>
                <w:szCs w:val="18"/>
              </w:rPr>
              <w:t xml:space="preserve">collector_state</w:t>
            </w:r>
          </w:p>
        </w:tc>
        <w:tc>
          <w:tcPr>
            <w:tcW w:w="3583" w:type="dxa"/>
            <w:shd w:val="clear" w:color="auto" w:fill="F4F7FC"/>
          </w:tcPr>
          <w:p>
            <w:pPr>
              <w:pStyle w:val="TableText"/>
            </w:pPr>
            <w:r>
              <w:rPr>
                <w:sz w:val="18"/>
                <w:szCs w:val="18"/>
              </w:rPr>
              <w:t xml:space="preserve">État de lecture des logs (offset, rotation)</w:t>
            </w:r>
          </w:p>
        </w:tc>
        <w:tc>
          <w:tcPr>
            <w:tcW w:w="2224" w:type="dxa"/>
            <w:shd w:val="clear" w:color="auto" w:fill="F4F7FC"/>
          </w:tcPr>
          <w:p>
            <w:pPr>
              <w:pStyle w:val="TableText"/>
            </w:pPr>
            <w:r>
              <w:rPr>
                <w:sz w:val="18"/>
                <w:szCs w:val="18"/>
              </w:rPr>
              <w:t xml:space="preserve">1 ligne / collecteur</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app_user, workstation</w:t>
            </w:r>
          </w:p>
        </w:tc>
        <w:tc>
          <w:tcPr>
            <w:tcW w:w="3583" w:type="dxa"/>
          </w:tcPr>
          <w:p>
            <w:pPr>
              <w:pStyle w:val="TableText"/>
            </w:pPr>
            <w:r>
              <w:rPr>
                <w:sz w:val="18"/>
                <w:szCs w:val="18"/>
              </w:rPr>
              <w:t xml:space="preserve">Utilisateurs (nom, service) et postes</w:t>
            </w:r>
          </w:p>
        </w:tc>
        <w:tc>
          <w:tcPr>
            <w:tcW w:w="2224" w:type="dxa"/>
          </w:tcPr>
          <w:p>
            <w:pPr>
              <w:pStyle w:val="TableText"/>
            </w:pPr>
            <w:r>
              <w:rPr>
                <w:sz w:val="18"/>
                <w:szCs w:val="18"/>
              </w:rPr>
              <w:t xml:space="preserve">Centaines</w:t>
            </w:r>
          </w:p>
        </w:tc>
        <w:tc>
          <w:tcPr>
            <w:tcW w:w="1853" w:type="dxa"/>
          </w:tcPr>
          <w:p>
            <w:pPr>
              <w:pStyle w:val="TableText"/>
            </w:pPr>
            <w:r>
              <w:rPr>
                <w:sz w:val="18"/>
                <w:szCs w:val="18"/>
              </w:rPr>
              <w:t xml:space="preserve">Permanente</w:t>
            </w:r>
          </w:p>
        </w:tc>
      </w:tr>
      <w:tr>
        <w:trPr>
          <w:cantSplit/>
        </w:trPr>
        <w:tc>
          <w:tcPr>
            <w:tcW w:w="1977" w:type="dxa"/>
            <w:shd w:val="clear" w:color="auto" w:fill="F4F7FC"/>
          </w:tcPr>
          <w:p>
            <w:pPr>
              <w:pStyle w:val="TableText"/>
            </w:pPr>
            <w:r>
              <w:rPr>
                <w:sz w:val="18"/>
                <w:szCs w:val="18"/>
              </w:rPr>
              <w:t xml:space="preserve">report_delivery</w:t>
            </w:r>
          </w:p>
        </w:tc>
        <w:tc>
          <w:tcPr>
            <w:tcW w:w="3583" w:type="dxa"/>
            <w:shd w:val="clear" w:color="auto" w:fill="F4F7FC"/>
          </w:tcPr>
          <w:p>
            <w:pPr>
              <w:pStyle w:val="TableText"/>
            </w:pPr>
            <w:r>
              <w:rPr>
                <w:sz w:val="18"/>
                <w:szCs w:val="18"/>
              </w:rPr>
              <w:t xml:space="preserve">Traçabilité des envois d'e-mails</w:t>
            </w:r>
          </w:p>
        </w:tc>
        <w:tc>
          <w:tcPr>
            <w:tcW w:w="2224" w:type="dxa"/>
            <w:shd w:val="clear" w:color="auto" w:fill="F4F7FC"/>
          </w:tcPr>
          <w:p>
            <w:pPr>
              <w:pStyle w:val="TableText"/>
            </w:pPr>
            <w:r>
              <w:rPr>
                <w:sz w:val="18"/>
                <w:szCs w:val="18"/>
              </w:rPr>
              <w:t xml:space="preserve">Quelques lignes / mois</w:t>
            </w:r>
          </w:p>
        </w:tc>
        <w:tc>
          <w:tcPr>
            <w:tcW w:w="1853" w:type="dxa"/>
            <w:shd w:val="clear" w:color="auto" w:fill="F4F7FC"/>
          </w:tcPr>
          <w:p>
            <w:pPr>
              <w:pStyle w:val="TableText"/>
            </w:pPr>
            <w:r>
              <w:rPr>
                <w:sz w:val="18"/>
                <w:szCs w:val="18"/>
              </w:rPr>
              <w:t xml:space="preserve">Permanente</w:t>
            </w:r>
          </w:p>
        </w:tc>
      </w:tr>
      <w:tr>
        <w:trPr>
          <w:cantSplit/>
        </w:trPr>
        <w:tc>
          <w:tcPr>
            <w:tcW w:w="1977" w:type="dxa"/>
          </w:tcPr>
          <w:p>
            <w:pPr>
              <w:pStyle w:val="TableText"/>
            </w:pPr>
            <w:r>
              <w:rPr>
                <w:sz w:val="18"/>
                <w:szCs w:val="18"/>
              </w:rPr>
              <w:t xml:space="preserve">schema_info</w:t>
            </w:r>
          </w:p>
        </w:tc>
        <w:tc>
          <w:tcPr>
            <w:tcW w:w="3583" w:type="dxa"/>
          </w:tcPr>
          <w:p>
            <w:pPr>
              <w:pStyle w:val="TableText"/>
            </w:pPr>
            <w:r>
              <w:rPr>
                <w:sz w:val="18"/>
                <w:szCs w:val="18"/>
              </w:rPr>
              <w:t xml:space="preserve">Version du schéma (3)</w:t>
            </w:r>
          </w:p>
        </w:tc>
        <w:tc>
          <w:tcPr>
            <w:tcW w:w="2224" w:type="dxa"/>
          </w:tcPr>
          <w:p>
            <w:pPr>
              <w:pStyle w:val="TableText"/>
            </w:pPr>
            <w:r>
              <w:rPr>
                <w:sz w:val="18"/>
                <w:szCs w:val="18"/>
              </w:rPr>
              <w:t xml:space="preserve">1 ligne</w:t>
            </w:r>
          </w:p>
        </w:tc>
        <w:tc>
          <w:tcPr>
            <w:tcW w:w="1853" w:type="dxa"/>
          </w:tcPr>
          <w:p>
            <w:pPr>
              <w:pStyle w:val="TableText"/>
            </w:pPr>
            <w:r>
              <w:rPr>
                <w:sz w:val="18"/>
                <w:szCs w:val="18"/>
              </w:rPr>
              <w:t xml:space="preserve">Permanente</w:t>
            </w:r>
          </w:p>
        </w:tc>
      </w:tr>
    </w:tbl>
    <w:p>
      <w:pPr>
        <w:spacing w:after="80"/>
      </w:pPr>
    </w:p>
    <w:p>
      <w:pPr/>
      <w:r>
        <w:rPr/>
        <w:t xml:space="preserve">Ordre de grandeur : pour 50 features sondées toutes les 5 minutes, la base atteint environ 1 à 2 Go après un an (sondages bruts purgés à 90 jours). Les vues </w:t>
      </w:r>
      <w:r>
        <w:rPr>
          <w:rFonts w:ascii="Consolas" w:hAnsi="Consolas" w:cs="Consolas"/>
          <w:color w:val="1C5CAB"/>
          <w:sz w:val="18"/>
          <w:szCs w:val="18"/>
          <w:shd w:val="clear" w:color="auto" w:fill="EEF3FA"/>
        </w:rPr>
        <w:t xml:space="preserve">v_session_detail</w:t>
      </w:r>
      <w:r>
        <w:rPr/>
        <w:t xml:space="preserve">, </w:t>
      </w:r>
      <w:r>
        <w:rPr>
          <w:rFonts w:ascii="Consolas" w:hAnsi="Consolas" w:cs="Consolas"/>
          <w:color w:val="1C5CAB"/>
          <w:sz w:val="18"/>
          <w:szCs w:val="18"/>
          <w:shd w:val="clear" w:color="auto" w:fill="EEF3FA"/>
        </w:rPr>
        <w:t xml:space="preserve">v_usage_hourly</w:t>
      </w:r>
      <w:r>
        <w:rPr/>
        <w:t xml:space="preserve"> et </w:t>
      </w:r>
      <w:r>
        <w:rPr>
          <w:rFonts w:ascii="Consolas" w:hAnsi="Consolas" w:cs="Consolas"/>
          <w:color w:val="1C5CAB"/>
          <w:sz w:val="18"/>
          <w:szCs w:val="18"/>
          <w:shd w:val="clear" w:color="auto" w:fill="EEF3FA"/>
        </w:rPr>
        <w:t xml:space="preserve">v_denial</w:t>
      </w:r>
      <w:r>
        <w:rPr/>
        <w:t xml:space="preserve"> permettent des requêtes ad hoc depuis Excel ou Power BI.</w:t>
      </w:r>
    </w:p>
    <w:p>
      <w:pPr>
        <w:pStyle w:val="Heading2"/>
      </w:pPr>
      <w:bookmarkStart w:id="22" w:name="_Toc00022"/>
      <w:r>
        <w:rPr/>
        <w:t xml:space="preserve">3.6 Arborescence d'installation</w:t>
      </w:r>
      <w:bookmarkEnd w:id="22"/>
    </w:p>
    <w:p>
      <w:pPr>
        <w:pStyle w:val="Caption"/>
        <w:keepNext/>
      </w:pPr>
      <w:r>
        <w:rPr/>
        <w:t xml:space="preserve">Tableau 9 – Arborescence de référence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3579"/>
        <w:gridCol w:w="3304"/>
      </w:tblGrid>
      <w:tr>
        <w:trPr>
          <w:tblHeader/>
          <w:cantSplit/>
        </w:trPr>
        <w:tc>
          <w:tcPr>
            <w:tcW w:w="2753" w:type="dxa"/>
            <w:shd w:val="clear" w:color="auto" w:fill="2A78D6"/>
          </w:tcPr>
          <w:p>
            <w:pPr>
              <w:pStyle w:val="TableText"/>
            </w:pPr>
            <w:r>
              <w:rPr>
                <w:b/>
                <w:color w:val="FFFFFF"/>
                <w:sz w:val="18"/>
                <w:szCs w:val="18"/>
              </w:rPr>
              <w:t xml:space="preserve">Chemin</w:t>
            </w:r>
          </w:p>
        </w:tc>
        <w:tc>
          <w:tcPr>
            <w:tcW w:w="3579"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Droits NTFS</w:t>
            </w:r>
          </w:p>
        </w:tc>
      </w:tr>
      <w:tr>
        <w:trPr>
          <w:cantSplit/>
        </w:trPr>
        <w:tc>
          <w:tcPr>
            <w:tcW w:w="2753" w:type="dxa"/>
          </w:tcPr>
          <w:p>
            <w:pPr>
              <w:pStyle w:val="TableText"/>
            </w:pPr>
            <w:r>
              <w:rPr>
                <w:sz w:val="18"/>
                <w:szCs w:val="18"/>
              </w:rPr>
              <w:t xml:space="preserve">C:\FreeLM\FreeLM.exe</w:t>
            </w:r>
          </w:p>
        </w:tc>
        <w:tc>
          <w:tcPr>
            <w:tcW w:w="3579" w:type="dxa"/>
          </w:tcPr>
          <w:p>
            <w:pPr>
              <w:pStyle w:val="TableText"/>
            </w:pPr>
            <w:r>
              <w:rPr>
                <w:sz w:val="18"/>
                <w:szCs w:val="18"/>
              </w:rPr>
              <w:t xml:space="preserve">Exécutable (ou venv\ si installation Python)</w:t>
            </w:r>
          </w:p>
        </w:tc>
        <w:tc>
          <w:tcPr>
            <w:tcW w:w="3304" w:type="dxa"/>
          </w:tcPr>
          <w:p>
            <w:pPr>
              <w:pStyle w:val="TableText"/>
            </w:pPr>
            <w:r>
              <w:rPr>
                <w:sz w:val="18"/>
                <w:szCs w:val="18"/>
              </w:rPr>
              <w:t xml:space="preserve">Lecture : compte de service ; modification : administrateurs</w:t>
            </w:r>
          </w:p>
        </w:tc>
      </w:tr>
      <w:tr>
        <w:trPr>
          <w:cantSplit/>
        </w:trPr>
        <w:tc>
          <w:tcPr>
            <w:tcW w:w="2753" w:type="dxa"/>
            <w:shd w:val="clear" w:color="auto" w:fill="F4F7FC"/>
          </w:tcPr>
          <w:p>
            <w:pPr>
              <w:pStyle w:val="TableText"/>
            </w:pPr>
            <w:r>
              <w:rPr>
                <w:sz w:val="18"/>
                <w:szCs w:val="18"/>
              </w:rPr>
              <w:t xml:space="preserve">C:\FreeLM\freelm.yaml</w:t>
            </w:r>
          </w:p>
        </w:tc>
        <w:tc>
          <w:tcPr>
            <w:tcW w:w="3579" w:type="dxa"/>
            <w:shd w:val="clear" w:color="auto" w:fill="F4F7FC"/>
          </w:tcPr>
          <w:p>
            <w:pPr>
              <w:pStyle w:val="TableText"/>
            </w:pPr>
            <w:r>
              <w:rPr>
                <w:sz w:val="18"/>
                <w:szCs w:val="18"/>
              </w:rPr>
              <w:t xml:space="preserve">Configuration</w:t>
            </w:r>
          </w:p>
        </w:tc>
        <w:tc>
          <w:tcPr>
            <w:tcW w:w="3304" w:type="dxa"/>
            <w:shd w:val="clear" w:color="auto" w:fill="F4F7FC"/>
          </w:tcPr>
          <w:p>
            <w:pPr>
              <w:pStyle w:val="TableText"/>
            </w:pPr>
            <w:r>
              <w:rPr>
                <w:sz w:val="18"/>
                <w:szCs w:val="18"/>
              </w:rPr>
              <w:t xml:space="preserve">Lecture : compte de service ; modification : administrateurs</w:t>
            </w:r>
          </w:p>
        </w:tc>
      </w:tr>
      <w:tr>
        <w:trPr>
          <w:cantSplit/>
        </w:trPr>
        <w:tc>
          <w:tcPr>
            <w:tcW w:w="2753" w:type="dxa"/>
          </w:tcPr>
          <w:p>
            <w:pPr>
              <w:pStyle w:val="TableText"/>
            </w:pPr>
            <w:r>
              <w:rPr>
                <w:sz w:val="18"/>
                <w:szCs w:val="18"/>
              </w:rPr>
              <w:t xml:space="preserve">C:\FreeLM\bin\lmutil.exe</w:t>
            </w:r>
          </w:p>
        </w:tc>
        <w:tc>
          <w:tcPr>
            <w:tcW w:w="3579" w:type="dxa"/>
          </w:tcPr>
          <w:p>
            <w:pPr>
              <w:pStyle w:val="TableText"/>
            </w:pPr>
            <w:r>
              <w:rPr>
                <w:sz w:val="18"/>
                <w:szCs w:val="18"/>
              </w:rPr>
              <w:t xml:space="preserve">Outil FlexLM</w:t>
            </w:r>
          </w:p>
        </w:tc>
        <w:tc>
          <w:tcPr>
            <w:tcW w:w="3304" w:type="dxa"/>
          </w:tcPr>
          <w:p>
            <w:pPr>
              <w:pStyle w:val="TableText"/>
            </w:pPr>
            <w:r>
              <w:rPr>
                <w:sz w:val="18"/>
                <w:szCs w:val="18"/>
              </w:rPr>
              <w:t xml:space="preserve">Lecture / exécution : compte de service</w:t>
            </w:r>
          </w:p>
        </w:tc>
      </w:tr>
      <w:tr>
        <w:trPr>
          <w:cantSplit/>
        </w:trPr>
        <w:tc>
          <w:tcPr>
            <w:tcW w:w="2753" w:type="dxa"/>
            <w:shd w:val="clear" w:color="auto" w:fill="F4F7FC"/>
          </w:tcPr>
          <w:p>
            <w:pPr>
              <w:pStyle w:val="TableText"/>
            </w:pPr>
            <w:r>
              <w:rPr>
                <w:sz w:val="18"/>
                <w:szCs w:val="18"/>
              </w:rPr>
              <w:t xml:space="preserve">C:\FreeLM\certs\</w:t>
            </w:r>
          </w:p>
        </w:tc>
        <w:tc>
          <w:tcPr>
            <w:tcW w:w="3579" w:type="dxa"/>
            <w:shd w:val="clear" w:color="auto" w:fill="F4F7FC"/>
          </w:tcPr>
          <w:p>
            <w:pPr>
              <w:pStyle w:val="TableText"/>
            </w:pPr>
            <w:r>
              <w:rPr>
                <w:sz w:val="18"/>
                <w:szCs w:val="18"/>
              </w:rPr>
              <w:t xml:space="preserve">Certificat et clé HTTPS, AC interne</w:t>
            </w:r>
          </w:p>
        </w:tc>
        <w:tc>
          <w:tcPr>
            <w:tcW w:w="3304" w:type="dxa"/>
            <w:shd w:val="clear" w:color="auto" w:fill="F4F7FC"/>
          </w:tcPr>
          <w:p>
            <w:pPr>
              <w:pStyle w:val="TableText"/>
            </w:pPr>
            <w:r>
              <w:rPr>
                <w:sz w:val="18"/>
                <w:szCs w:val="18"/>
              </w:rPr>
              <w:t xml:space="preserve">Lecture : compte de service uniquement</w:t>
            </w:r>
          </w:p>
        </w:tc>
      </w:tr>
      <w:tr>
        <w:trPr>
          <w:cantSplit/>
        </w:trPr>
        <w:tc>
          <w:tcPr>
            <w:tcW w:w="2753" w:type="dxa"/>
          </w:tcPr>
          <w:p>
            <w:pPr>
              <w:pStyle w:val="TableText"/>
            </w:pPr>
            <w:r>
              <w:rPr>
                <w:sz w:val="18"/>
                <w:szCs w:val="18"/>
              </w:rPr>
              <w:t xml:space="preserve">C:\FreeLM\logs\</w:t>
            </w:r>
          </w:p>
        </w:tc>
        <w:tc>
          <w:tcPr>
            <w:tcW w:w="3579" w:type="dxa"/>
          </w:tcPr>
          <w:p>
            <w:pPr>
              <w:pStyle w:val="TableText"/>
            </w:pPr>
            <w:r>
              <w:rPr>
                <w:sz w:val="18"/>
                <w:szCs w:val="18"/>
              </w:rPr>
              <w:t xml:space="preserve">freelm.log (journal technique et d'audit, rotation 5 × 5 Mo)</w:t>
            </w:r>
          </w:p>
        </w:tc>
        <w:tc>
          <w:tcPr>
            <w:tcW w:w="3304" w:type="dxa"/>
          </w:tcPr>
          <w:p>
            <w:pPr>
              <w:pStyle w:val="TableText"/>
            </w:pPr>
            <w:r>
              <w:rPr>
                <w:sz w:val="18"/>
                <w:szCs w:val="18"/>
              </w:rPr>
              <w:t xml:space="preserve">Écriture : compte de service</w:t>
            </w:r>
          </w:p>
        </w:tc>
      </w:tr>
      <w:tr>
        <w:trPr>
          <w:cantSplit/>
        </w:trPr>
        <w:tc>
          <w:tcPr>
            <w:tcW w:w="2753" w:type="dxa"/>
            <w:shd w:val="clear" w:color="auto" w:fill="F4F7FC"/>
          </w:tcPr>
          <w:p>
            <w:pPr>
              <w:pStyle w:val="TableText"/>
            </w:pPr>
            <w:r>
              <w:rPr>
                <w:sz w:val="18"/>
                <w:szCs w:val="18"/>
              </w:rPr>
              <w:t xml:space="preserve">C:\FreeLM\reports\</w:t>
            </w:r>
          </w:p>
        </w:tc>
        <w:tc>
          <w:tcPr>
            <w:tcW w:w="3579" w:type="dxa"/>
            <w:shd w:val="clear" w:color="auto" w:fill="F4F7FC"/>
          </w:tcPr>
          <w:p>
            <w:pPr>
              <w:pStyle w:val="TableText"/>
            </w:pPr>
            <w:r>
              <w:rPr>
                <w:sz w:val="18"/>
                <w:szCs w:val="18"/>
              </w:rPr>
              <w:t xml:space="preserve">Rapports Excel mensuels</w:t>
            </w:r>
          </w:p>
        </w:tc>
        <w:tc>
          <w:tcPr>
            <w:tcW w:w="3304" w:type="dxa"/>
            <w:shd w:val="clear" w:color="auto" w:fill="F4F7FC"/>
          </w:tcPr>
          <w:p>
            <w:pPr>
              <w:pStyle w:val="TableText"/>
            </w:pPr>
            <w:r>
              <w:rPr>
                <w:sz w:val="18"/>
                <w:szCs w:val="18"/>
              </w:rPr>
              <w:t xml:space="preserve">Écriture : compte de service ; lecture : destinataires</w:t>
            </w:r>
          </w:p>
        </w:tc>
      </w:tr>
      <w:tr>
        <w:trPr>
          <w:cantSplit/>
        </w:trPr>
        <w:tc>
          <w:tcPr>
            <w:tcW w:w="2753" w:type="dxa"/>
          </w:tcPr>
          <w:p>
            <w:pPr>
              <w:pStyle w:val="TableText"/>
            </w:pPr>
            <w:r>
              <w:rPr>
                <w:sz w:val="18"/>
                <w:szCs w:val="18"/>
              </w:rPr>
              <w:t xml:space="preserve">C:\FreeLM\scripts\</w:t>
            </w:r>
          </w:p>
        </w:tc>
        <w:tc>
          <w:tcPr>
            <w:tcW w:w="3579" w:type="dxa"/>
          </w:tcPr>
          <w:p>
            <w:pPr>
              <w:pStyle w:val="TableText"/>
            </w:pPr>
            <w:r>
              <w:rPr>
                <w:sz w:val="18"/>
                <w:szCs w:val="18"/>
              </w:rPr>
              <w:t xml:space="preserve">register_tasks.ps1, freelm_collect.bat, freelm_report.bat</w:t>
            </w:r>
          </w:p>
        </w:tc>
        <w:tc>
          <w:tcPr>
            <w:tcW w:w="3304" w:type="dxa"/>
          </w:tcPr>
          <w:p>
            <w:pPr>
              <w:pStyle w:val="TableText"/>
            </w:pPr>
            <w:r>
              <w:rPr>
                <w:sz w:val="18"/>
                <w:szCs w:val="18"/>
              </w:rPr>
              <w:t xml:space="preserve">Administrateurs</w:t>
            </w:r>
          </w:p>
        </w:tc>
      </w:tr>
      <w:tr>
        <w:trPr>
          <w:cantSplit/>
        </w:trPr>
        <w:tc>
          <w:tcPr>
            <w:tcW w:w="2753" w:type="dxa"/>
            <w:shd w:val="clear" w:color="auto" w:fill="F4F7FC"/>
          </w:tcPr>
          <w:p>
            <w:pPr>
              <w:pStyle w:val="TableText"/>
            </w:pPr>
            <w:r>
              <w:rPr>
                <w:sz w:val="18"/>
                <w:szCs w:val="18"/>
              </w:rPr>
              <w:t xml:space="preserve">C:\FreeLM\sql\sqlserver\</w:t>
            </w:r>
          </w:p>
        </w:tc>
        <w:tc>
          <w:tcPr>
            <w:tcW w:w="3579" w:type="dxa"/>
            <w:shd w:val="clear" w:color="auto" w:fill="F4F7FC"/>
          </w:tcPr>
          <w:p>
            <w:pPr>
              <w:pStyle w:val="TableText"/>
            </w:pPr>
            <w:r>
              <w:rPr>
                <w:sz w:val="18"/>
                <w:szCs w:val="18"/>
              </w:rPr>
              <w:t xml:space="preserve">00_create_database.sql, 01_schema.sql</w:t>
            </w:r>
          </w:p>
        </w:tc>
        <w:tc>
          <w:tcPr>
            <w:tcW w:w="3304" w:type="dxa"/>
            <w:shd w:val="clear" w:color="auto" w:fill="F4F7FC"/>
          </w:tcPr>
          <w:p>
            <w:pPr>
              <w:pStyle w:val="TableText"/>
            </w:pPr>
            <w:r>
              <w:rPr>
                <w:sz w:val="18"/>
                <w:szCs w:val="18"/>
              </w:rPr>
              <w:t xml:space="preserve">Administrateurs</w:t>
            </w:r>
          </w:p>
        </w:tc>
      </w:tr>
    </w:tbl>
    <w:p>
      <w:pPr>
        <w:spacing w:after="80"/>
      </w:pPr>
    </w:p>
    <w:p>
      <w:pPr>
        <w:pStyle w:val="Heading1"/>
      </w:pPr>
      <w:bookmarkStart w:id="23" w:name="_Toc00023"/>
      <w:r>
        <w:rPr/>
        <w:t xml:space="preserve">4. Prérequis</w:t>
      </w:r>
      <w:bookmarkEnd w:id="23"/>
    </w:p>
    <w:p>
      <w:pPr>
        <w:pStyle w:val="Heading2"/>
      </w:pPr>
      <w:bookmarkStart w:id="24" w:name="_Toc00024"/>
      <w:r>
        <w:rPr/>
        <w:t xml:space="preserve">4.1 Serveur FreeLM</w:t>
      </w:r>
      <w:bookmarkEnd w:id="24"/>
    </w:p>
    <w:p>
      <w:pPr>
        <w:pStyle w:val="Caption"/>
        <w:keepNext/>
      </w:pPr>
      <w:r>
        <w:rPr/>
        <w:t xml:space="preserve">Tableau 10 – Dimensionnement du serveur FreeLM</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44"/>
        <w:gridCol w:w="3796"/>
        <w:gridCol w:w="3796"/>
      </w:tblGrid>
      <w:tr>
        <w:trPr>
          <w:tblHeader/>
          <w:cantSplit/>
        </w:trPr>
        <w:tc>
          <w:tcPr>
            <w:tcW w:w="2044" w:type="dxa"/>
            <w:shd w:val="clear" w:color="auto" w:fill="2A78D6"/>
          </w:tcPr>
          <w:p>
            <w:pPr>
              <w:pStyle w:val="TableText"/>
            </w:pPr>
            <w:r>
              <w:rPr>
                <w:b/>
                <w:color w:val="FFFFFF"/>
                <w:sz w:val="18"/>
                <w:szCs w:val="18"/>
              </w:rPr>
              <w:t xml:space="preserve">Élément</w:t>
            </w:r>
          </w:p>
        </w:tc>
        <w:tc>
          <w:tcPr>
            <w:tcW w:w="3796" w:type="dxa"/>
            <w:shd w:val="clear" w:color="auto" w:fill="2A78D6"/>
          </w:tcPr>
          <w:p>
            <w:pPr>
              <w:pStyle w:val="TableText"/>
            </w:pPr>
            <w:r>
              <w:rPr>
                <w:b/>
                <w:color w:val="FFFFFF"/>
                <w:sz w:val="18"/>
                <w:szCs w:val="18"/>
              </w:rPr>
              <w:t xml:space="preserve">Minimum</w:t>
            </w:r>
          </w:p>
        </w:tc>
        <w:tc>
          <w:tcPr>
            <w:tcW w:w="3796" w:type="dxa"/>
            <w:shd w:val="clear" w:color="auto" w:fill="2A78D6"/>
          </w:tcPr>
          <w:p>
            <w:pPr>
              <w:pStyle w:val="TableText"/>
            </w:pPr>
            <w:r>
              <w:rPr>
                <w:b/>
                <w:color w:val="FFFFFF"/>
                <w:sz w:val="18"/>
                <w:szCs w:val="18"/>
              </w:rPr>
              <w:t xml:space="preserve">Recommandé</w:t>
            </w:r>
          </w:p>
        </w:tc>
      </w:tr>
      <w:tr>
        <w:trPr>
          <w:cantSplit/>
        </w:trPr>
        <w:tc>
          <w:tcPr>
            <w:tcW w:w="2044" w:type="dxa"/>
          </w:tcPr>
          <w:p>
            <w:pPr>
              <w:pStyle w:val="TableText"/>
            </w:pPr>
            <w:r>
              <w:rPr>
                <w:sz w:val="18"/>
                <w:szCs w:val="18"/>
              </w:rPr>
              <w:t xml:space="preserve">Système</w:t>
            </w:r>
          </w:p>
        </w:tc>
        <w:tc>
          <w:tcPr>
            <w:tcW w:w="3796" w:type="dxa"/>
          </w:tcPr>
          <w:p>
            <w:pPr>
              <w:pStyle w:val="TableText"/>
            </w:pPr>
            <w:r>
              <w:rPr>
                <w:sz w:val="18"/>
                <w:szCs w:val="18"/>
              </w:rPr>
              <w:t xml:space="preserve">Windows Server 2016</w:t>
            </w:r>
          </w:p>
        </w:tc>
        <w:tc>
          <w:tcPr>
            <w:tcW w:w="3796" w:type="dxa"/>
          </w:tcPr>
          <w:p>
            <w:pPr>
              <w:pStyle w:val="TableText"/>
            </w:pPr>
            <w:r>
              <w:rPr>
                <w:sz w:val="18"/>
                <w:szCs w:val="18"/>
              </w:rPr>
              <w:t xml:space="preserve">Windows Server 2022, membre du domaine</w:t>
            </w:r>
          </w:p>
        </w:tc>
      </w:tr>
      <w:tr>
        <w:trPr>
          <w:cantSplit/>
        </w:trPr>
        <w:tc>
          <w:tcPr>
            <w:tcW w:w="2044" w:type="dxa"/>
            <w:shd w:val="clear" w:color="auto" w:fill="F4F7FC"/>
          </w:tcPr>
          <w:p>
            <w:pPr>
              <w:pStyle w:val="TableText"/>
            </w:pPr>
            <w:r>
              <w:rPr>
                <w:sz w:val="18"/>
                <w:szCs w:val="18"/>
              </w:rPr>
              <w:t xml:space="preserve">Processeur</w:t>
            </w:r>
          </w:p>
        </w:tc>
        <w:tc>
          <w:tcPr>
            <w:tcW w:w="3796" w:type="dxa"/>
            <w:shd w:val="clear" w:color="auto" w:fill="F4F7FC"/>
          </w:tcPr>
          <w:p>
            <w:pPr>
              <w:pStyle w:val="TableText"/>
            </w:pPr>
            <w:r>
              <w:rPr>
                <w:sz w:val="18"/>
                <w:szCs w:val="18"/>
              </w:rPr>
              <w:t xml:space="preserve">2 vCPU</w:t>
            </w:r>
          </w:p>
        </w:tc>
        <w:tc>
          <w:tcPr>
            <w:tcW w:w="3796" w:type="dxa"/>
            <w:shd w:val="clear" w:color="auto" w:fill="F4F7FC"/>
          </w:tcPr>
          <w:p>
            <w:pPr>
              <w:pStyle w:val="TableText"/>
            </w:pPr>
            <w:r>
              <w:rPr>
                <w:sz w:val="18"/>
                <w:szCs w:val="18"/>
              </w:rPr>
              <w:t xml:space="preserve">2 vCPU</w:t>
            </w:r>
          </w:p>
        </w:tc>
      </w:tr>
      <w:tr>
        <w:trPr>
          <w:cantSplit/>
        </w:trPr>
        <w:tc>
          <w:tcPr>
            <w:tcW w:w="2044" w:type="dxa"/>
          </w:tcPr>
          <w:p>
            <w:pPr>
              <w:pStyle w:val="TableText"/>
            </w:pPr>
            <w:r>
              <w:rPr>
                <w:sz w:val="18"/>
                <w:szCs w:val="18"/>
              </w:rPr>
              <w:t xml:space="preserve">Mémoire</w:t>
            </w:r>
          </w:p>
        </w:tc>
        <w:tc>
          <w:tcPr>
            <w:tcW w:w="3796" w:type="dxa"/>
          </w:tcPr>
          <w:p>
            <w:pPr>
              <w:pStyle w:val="TableText"/>
            </w:pPr>
            <w:r>
              <w:rPr>
                <w:sz w:val="18"/>
                <w:szCs w:val="18"/>
              </w:rPr>
              <w:t xml:space="preserve">2 Go</w:t>
            </w:r>
          </w:p>
        </w:tc>
        <w:tc>
          <w:tcPr>
            <w:tcW w:w="3796" w:type="dxa"/>
          </w:tcPr>
          <w:p>
            <w:pPr>
              <w:pStyle w:val="TableText"/>
            </w:pPr>
            <w:r>
              <w:rPr>
                <w:sz w:val="18"/>
                <w:szCs w:val="18"/>
              </w:rPr>
              <w:t xml:space="preserve">4 Go</w:t>
            </w:r>
          </w:p>
        </w:tc>
      </w:tr>
      <w:tr>
        <w:trPr>
          <w:cantSplit/>
        </w:trPr>
        <w:tc>
          <w:tcPr>
            <w:tcW w:w="2044" w:type="dxa"/>
            <w:shd w:val="clear" w:color="auto" w:fill="F4F7FC"/>
          </w:tcPr>
          <w:p>
            <w:pPr>
              <w:pStyle w:val="TableText"/>
            </w:pPr>
            <w:r>
              <w:rPr>
                <w:sz w:val="18"/>
                <w:szCs w:val="18"/>
              </w:rPr>
              <w:t xml:space="preserve">Disque</w:t>
            </w:r>
          </w:p>
        </w:tc>
        <w:tc>
          <w:tcPr>
            <w:tcW w:w="3796" w:type="dxa"/>
            <w:shd w:val="clear" w:color="auto" w:fill="F4F7FC"/>
          </w:tcPr>
          <w:p>
            <w:pPr>
              <w:pStyle w:val="TableText"/>
            </w:pPr>
            <w:r>
              <w:rPr>
                <w:sz w:val="18"/>
                <w:szCs w:val="18"/>
              </w:rPr>
              <w:t xml:space="preserve">2 Go libres (application, journaux, rapports)</w:t>
            </w:r>
          </w:p>
        </w:tc>
        <w:tc>
          <w:tcPr>
            <w:tcW w:w="3796" w:type="dxa"/>
            <w:shd w:val="clear" w:color="auto" w:fill="F4F7FC"/>
          </w:tcPr>
          <w:p>
            <w:pPr>
              <w:pStyle w:val="TableText"/>
            </w:pPr>
            <w:r>
              <w:rPr>
                <w:sz w:val="18"/>
                <w:szCs w:val="18"/>
              </w:rPr>
              <w:t xml:space="preserve">10 Go</w:t>
            </w:r>
          </w:p>
        </w:tc>
      </w:tr>
      <w:tr>
        <w:trPr>
          <w:cantSplit/>
        </w:trPr>
        <w:tc>
          <w:tcPr>
            <w:tcW w:w="2044" w:type="dxa"/>
          </w:tcPr>
          <w:p>
            <w:pPr>
              <w:pStyle w:val="TableText"/>
            </w:pPr>
            <w:r>
              <w:rPr>
                <w:sz w:val="18"/>
                <w:szCs w:val="18"/>
              </w:rPr>
              <w:t xml:space="preserve">Logiciels</w:t>
            </w:r>
          </w:p>
        </w:tc>
        <w:tc>
          <w:tcPr>
            <w:tcW w:w="3796" w:type="dxa"/>
          </w:tcPr>
          <w:p>
            <w:pPr>
              <w:pStyle w:val="TableText"/>
            </w:pPr>
            <w:r>
              <w:rPr>
                <w:sz w:val="18"/>
                <w:szCs w:val="18"/>
              </w:rPr>
              <w:t xml:space="preserve">ODBC Driver 18 for SQL Server, lmutil.exe</w:t>
            </w:r>
          </w:p>
        </w:tc>
        <w:tc>
          <w:tcPr>
            <w:tcW w:w="3796" w:type="dxa"/>
          </w:tcPr>
          <w:p>
            <w:pPr>
              <w:pStyle w:val="TableText"/>
            </w:pPr>
            <w:r>
              <w:rPr>
                <w:sz w:val="18"/>
                <w:szCs w:val="18"/>
              </w:rPr>
              <w:t xml:space="preserve">Idem</w:t>
            </w:r>
          </w:p>
        </w:tc>
      </w:tr>
      <w:tr>
        <w:trPr>
          <w:cantSplit/>
        </w:trPr>
        <w:tc>
          <w:tcPr>
            <w:tcW w:w="2044" w:type="dxa"/>
            <w:shd w:val="clear" w:color="auto" w:fill="F4F7FC"/>
          </w:tcPr>
          <w:p>
            <w:pPr>
              <w:pStyle w:val="TableText"/>
            </w:pPr>
            <w:r>
              <w:rPr>
                <w:sz w:val="18"/>
                <w:szCs w:val="18"/>
              </w:rPr>
              <w:t xml:space="preserve">Réseau</w:t>
            </w:r>
          </w:p>
        </w:tc>
        <w:tc>
          <w:tcPr>
            <w:tcW w:w="3796" w:type="dxa"/>
            <w:shd w:val="clear" w:color="auto" w:fill="F4F7FC"/>
          </w:tcPr>
          <w:p>
            <w:pPr>
              <w:pStyle w:val="TableText"/>
            </w:pPr>
            <w:r>
              <w:rPr>
                <w:sz w:val="18"/>
                <w:szCs w:val="18"/>
              </w:rPr>
              <w:t xml:space="preserve">Flux F2 à F7 ouverts (§ 3.3)</w:t>
            </w:r>
          </w:p>
        </w:tc>
        <w:tc>
          <w:tcPr>
            <w:tcW w:w="3796" w:type="dxa"/>
            <w:shd w:val="clear" w:color="auto" w:fill="F4F7FC"/>
          </w:tcPr>
          <w:p>
            <w:pPr>
              <w:pStyle w:val="TableText"/>
            </w:pPr>
            <w:r>
              <w:rPr>
                <w:sz w:val="18"/>
                <w:szCs w:val="18"/>
              </w:rPr>
              <w:t xml:space="preserve">Nom DNS dédié (ex. freelm.entreprise.local)</w:t>
            </w:r>
          </w:p>
        </w:tc>
      </w:tr>
    </w:tbl>
    <w:p>
      <w:pPr>
        <w:spacing w:after="80"/>
      </w:pPr>
    </w:p>
    <w:p>
      <w:pPr/>
      <w:r>
        <w:rPr/>
        <w:t xml:space="preserve">FreeLM peut cohabiter avec un autre service (serveur d'outils, serveur de licences). La charge est très faible : une collecte dure quelques secondes par serveur de licences.</w:t>
      </w:r>
    </w:p>
    <w:p>
      <w:pPr>
        <w:pStyle w:val="Heading2"/>
      </w:pPr>
      <w:bookmarkStart w:id="25" w:name="_Toc00025"/>
      <w:r>
        <w:rPr/>
        <w:t xml:space="preserve">4.2 Base de données</w:t>
      </w:r>
      <w:bookmarkEnd w:id="25"/>
    </w:p>
    <w:p>
      <w:pPr>
        <w:pStyle w:val="ListParagraph"/>
        <w:numPr>
          <w:ilvl w:val="0"/>
          <w:numId w:val="4"/>
        </w:numPr>
      </w:pPr>
      <w:r>
        <w:rPr/>
        <w:t xml:space="preserve">Instance SQL Server 2016 ou supérieure (édition Express possible pour un petit parc : limite de 10 Go).</w:t>
      </w:r>
    </w:p>
    <w:p>
      <w:pPr>
        <w:pStyle w:val="ListParagraph"/>
        <w:numPr>
          <w:ilvl w:val="0"/>
          <w:numId w:val="4"/>
        </w:numPr>
      </w:pPr>
      <w:r>
        <w:rPr/>
        <w:t xml:space="preserve">Base </w:t>
      </w:r>
      <w:r>
        <w:rPr>
          <w:rFonts w:ascii="Consolas" w:hAnsi="Consolas" w:cs="Consolas"/>
          <w:color w:val="1C5CAB"/>
          <w:sz w:val="18"/>
          <w:szCs w:val="18"/>
          <w:shd w:val="clear" w:color="auto" w:fill="EEF3FA"/>
        </w:rPr>
        <w:t xml:space="preserve">FreeLM</w:t>
      </w:r>
      <w:r>
        <w:rPr/>
        <w:t xml:space="preserve"> en modèle de récupération SIMPLE (données de reporting, reconstructibles partiellement).</w:t>
      </w:r>
    </w:p>
    <w:p>
      <w:pPr>
        <w:pStyle w:val="ListParagraph"/>
        <w:numPr>
          <w:ilvl w:val="0"/>
          <w:numId w:val="4"/>
        </w:numPr>
      </w:pPr>
      <w:r>
        <w:rPr/>
        <w:t xml:space="preserve">Classement (collation) insensible à la casse, par exemple </w:t>
      </w:r>
      <w:r>
        <w:rPr>
          <w:rFonts w:ascii="Consolas" w:hAnsi="Consolas" w:cs="Consolas"/>
          <w:color w:val="1C5CAB"/>
          <w:sz w:val="18"/>
          <w:szCs w:val="18"/>
          <w:shd w:val="clear" w:color="auto" w:fill="EEF3FA"/>
        </w:rPr>
        <w:t xml:space="preserve">French_CI_AS</w:t>
      </w:r>
      <w:r>
        <w:rPr/>
        <w:t xml:space="preserve">.</w:t>
      </w:r>
    </w:p>
    <w:p>
      <w:pPr>
        <w:pStyle w:val="ListParagraph"/>
        <w:numPr>
          <w:ilvl w:val="0"/>
          <w:numId w:val="4"/>
        </w:numPr>
      </w:pPr>
      <w:r>
        <w:rPr/>
        <w:t xml:space="preserve">Chiffrement des connexions : certificat valide sur l'instance (option </w:t>
      </w:r>
      <w:r>
        <w:rPr>
          <w:rFonts w:ascii="Consolas" w:hAnsi="Consolas" w:cs="Consolas"/>
          <w:color w:val="1C5CAB"/>
          <w:sz w:val="18"/>
          <w:szCs w:val="18"/>
          <w:shd w:val="clear" w:color="auto" w:fill="EEF3FA"/>
        </w:rPr>
        <w:t xml:space="preserve">Encrypt=yes</w:t>
      </w:r>
      <w:r>
        <w:rPr/>
        <w:t xml:space="preserve">).</w:t>
      </w:r>
    </w:p>
    <w:p>
      <w:pPr>
        <w:pStyle w:val="Heading2"/>
      </w:pPr>
      <w:bookmarkStart w:id="26" w:name="_Toc00026"/>
      <w:r>
        <w:rPr/>
        <w:t xml:space="preserve">4.3 Comptes et droits</w:t>
      </w:r>
      <w:bookmarkEnd w:id="26"/>
    </w:p>
    <w:p>
      <w:pPr>
        <w:pStyle w:val="Caption"/>
        <w:keepNext/>
      </w:pPr>
      <w:r>
        <w:rPr/>
        <w:t xml:space="preserve">Tableau 11 – Comptes et droits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44"/>
        <w:gridCol w:w="2112"/>
        <w:gridCol w:w="3168"/>
        <w:gridCol w:w="2112"/>
      </w:tblGrid>
      <w:tr>
        <w:trPr>
          <w:tblHeader/>
          <w:cantSplit/>
        </w:trPr>
        <w:tc>
          <w:tcPr>
            <w:tcW w:w="2244" w:type="dxa"/>
            <w:shd w:val="clear" w:color="auto" w:fill="2A78D6"/>
          </w:tcPr>
          <w:p>
            <w:pPr>
              <w:pStyle w:val="TableText"/>
            </w:pPr>
            <w:r>
              <w:rPr>
                <w:b/>
                <w:color w:val="FFFFFF"/>
                <w:sz w:val="18"/>
                <w:szCs w:val="18"/>
              </w:rPr>
              <w:t xml:space="preserve">Compte</w:t>
            </w:r>
          </w:p>
        </w:tc>
        <w:tc>
          <w:tcPr>
            <w:tcW w:w="2112" w:type="dxa"/>
            <w:shd w:val="clear" w:color="auto" w:fill="2A78D6"/>
          </w:tcPr>
          <w:p>
            <w:pPr>
              <w:pStyle w:val="TableText"/>
            </w:pPr>
            <w:r>
              <w:rPr>
                <w:b/>
                <w:color w:val="FFFFFF"/>
                <w:sz w:val="18"/>
                <w:szCs w:val="18"/>
              </w:rPr>
              <w:t xml:space="preserve">Type</w:t>
            </w:r>
          </w:p>
        </w:tc>
        <w:tc>
          <w:tcPr>
            <w:tcW w:w="3168" w:type="dxa"/>
            <w:shd w:val="clear" w:color="auto" w:fill="2A78D6"/>
          </w:tcPr>
          <w:p>
            <w:pPr>
              <w:pStyle w:val="TableText"/>
            </w:pPr>
            <w:r>
              <w:rPr>
                <w:b/>
                <w:color w:val="FFFFFF"/>
                <w:sz w:val="18"/>
                <w:szCs w:val="18"/>
              </w:rPr>
              <w:t xml:space="preserve">Droits</w:t>
            </w:r>
          </w:p>
        </w:tc>
        <w:tc>
          <w:tcPr>
            <w:tcW w:w="2112" w:type="dxa"/>
            <w:shd w:val="clear" w:color="auto" w:fill="2A78D6"/>
          </w:tcPr>
          <w:p>
            <w:pPr>
              <w:pStyle w:val="TableText"/>
            </w:pPr>
            <w:r>
              <w:rPr>
                <w:b/>
                <w:color w:val="FFFFFF"/>
                <w:sz w:val="18"/>
                <w:szCs w:val="18"/>
              </w:rPr>
              <w:t xml:space="preserve">Usage</w:t>
            </w:r>
          </w:p>
        </w:tc>
      </w:tr>
      <w:tr>
        <w:trPr>
          <w:cantSplit/>
        </w:trPr>
        <w:tc>
          <w:tcPr>
            <w:tcW w:w="2244" w:type="dxa"/>
          </w:tcPr>
          <w:p>
            <w:pPr>
              <w:pStyle w:val="TableText"/>
            </w:pPr>
            <w:r>
              <w:rPr>
                <w:sz w:val="18"/>
                <w:szCs w:val="18"/>
              </w:rPr>
              <w:t xml:space="preserve">DOMAINE\gmsa_freelm$</w:t>
            </w:r>
          </w:p>
        </w:tc>
        <w:tc>
          <w:tcPr>
            <w:tcW w:w="2112" w:type="dxa"/>
          </w:tcPr>
          <w:p>
            <w:pPr>
              <w:pStyle w:val="TableText"/>
            </w:pPr>
            <w:r>
              <w:rPr>
                <w:sz w:val="18"/>
                <w:szCs w:val="18"/>
              </w:rPr>
              <w:t xml:space="preserve">gMSA (recommandé) ou compte de service dédié</w:t>
            </w:r>
          </w:p>
        </w:tc>
        <w:tc>
          <w:tcPr>
            <w:tcW w:w="3168" w:type="dxa"/>
          </w:tcPr>
          <w:p>
            <w:pPr>
              <w:pStyle w:val="TableText"/>
            </w:pPr>
            <w:r>
              <w:rPr>
                <w:sz w:val="18"/>
                <w:szCs w:val="18"/>
              </w:rPr>
              <w:t xml:space="preserve">Ouverture de session en tant que tâche ; lecture de C:\FreeLM ; écriture logs\ et reports\ ; lecture des partages de logs FlexLM</w:t>
            </w:r>
          </w:p>
        </w:tc>
        <w:tc>
          <w:tcPr>
            <w:tcW w:w="2112" w:type="dxa"/>
          </w:tcPr>
          <w:p>
            <w:pPr>
              <w:pStyle w:val="TableText"/>
            </w:pPr>
            <w:r>
              <w:rPr>
                <w:sz w:val="18"/>
                <w:szCs w:val="18"/>
              </w:rPr>
              <w:t xml:space="preserve">Exécution de toutes les tâches planifiées</w:t>
            </w:r>
          </w:p>
        </w:tc>
      </w:tr>
      <w:tr>
        <w:trPr>
          <w:cantSplit/>
        </w:trPr>
        <w:tc>
          <w:tcPr>
            <w:tcW w:w="2244" w:type="dxa"/>
            <w:shd w:val="clear" w:color="auto" w:fill="F4F7FC"/>
          </w:tcPr>
          <w:p>
            <w:pPr>
              <w:pStyle w:val="TableText"/>
            </w:pPr>
            <w:r>
              <w:rPr>
                <w:sz w:val="18"/>
                <w:szCs w:val="18"/>
              </w:rPr>
              <w:t xml:space="preserve">Même compte (base)</w:t>
            </w:r>
          </w:p>
        </w:tc>
        <w:tc>
          <w:tcPr>
            <w:tcW w:w="2112" w:type="dxa"/>
            <w:shd w:val="clear" w:color="auto" w:fill="F4F7FC"/>
          </w:tcPr>
          <w:p>
            <w:pPr>
              <w:pStyle w:val="TableText"/>
            </w:pPr>
            <w:r>
              <w:rPr>
                <w:sz w:val="18"/>
                <w:szCs w:val="18"/>
              </w:rPr>
              <w:t xml:space="preserve">Connexion Windows SQL Server</w:t>
            </w:r>
          </w:p>
        </w:tc>
        <w:tc>
          <w:tcPr>
            <w:tcW w:w="3168" w:type="dxa"/>
            <w:shd w:val="clear" w:color="auto" w:fill="F4F7FC"/>
          </w:tcPr>
          <w:p>
            <w:pPr>
              <w:pStyle w:val="TableText"/>
            </w:pPr>
            <w:r>
              <w:rPr>
                <w:sz w:val="18"/>
                <w:szCs w:val="18"/>
              </w:rPr>
              <w:t xml:space="preserve">db_datareader, db_datawriter ; db_ddladmin </w:t>
            </w:r>
            <w:r>
              <w:rPr>
                <w:b/>
                <w:sz w:val="18"/>
                <w:szCs w:val="18"/>
              </w:rPr>
              <w:t xml:space="preserve">temporaire</w:t>
            </w:r>
            <w:r>
              <w:rPr>
                <w:sz w:val="18"/>
                <w:szCs w:val="18"/>
              </w:rPr>
              <w:t xml:space="preserve"> (init-db, mises à jour)</w:t>
            </w:r>
          </w:p>
        </w:tc>
        <w:tc>
          <w:tcPr>
            <w:tcW w:w="2112" w:type="dxa"/>
            <w:shd w:val="clear" w:color="auto" w:fill="F4F7FC"/>
          </w:tcPr>
          <w:p>
            <w:pPr>
              <w:pStyle w:val="TableText"/>
            </w:pPr>
            <w:r>
              <w:rPr>
                <w:sz w:val="18"/>
                <w:szCs w:val="18"/>
              </w:rPr>
              <w:t xml:space="preserve">Accès à la base</w:t>
            </w:r>
          </w:p>
        </w:tc>
      </w:tr>
      <w:tr>
        <w:trPr>
          <w:cantSplit/>
        </w:trPr>
        <w:tc>
          <w:tcPr>
            <w:tcW w:w="2244" w:type="dxa"/>
          </w:tcPr>
          <w:p>
            <w:pPr>
              <w:pStyle w:val="TableText"/>
            </w:pPr>
            <w:r>
              <w:rPr>
                <w:sz w:val="18"/>
                <w:szCs w:val="18"/>
              </w:rPr>
              <w:t xml:space="preserve">GG_FreeLM_Lecteurs</w:t>
            </w:r>
          </w:p>
        </w:tc>
        <w:tc>
          <w:tcPr>
            <w:tcW w:w="2112" w:type="dxa"/>
          </w:tcPr>
          <w:p>
            <w:pPr>
              <w:pStyle w:val="TableText"/>
            </w:pPr>
            <w:r>
              <w:rPr>
                <w:sz w:val="18"/>
                <w:szCs w:val="18"/>
              </w:rPr>
              <w:t xml:space="preserve">Groupe AD</w:t>
            </w:r>
          </w:p>
        </w:tc>
        <w:tc>
          <w:tcPr>
            <w:tcW w:w="3168" w:type="dxa"/>
          </w:tcPr>
          <w:p>
            <w:pPr>
              <w:pStyle w:val="TableText"/>
            </w:pPr>
            <w:r>
              <w:rPr>
                <w:sz w:val="18"/>
                <w:szCs w:val="18"/>
              </w:rPr>
              <w:t xml:space="preserve">Accès à l'interface web (</w:t>
            </w:r>
            <w:r>
              <w:rPr>
                <w:rFonts w:ascii="Consolas" w:hAnsi="Consolas" w:cs="Consolas"/>
                <w:color w:val="1C5CAB"/>
                <w:sz w:val="18"/>
                <w:szCs w:val="18"/>
                <w:shd w:val="clear" w:color="auto" w:fill="EEF3FA"/>
              </w:rPr>
              <w:t xml:space="preserve">allowed_groups</w:t>
            </w:r>
            <w:r>
              <w:rPr>
                <w:sz w:val="18"/>
                <w:szCs w:val="18"/>
              </w:rPr>
              <w:t xml:space="preserve">)</w:t>
            </w:r>
          </w:p>
        </w:tc>
        <w:tc>
          <w:tcPr>
            <w:tcW w:w="2112" w:type="dxa"/>
          </w:tcPr>
          <w:p>
            <w:pPr>
              <w:pStyle w:val="TableText"/>
            </w:pPr>
            <w:r>
              <w:rPr>
                <w:sz w:val="18"/>
                <w:szCs w:val="18"/>
              </w:rPr>
              <w:t xml:space="preserve">Utilisateurs de l'interface</w:t>
            </w:r>
          </w:p>
        </w:tc>
      </w:tr>
      <w:tr>
        <w:trPr>
          <w:cantSplit/>
        </w:trPr>
        <w:tc>
          <w:tcPr>
            <w:tcW w:w="2244" w:type="dxa"/>
            <w:shd w:val="clear" w:color="auto" w:fill="F4F7FC"/>
          </w:tcPr>
          <w:p>
            <w:pPr>
              <w:pStyle w:val="TableText"/>
            </w:pPr>
            <w:r>
              <w:rPr>
                <w:sz w:val="18"/>
                <w:szCs w:val="18"/>
              </w:rPr>
              <w:t xml:space="preserve">svc_freelm_ldap (option)</w:t>
            </w:r>
          </w:p>
        </w:tc>
        <w:tc>
          <w:tcPr>
            <w:tcW w:w="2112" w:type="dxa"/>
            <w:shd w:val="clear" w:color="auto" w:fill="F4F7FC"/>
          </w:tcPr>
          <w:p>
            <w:pPr>
              <w:pStyle w:val="TableText"/>
            </w:pPr>
            <w:r>
              <w:rPr>
                <w:sz w:val="18"/>
                <w:szCs w:val="18"/>
              </w:rPr>
              <w:t xml:space="preserve">Compte AD en lecture</w:t>
            </w:r>
          </w:p>
        </w:tc>
        <w:tc>
          <w:tcPr>
            <w:tcW w:w="3168" w:type="dxa"/>
            <w:shd w:val="clear" w:color="auto" w:fill="F4F7FC"/>
          </w:tcPr>
          <w:p>
            <w:pPr>
              <w:pStyle w:val="TableText"/>
            </w:pPr>
            <w:r>
              <w:rPr>
                <w:sz w:val="18"/>
                <w:szCs w:val="18"/>
              </w:rPr>
              <w:t xml:space="preserve">Recherche d'utilisateurs dans l'annuaire</w:t>
            </w:r>
          </w:p>
        </w:tc>
        <w:tc>
          <w:tcPr>
            <w:tcW w:w="2112" w:type="dxa"/>
            <w:shd w:val="clear" w:color="auto" w:fill="F4F7FC"/>
          </w:tcPr>
          <w:p>
            <w:pPr>
              <w:pStyle w:val="TableText"/>
            </w:pPr>
            <w:r>
              <w:rPr>
                <w:sz w:val="18"/>
                <w:szCs w:val="18"/>
              </w:rPr>
              <w:t xml:space="preserve">Seulement sans </w:t>
            </w:r>
            <w:r>
              <w:rPr>
                <w:rFonts w:ascii="Consolas" w:hAnsi="Consolas" w:cs="Consolas"/>
                <w:color w:val="1C5CAB"/>
                <w:sz w:val="18"/>
                <w:szCs w:val="18"/>
                <w:shd w:val="clear" w:color="auto" w:fill="EEF3FA"/>
              </w:rPr>
              <w:t xml:space="preserve">upn_suffix</w:t>
            </w:r>
          </w:p>
        </w:tc>
      </w:tr>
      <w:tr>
        <w:trPr>
          <w:cantSplit/>
        </w:trPr>
        <w:tc>
          <w:tcPr>
            <w:tcW w:w="2244" w:type="dxa"/>
          </w:tcPr>
          <w:p>
            <w:pPr>
              <w:pStyle w:val="TableText"/>
            </w:pPr>
            <w:r>
              <w:rPr>
                <w:sz w:val="18"/>
                <w:szCs w:val="18"/>
              </w:rPr>
              <w:t xml:space="preserve">Compte SMTP (option)</w:t>
            </w:r>
          </w:p>
        </w:tc>
        <w:tc>
          <w:tcPr>
            <w:tcW w:w="2112" w:type="dxa"/>
          </w:tcPr>
          <w:p>
            <w:pPr>
              <w:pStyle w:val="TableText"/>
            </w:pPr>
            <w:r>
              <w:rPr>
                <w:sz w:val="18"/>
                <w:szCs w:val="18"/>
              </w:rPr>
              <w:t xml:space="preserve">Compte de messagerie</w:t>
            </w:r>
          </w:p>
        </w:tc>
        <w:tc>
          <w:tcPr>
            <w:tcW w:w="3168" w:type="dxa"/>
          </w:tcPr>
          <w:p>
            <w:pPr>
              <w:pStyle w:val="TableText"/>
            </w:pPr>
            <w:r>
              <w:rPr>
                <w:sz w:val="18"/>
                <w:szCs w:val="18"/>
              </w:rPr>
              <w:t xml:space="preserve">Envoi authentifié</w:t>
            </w:r>
          </w:p>
        </w:tc>
        <w:tc>
          <w:tcPr>
            <w:tcW w:w="2112" w:type="dxa"/>
          </w:tcPr>
          <w:p>
            <w:pPr>
              <w:pStyle w:val="TableText"/>
            </w:pPr>
            <w:r>
              <w:rPr>
                <w:sz w:val="18"/>
                <w:szCs w:val="18"/>
              </w:rPr>
              <w:t xml:space="preserve">Si le relais exige une authentification</w:t>
            </w:r>
          </w:p>
        </w:tc>
      </w:tr>
      <w:tr>
        <w:trPr>
          <w:cantSplit/>
        </w:trPr>
        <w:tc>
          <w:tcPr>
            <w:tcW w:w="2244" w:type="dxa"/>
            <w:shd w:val="clear" w:color="auto" w:fill="F4F7FC"/>
          </w:tcPr>
          <w:p>
            <w:pPr>
              <w:pStyle w:val="TableText"/>
            </w:pPr>
            <w:r>
              <w:rPr>
                <w:sz w:val="18"/>
                <w:szCs w:val="18"/>
              </w:rPr>
              <w:t xml:space="preserve">Administrateur FreeLM</w:t>
            </w:r>
          </w:p>
        </w:tc>
        <w:tc>
          <w:tcPr>
            <w:tcW w:w="2112" w:type="dxa"/>
            <w:shd w:val="clear" w:color="auto" w:fill="F4F7FC"/>
          </w:tcPr>
          <w:p>
            <w:pPr>
              <w:pStyle w:val="TableText"/>
            </w:pPr>
            <w:r>
              <w:rPr>
                <w:sz w:val="18"/>
                <w:szCs w:val="18"/>
              </w:rPr>
              <w:t xml:space="preserve">Compte nominatif administrateur du serveur</w:t>
            </w:r>
          </w:p>
        </w:tc>
        <w:tc>
          <w:tcPr>
            <w:tcW w:w="3168" w:type="dxa"/>
            <w:shd w:val="clear" w:color="auto" w:fill="F4F7FC"/>
          </w:tcPr>
          <w:p>
            <w:pPr>
              <w:pStyle w:val="TableText"/>
            </w:pPr>
            <w:r>
              <w:rPr>
                <w:sz w:val="18"/>
                <w:szCs w:val="18"/>
              </w:rPr>
              <w:t xml:space="preserve">Modification de la configuration, des tâches</w:t>
            </w:r>
          </w:p>
        </w:tc>
        <w:tc>
          <w:tcPr>
            <w:tcW w:w="2112" w:type="dxa"/>
            <w:shd w:val="clear" w:color="auto" w:fill="F4F7FC"/>
          </w:tcPr>
          <w:p>
            <w:pPr>
              <w:pStyle w:val="TableText"/>
            </w:pPr>
            <w:r>
              <w:rPr>
                <w:sz w:val="18"/>
                <w:szCs w:val="18"/>
              </w:rPr>
              <w:t xml:space="preserve">Exploitation N2</w:t>
            </w:r>
          </w:p>
        </w:tc>
      </w:tr>
    </w:tbl>
    <w:p>
      <w:pPr>
        <w:spacing w:after="80"/>
      </w:pPr>
    </w:p>
    <w:tbl>
      <w:tblPr>
        <w:tblW w:w="9638" w:type="dxa"/>
        <w:tblInd w:w="0" w:type="dxa"/>
        <w:tblBorders>
          <w:left w:val="single" w:sz="24" w:color="D03B3B"/>
        </w:tblBorders>
        <w:tblCellMar>
          <w:top w:w="100" w:type="dxa"/>
          <w:left w:w="180" w:type="dxa"/>
          <w:bottom w:w="100" w:type="dxa"/>
          <w:right w:w="180" w:type="dxa"/>
        </w:tblCellMar>
      </w:tblPr>
      <w:tblGrid>
        <w:gridCol w:w="9638"/>
      </w:tblGrid>
      <w:tr>
        <w:tc>
          <w:tcPr>
            <w:tcW w:w="9638" w:type="dxa"/>
            <w:shd w:val="clear" w:color="auto" w:fill="FDEEEE"/>
          </w:tcPr>
          <w:p>
            <w:pPr>
              <w:spacing w:before="0" w:after="0"/>
            </w:pPr>
            <w:r>
              <w:rPr>
                <w:b/>
                <w:color w:val="D03B3B"/>
              </w:rPr>
              <w:t xml:space="preserve">Important — </w:t>
            </w:r>
            <w:r>
              <w:rPr/>
              <w:t xml:space="preserve">Le compte SYSTEM est refusé par le script de planification pour l'interface web et, sauf option explicite </w:t>
            </w:r>
            <w:r>
              <w:rPr>
                <w:rFonts w:ascii="Consolas" w:hAnsi="Consolas" w:cs="Consolas"/>
                <w:color w:val="1C5CAB"/>
                <w:sz w:val="18"/>
                <w:szCs w:val="18"/>
                <w:shd w:val="clear" w:color="auto" w:fill="EEF3FA"/>
              </w:rPr>
              <w:t xml:space="preserve">-AllowSystem</w:t>
            </w:r>
            <w:r>
              <w:rPr/>
              <w:t xml:space="preserve">, pour les autres tâches (moindre privilège).</w:t>
            </w:r>
          </w:p>
        </w:tc>
      </w:tr>
    </w:tbl>
    <w:p>
      <w:pPr>
        <w:spacing w:after="60"/>
      </w:pPr>
    </w:p>
    <w:p>
      <w:pPr>
        <w:pStyle w:val="Heading2"/>
      </w:pPr>
      <w:bookmarkStart w:id="27" w:name="_Toc00027"/>
      <w:r>
        <w:rPr/>
        <w:t xml:space="preserve">4.4 Certificats</w:t>
      </w:r>
      <w:bookmarkEnd w:id="27"/>
    </w:p>
    <w:p>
      <w:pPr>
        <w:pStyle w:val="ListParagraph"/>
        <w:numPr>
          <w:ilvl w:val="0"/>
          <w:numId w:val="5"/>
        </w:numPr>
      </w:pPr>
      <w:r>
        <w:rPr/>
        <w:t xml:space="preserve">Certificat HTTPS du serveur FreeLM (PEM : certificat + clé), délivré par l'AC d'entreprise, dont le nom correspond à l'adresse utilisée par les navigateurs. </w:t>
      </w:r>
      <w:r>
        <w:rPr>
          <w:b/>
        </w:rPr>
        <w:t xml:space="preserve">Obligatoire</w:t>
      </w:r>
      <w:r>
        <w:rPr/>
        <w:t xml:space="preserve"> dès que l'interface est ouverte sur le réseau avec la connexion AD.</w:t>
      </w:r>
    </w:p>
    <w:p>
      <w:pPr>
        <w:pStyle w:val="ListParagraph"/>
        <w:numPr>
          <w:ilvl w:val="0"/>
          <w:numId w:val="5"/>
        </w:numPr>
      </w:pPr>
      <w:r>
        <w:rPr/>
        <w:t xml:space="preserve">Certificat LDAPS des contrôleurs de domaine (fourni par l'AD CS) ; si l'AC n'est pas reconnue, fournir son certificat via </w:t>
      </w:r>
      <w:r>
        <w:rPr>
          <w:rFonts w:ascii="Consolas" w:hAnsi="Consolas" w:cs="Consolas"/>
          <w:color w:val="1C5CAB"/>
          <w:sz w:val="18"/>
          <w:szCs w:val="18"/>
          <w:shd w:val="clear" w:color="auto" w:fill="EEF3FA"/>
        </w:rPr>
        <w:t xml:space="preserve">ldap_ca_file</w:t>
      </w:r>
      <w:r>
        <w:rPr/>
        <w:t xml:space="preserve">.</w:t>
      </w:r>
    </w:p>
    <w:p>
      <w:pPr>
        <w:pStyle w:val="ListParagraph"/>
        <w:numPr>
          <w:ilvl w:val="0"/>
          <w:numId w:val="5"/>
        </w:numPr>
      </w:pPr>
      <w:r>
        <w:rPr/>
        <w:t xml:space="preserve">Certificat de l'instance SQL Server (pour </w:t>
      </w:r>
      <w:r>
        <w:rPr>
          <w:rFonts w:ascii="Consolas" w:hAnsi="Consolas" w:cs="Consolas"/>
          <w:color w:val="1C5CAB"/>
          <w:sz w:val="18"/>
          <w:szCs w:val="18"/>
          <w:shd w:val="clear" w:color="auto" w:fill="EEF3FA"/>
        </w:rPr>
        <w:t xml:space="preserve">Encrypt=yes</w:t>
      </w:r>
      <w:r>
        <w:rPr/>
        <w:t xml:space="preserve">).</w:t>
      </w:r>
    </w:p>
    <w:p>
      <w:pPr>
        <w:pStyle w:val="Heading1"/>
      </w:pPr>
      <w:bookmarkStart w:id="28" w:name="_Toc00028"/>
      <w:r>
        <w:rPr/>
        <w:t xml:space="preserve">5. Installation et mise en service</w:t>
      </w:r>
      <w:bookmarkEnd w:id="28"/>
    </w:p>
    <w:p>
      <w:pPr/>
      <w:r>
        <w:rPr/>
        <w:t xml:space="preserve">Les étapes ci-dessous sont à dérouler dans l'ordre. Durée indicative : une demi-journée, hors délais d'ouverture de flux et de création des comptes.</w:t>
      </w:r>
    </w:p>
    <w:p>
      <w:pPr>
        <w:pStyle w:val="Heading2"/>
      </w:pPr>
      <w:bookmarkStart w:id="29" w:name="_Toc00029"/>
      <w:r>
        <w:rPr/>
        <w:t xml:space="preserve">5.1 Création de la base (DBA)</w:t>
      </w:r>
      <w:bookmarkEnd w:id="29"/>
    </w:p>
    <w:p>
      <w:pPr/>
      <w:r>
        <w:rPr/>
        <w:t xml:space="preserve">Adapter le nom du compte dans le script, puis l'exécuter avec un compte administrateur de l'instance :</w:t>
      </w:r>
    </w:p>
    <w:p>
      <w:pPr>
        <w:pStyle w:val="Code"/>
      </w:pPr>
      <w:r>
        <w:t xml:space="preserve">sqlcmd -S SQLSRV01 -E -i sql\sqlserver\00_create_database.sql</w:t>
      </w:r>
    </w:p>
    <w:p>
      <w:pPr/>
      <w:r>
        <w:rPr/>
        <w:t xml:space="preserve">Le script crée la base </w:t>
      </w:r>
      <w:r>
        <w:rPr>
          <w:rFonts w:ascii="Consolas" w:hAnsi="Consolas" w:cs="Consolas"/>
          <w:color w:val="1C5CAB"/>
          <w:sz w:val="18"/>
          <w:szCs w:val="18"/>
          <w:shd w:val="clear" w:color="auto" w:fill="EEF3FA"/>
        </w:rPr>
        <w:t xml:space="preserve">FreeLM</w:t>
      </w:r>
      <w:r>
        <w:rPr/>
        <w:t xml:space="preserve"> (récupération SIMPLE), la connexion Windows du compte de service et lui accorde db_datareader, db_datawriter et, temporairement, db_ddladmin.</w:t>
      </w:r>
    </w:p>
    <w:p>
      <w:pPr>
        <w:pStyle w:val="Heading2"/>
      </w:pPr>
      <w:bookmarkStart w:id="30" w:name="_Toc00030"/>
      <w:r>
        <w:rPr/>
        <w:t xml:space="preserve">5.2 Déploiement des binaires</w:t>
      </w:r>
      <w:bookmarkEnd w:id="30"/>
    </w:p>
    <w:p>
      <w:pPr/>
      <w:r>
        <w:rPr>
          <w:b/>
        </w:rPr>
        <w:t xml:space="preserve">Option A — exécutable (recommandée)</w:t>
      </w:r>
      <w:r>
        <w:rPr/>
        <w:t xml:space="preserve"> : copier </w:t>
      </w:r>
      <w:r>
        <w:rPr>
          <w:rFonts w:ascii="Consolas" w:hAnsi="Consolas" w:cs="Consolas"/>
          <w:color w:val="1C5CAB"/>
          <w:sz w:val="18"/>
          <w:szCs w:val="18"/>
          <w:shd w:val="clear" w:color="auto" w:fill="EEF3FA"/>
        </w:rPr>
        <w:t xml:space="preserve">FreeLM.exe</w:t>
      </w:r>
      <w:r>
        <w:rPr/>
        <w:t xml:space="preserve"> (page Releases du dépôt) dans </w:t>
      </w:r>
      <w:r>
        <w:rPr>
          <w:rFonts w:ascii="Consolas" w:hAnsi="Consolas" w:cs="Consolas"/>
          <w:color w:val="1C5CAB"/>
          <w:sz w:val="18"/>
          <w:szCs w:val="18"/>
          <w:shd w:val="clear" w:color="auto" w:fill="EEF3FA"/>
        </w:rPr>
        <w:t xml:space="preserve">C:\FreeLM</w:t>
      </w:r>
      <w:r>
        <w:rPr/>
        <w:t xml:space="preserve">, puis vérifier son empreinte :</w:t>
      </w:r>
    </w:p>
    <w:p>
      <w:pPr>
        <w:pStyle w:val="Code"/>
      </w:pPr>
      <w:r>
        <w:t xml:space="preserve">Get-FileHash C:\FreeLM\FreeLM.exe -Algorithm SHA256</w:t>
      </w:r>
    </w:p>
    <w:p>
      <w:pPr>
        <w:pStyle w:val="Code"/>
      </w:pPr>
      <w:r>
        <w:t xml:space="preserve"># comparer avec le fichier SHA256SUMS de la release</w:t>
      </w:r>
    </w:p>
    <w:p>
      <w:pPr/>
      <w:r>
        <w:rPr>
          <w:b/>
        </w:rPr>
        <w:t xml:space="preserve">Option B — Python</w:t>
      </w:r>
      <w:r>
        <w:rPr/>
        <w:t xml:space="preserve"> :</w:t>
      </w:r>
    </w:p>
    <w:p>
      <w:pPr>
        <w:pStyle w:val="Code"/>
      </w:pPr>
      <w:r>
        <w:t xml:space="preserve">cd C:\FreeLM</w:t>
      </w:r>
    </w:p>
    <w:p>
      <w:pPr>
        <w:pStyle w:val="Code"/>
      </w:pPr>
      <w:r>
        <w:t xml:space="preserve">py -3 -m venv venv</w:t>
      </w:r>
    </w:p>
    <w:p>
      <w:pPr>
        <w:pStyle w:val="Code"/>
      </w:pPr>
      <w:r>
        <w:t xml:space="preserve">venv\Scripts\pip install &lt;archive ou dépôt FreeLM&gt;</w:t>
      </w:r>
    </w:p>
    <w:p>
      <w:pPr>
        <w:pStyle w:val="Code"/>
      </w:pPr>
      <w:r>
        <w:t xml:space="preserve">venv\Scripts\freelm --version</w:t>
      </w:r>
    </w:p>
    <w:p>
      <w:pPr/>
      <w:r>
        <w:rPr/>
        <w:t xml:space="preserve">Copier ensuite </w:t>
      </w:r>
      <w:r>
        <w:rPr>
          <w:rFonts w:ascii="Consolas" w:hAnsi="Consolas" w:cs="Consolas"/>
          <w:color w:val="1C5CAB"/>
          <w:sz w:val="18"/>
          <w:szCs w:val="18"/>
          <w:shd w:val="clear" w:color="auto" w:fill="EEF3FA"/>
        </w:rPr>
        <w:t xml:space="preserve">lmutil.exe</w:t>
      </w:r>
      <w:r>
        <w:rPr/>
        <w:t xml:space="preserve"> dans </w:t>
      </w:r>
      <w:r>
        <w:rPr>
          <w:rFonts w:ascii="Consolas" w:hAnsi="Consolas" w:cs="Consolas"/>
          <w:color w:val="1C5CAB"/>
          <w:sz w:val="18"/>
          <w:szCs w:val="18"/>
          <w:shd w:val="clear" w:color="auto" w:fill="EEF3FA"/>
        </w:rPr>
        <w:t xml:space="preserve">C:\FreeLM\bin</w:t>
      </w:r>
      <w:r>
        <w:rPr/>
        <w:t xml:space="preserve"> (il est fourni avec Autodesk Network License Manager ou tout autre gestionnaire FlexLM).</w:t>
      </w:r>
    </w:p>
    <w:p>
      <w:pPr>
        <w:pStyle w:val="Heading2"/>
      </w:pPr>
      <w:bookmarkStart w:id="31" w:name="_Toc00031"/>
      <w:r>
        <w:rPr/>
        <w:t xml:space="preserve">5.3 Configuration</w:t>
      </w:r>
      <w:bookmarkEnd w:id="31"/>
    </w:p>
    <w:p>
      <w:pPr/>
      <w:r>
        <w:rPr/>
        <w:t xml:space="preserve">Copier </w:t>
      </w:r>
      <w:r>
        <w:rPr>
          <w:rFonts w:ascii="Consolas" w:hAnsi="Consolas" w:cs="Consolas"/>
          <w:color w:val="1C5CAB"/>
          <w:sz w:val="18"/>
          <w:szCs w:val="18"/>
          <w:shd w:val="clear" w:color="auto" w:fill="EEF3FA"/>
        </w:rPr>
        <w:t xml:space="preserve">config\freelm.example.yaml</w:t>
      </w:r>
      <w:r>
        <w:rPr/>
        <w:t xml:space="preserve"> en </w:t>
      </w:r>
      <w:r>
        <w:rPr>
          <w:rFonts w:ascii="Consolas" w:hAnsi="Consolas" w:cs="Consolas"/>
          <w:color w:val="1C5CAB"/>
          <w:sz w:val="18"/>
          <w:szCs w:val="18"/>
          <w:shd w:val="clear" w:color="auto" w:fill="EEF3FA"/>
        </w:rPr>
        <w:t xml:space="preserve">C:\FreeLM\freelm.yaml</w:t>
      </w:r>
      <w:r>
        <w:rPr/>
        <w:t xml:space="preserve"> et renseigner au minimum : la chaîne de connexion, le chemin de lmutil, les serveurs de licences et le mapping des produits (voir chapitre 6).</w:t>
      </w:r>
    </w:p>
    <w:p>
      <w:pPr>
        <w:pStyle w:val="Code"/>
      </w:pPr>
      <w:r>
        <w:t xml:space="preserve">database:</w:t>
      </w:r>
    </w:p>
    <w:p>
      <w:pPr>
        <w:pStyle w:val="Code"/>
      </w:pPr>
      <w:r>
        <w:t xml:space="preserve">  connection_string: "DRIVER={ODBC Driver 18 for SQL Server};SERVER=sqlsrv01.entreprise.local;DATABASE=FreeLM;Trusted_Connection=yes;Encrypt=yes"</w:t>
      </w:r>
    </w:p>
    <w:p>
      <w:pPr>
        <w:pStyle w:val="Code"/>
      </w:pPr>
      <w:r>
        <w:t xml:space="preserve">lmutil_path: "C:/FreeLM/bin/lmutil.exe"</w:t>
      </w:r>
    </w:p>
    <w:p>
      <w:pPr>
        <w:pStyle w:val="Code"/>
      </w:pPr>
      <w:r>
        <w:t xml:space="preserve">logging:</w:t>
      </w:r>
    </w:p>
    <w:p>
      <w:pPr>
        <w:pStyle w:val="Code"/>
      </w:pPr>
      <w:r>
        <w:t xml:space="preserve">  file: "C:/FreeLM/logs/freelm.log"</w:t>
      </w:r>
    </w:p>
    <w:p>
      <w:pPr>
        <w:pStyle w:val="Code"/>
      </w:pPr>
      <w:r>
        <w:t xml:space="preserve">servers:</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Heading2"/>
      </w:pPr>
      <w:bookmarkStart w:id="32" w:name="_Toc00032"/>
      <w:r>
        <w:rPr/>
        <w:t xml:space="preserve">5.4 Initialisation du schéma</w:t>
      </w:r>
      <w:bookmarkEnd w:id="32"/>
    </w:p>
    <w:p>
      <w:pPr>
        <w:pStyle w:val="Code"/>
      </w:pPr>
      <w:r>
        <w:t xml:space="preserve">cd C:\FreeLM</w:t>
      </w:r>
    </w:p>
    <w:p>
      <w:pPr>
        <w:pStyle w:val="Code"/>
      </w:pPr>
      <w:r>
        <w:t xml:space="preserve">.\FreeLM.exe -c freelm.yaml init-db</w:t>
      </w:r>
    </w:p>
    <w:p>
      <w:pPr/>
      <w:r>
        <w:rPr/>
        <w:t xml:space="preserve">À exécuter </w:t>
      </w:r>
      <w:r>
        <w:rPr>
          <w:b/>
        </w:rPr>
        <w:t xml:space="preserve">avec le compte de service</w:t>
      </w:r>
      <w:r>
        <w:rPr/>
        <w:t xml:space="preserve"> (par exemple via </w:t>
      </w:r>
      <w:r>
        <w:rPr>
          <w:rFonts w:ascii="Consolas" w:hAnsi="Consolas" w:cs="Consolas"/>
          <w:color w:val="1C5CAB"/>
          <w:sz w:val="18"/>
          <w:szCs w:val="18"/>
          <w:shd w:val="clear" w:color="auto" w:fill="EEF3FA"/>
        </w:rPr>
        <w:t xml:space="preserve">runas /user:DOMAINE\svc_freelm</w:t>
      </w:r>
      <w:r>
        <w:rPr/>
        <w:t xml:space="preserve">). La commande crée les tables et les vues, puis référence les serveurs déclarés. Elle est rejouable sans risque et sert aussi aux montées de version. Une fois terminée, le DBA retire le droit temporaire :</w:t>
      </w:r>
    </w:p>
    <w:p>
      <w:pPr>
        <w:pStyle w:val="Code"/>
      </w:pPr>
      <w:r>
        <w:t xml:space="preserve">ALTER ROLE db_ddladmin DROP MEMBER [svc_freelm];</w:t>
      </w:r>
    </w:p>
    <w:p>
      <w:pPr>
        <w:pStyle w:val="Heading2"/>
      </w:pPr>
      <w:bookmarkStart w:id="33" w:name="_Toc00033"/>
      <w:r>
        <w:rPr/>
        <w:t xml:space="preserve">5.5 Vérification des serveurs de licences</w:t>
      </w:r>
      <w:bookmarkEnd w:id="33"/>
    </w:p>
    <w:p>
      <w:pPr>
        <w:pStyle w:val="Code"/>
      </w:pPr>
      <w:r>
        <w:t xml:space="preserve">.\FreeLM.exe -c freelm.yaml test-server --server AUTODESK</w:t>
      </w:r>
    </w:p>
    <w:p>
      <w:pPr>
        <w:pStyle w:val="Code"/>
      </w:pPr>
      <w:r>
        <w:t xml:space="preserve">.\FreeLM.exe -c freelm.yaml collect</w:t>
      </w:r>
    </w:p>
    <w:p>
      <w:pPr/>
      <w:r>
        <w:rPr>
          <w:rFonts w:ascii="Consolas" w:hAnsi="Consolas" w:cs="Consolas"/>
          <w:color w:val="1C5CAB"/>
          <w:sz w:val="18"/>
          <w:szCs w:val="18"/>
          <w:shd w:val="clear" w:color="auto" w:fill="EEF3FA"/>
        </w:rPr>
        <w:t xml:space="preserve">test-server</w:t>
      </w:r>
      <w:r>
        <w:rPr/>
        <w:t xml:space="preserve"> interroge le serveur sans rien écrire et affiche les features, jetons et utilisateurs trouvés. </w:t>
      </w:r>
      <w:r>
        <w:rPr>
          <w:rFonts w:ascii="Consolas" w:hAnsi="Consolas" w:cs="Consolas"/>
          <w:color w:val="1C5CAB"/>
          <w:sz w:val="18"/>
          <w:szCs w:val="18"/>
          <w:shd w:val="clear" w:color="auto" w:fill="EEF3FA"/>
        </w:rPr>
        <w:t xml:space="preserve">collect</w:t>
      </w:r>
      <w:r>
        <w:rPr/>
        <w:t xml:space="preserve"> réalise une première collecte réelle ; le code retour doit être 0.</w:t>
      </w:r>
    </w:p>
    <w:p>
      <w:pPr>
        <w:pStyle w:val="Heading2"/>
      </w:pPr>
      <w:bookmarkStart w:id="34" w:name="_Toc00034"/>
      <w:r>
        <w:rPr/>
        <w:t xml:space="preserve">5.6 Planification des tâches</w:t>
      </w:r>
      <w:bookmarkEnd w:id="34"/>
    </w:p>
    <w:p>
      <w:pPr>
        <w:pStyle w:val="Code"/>
      </w:pPr>
      <w:r>
        <w:t xml:space="preserve">powershell -ExecutionPolicy Bypass -File scripts\register_tasks.ps1 `</w:t>
      </w:r>
    </w:p>
    <w:p>
      <w:pPr>
        <w:pStyle w:val="Code"/>
      </w:pPr>
      <w:r>
        <w:t xml:space="preserve">    -FreeLMHome C:\FreeLM -ServiceAccount "DOMAINE\gmsa_freelm$" -WithWebInterface</w:t>
      </w:r>
    </w:p>
    <w:p>
      <w:pPr/>
      <w:r>
        <w:rPr/>
        <w:t xml:space="preserve">Le script crée les tâches du dossier </w:t>
      </w:r>
      <w:r>
        <w:rPr>
          <w:rFonts w:ascii="Consolas" w:hAnsi="Consolas" w:cs="Consolas"/>
          <w:color w:val="1C5CAB"/>
          <w:sz w:val="18"/>
          <w:szCs w:val="18"/>
          <w:shd w:val="clear" w:color="auto" w:fill="EEF3FA"/>
        </w:rPr>
        <w:t xml:space="preserve">\FreeLM\</w:t>
      </w:r>
      <w:r>
        <w:rPr/>
        <w:t xml:space="preserve"> du Planificateur (détail au § 7.1). Avec un compte classique, son mot de passe est demandé ; avec un gMSA, aucun mot de passe n'est nécessaire. Le paramètre </w:t>
      </w:r>
      <w:r>
        <w:rPr>
          <w:rFonts w:ascii="Consolas" w:hAnsi="Consolas" w:cs="Consolas"/>
          <w:color w:val="1C5CAB"/>
          <w:sz w:val="18"/>
          <w:szCs w:val="18"/>
          <w:shd w:val="clear" w:color="auto" w:fill="EEF3FA"/>
        </w:rPr>
        <w:t xml:space="preserve">-CollectIntervalMinutes</w:t>
      </w:r>
      <w:r>
        <w:rPr/>
        <w:t xml:space="preserve"> modifie l'intervalle de collecte (5 par défaut).</w:t>
      </w:r>
    </w:p>
    <w:p>
      <w:pPr>
        <w:pStyle w:val="Heading2"/>
      </w:pPr>
      <w:bookmarkStart w:id="35" w:name="_Toc00035"/>
      <w:r>
        <w:rPr/>
        <w:t xml:space="preserve">5.7 Référentiel utilisateurs</w:t>
      </w:r>
      <w:bookmarkEnd w:id="35"/>
    </w:p>
    <w:p>
      <w:pPr/>
      <w:r>
        <w:rPr/>
        <w:t xml:space="preserve">Pour afficher les noms complets et les services dans les rapports et permettre la refacturation :</w:t>
      </w:r>
    </w:p>
    <w:p>
      <w:pPr>
        <w:pStyle w:val="Code"/>
      </w:pPr>
      <w:r>
        <w:t xml:space="preserve">Get-ADUser -Filter * -Properties DisplayName,Department |</w:t>
      </w:r>
    </w:p>
    <w:p>
      <w:pPr>
        <w:pStyle w:val="Code"/>
      </w:pPr>
      <w:r>
        <w:t xml:space="preserve">  Select-Object SamAccountName,DisplayName,Department |</w:t>
      </w:r>
    </w:p>
    <w:p>
      <w:pPr>
        <w:pStyle w:val="Code"/>
      </w:pPr>
      <w:r>
        <w:t xml:space="preserve">  Export-Csv users.csv -NoTypeInformation -Encoding UTF8</w:t>
      </w:r>
    </w:p>
    <w:p>
      <w:pPr>
        <w:pStyle w:val="Code"/>
      </w:pPr>
      <w:r>
        <w:t xml:space="preserve">.\FreeLM.exe -c freelm.yaml import-users users.csv</w:t>
      </w:r>
    </w:p>
    <w:p>
      <w:pPr/>
      <w:r>
        <w:rPr/>
        <w:t xml:space="preserve">À planifier idéalement chaque semaine pour suivre les arrivées et les mutations.</w:t>
      </w:r>
    </w:p>
    <w:p>
      <w:pPr>
        <w:pStyle w:val="Heading2"/>
      </w:pPr>
      <w:bookmarkStart w:id="36" w:name="_Toc00036"/>
      <w:r>
        <w:rPr/>
        <w:t xml:space="preserve">5.8 Reprise d'historique (option)</w:t>
      </w:r>
      <w:bookmarkEnd w:id="36"/>
    </w:p>
    <w:p>
      <w:pPr/>
      <w:r>
        <w:rPr/>
        <w:t xml:space="preserve">Si des logs debug FlexLM archivés sont disponibles, ils peuvent être importés, dans l'ordre chronologique :</w:t>
      </w:r>
    </w:p>
    <w:p>
      <w:pPr>
        <w:pStyle w:val="Code"/>
      </w:pPr>
      <w:r>
        <w:t xml:space="preserve">.\FreeLM.exe -c freelm.yaml import-log --server ANSYS D:\archives\license_2026-07.log D:\archives\license_2026-08.log</w:t>
      </w:r>
    </w:p>
    <w:p>
      <w:pPr>
        <w:pStyle w:val="Heading2"/>
      </w:pPr>
      <w:bookmarkStart w:id="37" w:name="_Toc00037"/>
      <w:r>
        <w:rPr/>
        <w:t xml:space="preserve">5.9 Ouverture de l'interface sur le réseau</w:t>
      </w:r>
      <w:bookmarkEnd w:id="37"/>
    </w:p>
    <w:p>
      <w:pPr/>
      <w:r>
        <w:rPr/>
        <w:t xml:space="preserve">Par défaut, l'interface n'écoute que sur le serveur lui-même, sans authentification. Pour la partager :</w:t>
      </w:r>
    </w:p>
    <w:p>
      <w:pPr>
        <w:pStyle w:val="Code"/>
      </w:pPr>
      <w:r>
        <w:t xml:space="preserve">web:</w:t>
      </w:r>
    </w:p>
    <w:p>
      <w:pPr>
        <w:pStyle w:val="Code"/>
      </w:pPr>
      <w:r>
        <w:t xml:space="preserve">  host: 0.0.0.0</w:t>
      </w:r>
    </w:p>
    <w:p>
      <w:pPr>
        <w:pStyle w:val="Code"/>
      </w:pPr>
      <w:r>
        <w:t xml:space="preserve">  port: 8765</w:t>
      </w:r>
    </w:p>
    <w:p>
      <w:pPr>
        <w:pStyle w:val="Code"/>
      </w:pPr>
      <w:r>
        <w:t xml:space="preserve">  tls_cert: "C:/FreeLM/certs/freelm.pem"</w:t>
      </w:r>
    </w:p>
    <w:p>
      <w:pPr>
        <w:pStyle w:val="Code"/>
      </w:pPr>
      <w:r>
        <w:t xml:space="preserve">  tls_key: "C:/FreeLM/certs/freelm.key"</w:t>
      </w:r>
    </w:p>
    <w:p>
      <w:pPr>
        <w:pStyle w:val="Code"/>
      </w:pPr>
      <w:r>
        <w:t xml:space="preserve">  public_url: "https://freelm.entreprise.local:8765"</w:t>
      </w:r>
    </w:p>
    <w:p>
      <w:pPr>
        <w:pStyle w:val="Code"/>
      </w:pPr>
      <w:r>
        <w:t xml:space="preserve">  auth:</w:t>
      </w:r>
    </w:p>
    <w:p>
      <w:pPr>
        <w:pStyle w:val="Code"/>
      </w:pPr>
      <w:r>
        <w:t xml:space="preserve">    mode: ldap</w:t>
      </w:r>
    </w:p>
    <w:p>
      <w:pPr>
        <w:pStyle w:val="Code"/>
      </w:pPr>
      <w:r>
        <w:t xml:space="preserve">    ldap_servers: ["ldaps://dc01.entreprise.local", "ldaps://dc02.entreprise.local"]</w:t>
      </w:r>
    </w:p>
    <w:p>
      <w:pPr>
        <w:pStyle w:val="Code"/>
      </w:pPr>
      <w:r>
        <w:t xml:space="preserve">    base_dn: "DC=entreprise,DC=local"</w:t>
      </w:r>
    </w:p>
    <w:p>
      <w:pPr>
        <w:pStyle w:val="Code"/>
      </w:pPr>
      <w:r>
        <w:t xml:space="preserve">    upn_suffix: "entreprise.local"</w:t>
      </w:r>
    </w:p>
    <w:p>
      <w:pPr>
        <w:pStyle w:val="Code"/>
      </w:pPr>
      <w:r>
        <w:t xml:space="preserve">    allowed_groups: ["GG_FreeLM_Lecteurs"]</w:t>
      </w:r>
    </w:p>
    <w:p>
      <w:pPr/>
      <w:r>
        <w:rPr/>
        <w:t xml:space="preserve">Redémarrer ensuite la tâche « FreeLM - Interface web » (§ 7.2) et ouvrir le port 8765 dans le pare-feu Windows pour les seuls réseaux utilisateurs :</w:t>
      </w:r>
    </w:p>
    <w:p>
      <w:pPr>
        <w:pStyle w:val="Code"/>
      </w:pPr>
      <w:r>
        <w:t xml:space="preserve">New-NetFirewallRule -DisplayName "FreeLM HTTPS" -Direction Inbound -Protocol TCP -LocalPort 8765 `</w:t>
      </w:r>
    </w:p>
    <w:p>
      <w:pPr>
        <w:pStyle w:val="Code"/>
      </w:pPr>
      <w:r>
        <w:t xml:space="preserve">    -RemoteAddress 10.0.0.0/8 -Action Allow</w:t>
      </w:r>
    </w:p>
    <w:p>
      <w:pPr>
        <w:pStyle w:val="Heading2"/>
      </w:pPr>
      <w:bookmarkStart w:id="38" w:name="_Toc00038"/>
      <w:r>
        <w:rPr/>
        <w:t xml:space="preserve">5.10 Recette de mise en service</w:t>
      </w:r>
      <w:bookmarkEnd w:id="38"/>
    </w:p>
    <w:p>
      <w:pPr>
        <w:pStyle w:val="Caption"/>
        <w:keepNext/>
      </w:pPr>
      <w:r>
        <w:rPr/>
        <w:t xml:space="preserve">Tableau 12 – Recette de mise en service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93"/>
        <w:gridCol w:w="3558"/>
        <w:gridCol w:w="4744"/>
        <w:gridCol w:w="741"/>
      </w:tblGrid>
      <w:tr>
        <w:trPr>
          <w:tblHeader/>
          <w:cantSplit/>
        </w:trPr>
        <w:tc>
          <w:tcPr>
            <w:tcW w:w="593" w:type="dxa"/>
            <w:shd w:val="clear" w:color="auto" w:fill="2A78D6"/>
          </w:tcPr>
          <w:p>
            <w:pPr>
              <w:pStyle w:val="TableText"/>
            </w:pPr>
            <w:r>
              <w:rPr>
                <w:b/>
                <w:color w:val="FFFFFF"/>
                <w:sz w:val="18"/>
                <w:szCs w:val="18"/>
              </w:rPr>
              <w:t xml:space="preserve">N°</w:t>
            </w:r>
          </w:p>
        </w:tc>
        <w:tc>
          <w:tcPr>
            <w:tcW w:w="3558" w:type="dxa"/>
            <w:shd w:val="clear" w:color="auto" w:fill="2A78D6"/>
          </w:tcPr>
          <w:p>
            <w:pPr>
              <w:pStyle w:val="TableText"/>
            </w:pPr>
            <w:r>
              <w:rPr>
                <w:b/>
                <w:color w:val="FFFFFF"/>
                <w:sz w:val="18"/>
                <w:szCs w:val="18"/>
              </w:rPr>
              <w:t xml:space="preserve">Contrôle</w:t>
            </w:r>
          </w:p>
        </w:tc>
        <w:tc>
          <w:tcPr>
            <w:tcW w:w="4744" w:type="dxa"/>
            <w:shd w:val="clear" w:color="auto" w:fill="2A78D6"/>
          </w:tcPr>
          <w:p>
            <w:pPr>
              <w:pStyle w:val="TableText"/>
            </w:pPr>
            <w:r>
              <w:rPr>
                <w:b/>
                <w:color w:val="FFFFFF"/>
                <w:sz w:val="18"/>
                <w:szCs w:val="18"/>
              </w:rPr>
              <w:t xml:space="preserve">Résultat attendu</w:t>
            </w:r>
          </w:p>
        </w:tc>
        <w:tc>
          <w:tcPr>
            <w:tcW w:w="741" w:type="dxa"/>
            <w:shd w:val="clear" w:color="auto" w:fill="2A78D6"/>
          </w:tcPr>
          <w:p>
            <w:pPr>
              <w:pStyle w:val="TableText"/>
            </w:pPr>
            <w:r>
              <w:rPr>
                <w:b/>
                <w:color w:val="FFFFFF"/>
                <w:sz w:val="18"/>
                <w:szCs w:val="18"/>
              </w:rPr>
              <w:t xml:space="preserve">OK</w:t>
            </w:r>
          </w:p>
        </w:tc>
      </w:tr>
      <w:tr>
        <w:trPr>
          <w:cantSplit/>
        </w:trPr>
        <w:tc>
          <w:tcPr>
            <w:tcW w:w="593" w:type="dxa"/>
          </w:tcPr>
          <w:p>
            <w:pPr>
              <w:pStyle w:val="TableText"/>
            </w:pPr>
            <w:r>
              <w:rPr>
                <w:sz w:val="18"/>
                <w:szCs w:val="18"/>
              </w:rPr>
              <w:t xml:space="preserve">1</w:t>
            </w:r>
          </w:p>
        </w:tc>
        <w:tc>
          <w:tcPr>
            <w:tcW w:w="3558" w:type="dxa"/>
          </w:tcPr>
          <w:p>
            <w:pPr>
              <w:pStyle w:val="TableText"/>
            </w:pPr>
            <w:r>
              <w:rPr>
                <w:rFonts w:ascii="Consolas" w:hAnsi="Consolas" w:cs="Consolas"/>
                <w:color w:val="1C5CAB"/>
                <w:sz w:val="18"/>
                <w:szCs w:val="18"/>
                <w:shd w:val="clear" w:color="auto" w:fill="EEF3FA"/>
              </w:rPr>
              <w:t xml:space="preserve">init-db</w:t>
            </w:r>
            <w:r>
              <w:rPr>
                <w:sz w:val="18"/>
                <w:szCs w:val="18"/>
              </w:rPr>
              <w:t xml:space="preserve"> avec le compte de service</w:t>
            </w:r>
          </w:p>
        </w:tc>
        <w:tc>
          <w:tcPr>
            <w:tcW w:w="4744" w:type="dxa"/>
          </w:tcPr>
          <w:p>
            <w:pPr>
              <w:pStyle w:val="TableText"/>
            </w:pPr>
            <w:r>
              <w:rPr>
                <w:sz w:val="18"/>
                <w:szCs w:val="18"/>
              </w:rPr>
              <w:t xml:space="preserve">Schéma v3 créé, aucune erreur</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2</w:t>
            </w:r>
          </w:p>
        </w:tc>
        <w:tc>
          <w:tcPr>
            <w:tcW w:w="3558" w:type="dxa"/>
            <w:shd w:val="clear" w:color="auto" w:fill="F4F7FC"/>
          </w:tcPr>
          <w:p>
            <w:pPr>
              <w:pStyle w:val="TableText"/>
            </w:pPr>
            <w:r>
              <w:rPr>
                <w:rFonts w:ascii="Consolas" w:hAnsi="Consolas" w:cs="Consolas"/>
                <w:color w:val="1C5CAB"/>
                <w:sz w:val="18"/>
                <w:szCs w:val="18"/>
                <w:shd w:val="clear" w:color="auto" w:fill="EEF3FA"/>
              </w:rPr>
              <w:t xml:space="preserve">test-server</w:t>
            </w:r>
            <w:r>
              <w:rPr>
                <w:sz w:val="18"/>
                <w:szCs w:val="18"/>
              </w:rPr>
              <w:t xml:space="preserve"> sur chaque serveur</w:t>
            </w:r>
          </w:p>
        </w:tc>
        <w:tc>
          <w:tcPr>
            <w:tcW w:w="4744" w:type="dxa"/>
            <w:shd w:val="clear" w:color="auto" w:fill="F4F7FC"/>
          </w:tcPr>
          <w:p>
            <w:pPr>
              <w:pStyle w:val="TableText"/>
            </w:pPr>
            <w:r>
              <w:rPr>
                <w:sz w:val="18"/>
                <w:szCs w:val="18"/>
              </w:rPr>
              <w:t xml:space="preserve">Features et jetons cohérents avec </w:t>
            </w:r>
            <w:r>
              <w:rPr>
                <w:rFonts w:ascii="Consolas" w:hAnsi="Consolas" w:cs="Consolas"/>
                <w:color w:val="1C5CAB"/>
                <w:sz w:val="18"/>
                <w:szCs w:val="18"/>
                <w:shd w:val="clear" w:color="auto" w:fill="EEF3FA"/>
              </w:rPr>
              <w:t xml:space="preserve">lmutil lmstat -a</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3</w:t>
            </w:r>
          </w:p>
        </w:tc>
        <w:tc>
          <w:tcPr>
            <w:tcW w:w="3558" w:type="dxa"/>
          </w:tcPr>
          <w:p>
            <w:pPr>
              <w:pStyle w:val="TableText"/>
            </w:pPr>
            <w:r>
              <w:rPr>
                <w:sz w:val="18"/>
                <w:szCs w:val="18"/>
              </w:rPr>
              <w:t xml:space="preserve">Tâches planifiées actives</w:t>
            </w:r>
          </w:p>
        </w:tc>
        <w:tc>
          <w:tcPr>
            <w:tcW w:w="4744" w:type="dxa"/>
          </w:tcPr>
          <w:p>
            <w:pPr>
              <w:pStyle w:val="TableText"/>
            </w:pPr>
            <w:r>
              <w:rPr>
                <w:sz w:val="18"/>
                <w:szCs w:val="18"/>
              </w:rPr>
              <w:t xml:space="preserve">Dernier résultat 0x0 pour « FreeLM - Collecte »</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4</w:t>
            </w:r>
          </w:p>
        </w:tc>
        <w:tc>
          <w:tcPr>
            <w:tcW w:w="3558" w:type="dxa"/>
            <w:shd w:val="clear" w:color="auto" w:fill="F4F7FC"/>
          </w:tcPr>
          <w:p>
            <w:pPr>
              <w:pStyle w:val="TableText"/>
            </w:pPr>
            <w:r>
              <w:rPr>
                <w:sz w:val="18"/>
                <w:szCs w:val="18"/>
              </w:rPr>
              <w:t xml:space="preserve">Interface web en HTTPS</w:t>
            </w:r>
          </w:p>
        </w:tc>
        <w:tc>
          <w:tcPr>
            <w:tcW w:w="4744" w:type="dxa"/>
            <w:shd w:val="clear" w:color="auto" w:fill="F4F7FC"/>
          </w:tcPr>
          <w:p>
            <w:pPr>
              <w:pStyle w:val="TableText"/>
            </w:pPr>
            <w:r>
              <w:rPr>
                <w:sz w:val="18"/>
                <w:szCs w:val="18"/>
              </w:rPr>
              <w:t xml:space="preserve">Page de connexion, certificat reconnu par le navigateur</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5</w:t>
            </w:r>
          </w:p>
        </w:tc>
        <w:tc>
          <w:tcPr>
            <w:tcW w:w="3558" w:type="dxa"/>
          </w:tcPr>
          <w:p>
            <w:pPr>
              <w:pStyle w:val="TableText"/>
            </w:pPr>
            <w:r>
              <w:rPr>
                <w:sz w:val="18"/>
                <w:szCs w:val="18"/>
              </w:rPr>
              <w:t xml:space="preserve">Connexion d'un membre du groupe autorisé</w:t>
            </w:r>
          </w:p>
        </w:tc>
        <w:tc>
          <w:tcPr>
            <w:tcW w:w="4744" w:type="dxa"/>
          </w:tcPr>
          <w:p>
            <w:pPr>
              <w:pStyle w:val="TableText"/>
            </w:pPr>
            <w:r>
              <w:rPr>
                <w:sz w:val="18"/>
                <w:szCs w:val="18"/>
              </w:rPr>
              <w:t xml:space="preserve">Tableau de bord affiché, nom de l'utilisateur en haut à droite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6</w:t>
            </w:r>
          </w:p>
        </w:tc>
        <w:tc>
          <w:tcPr>
            <w:tcW w:w="3558" w:type="dxa"/>
            <w:shd w:val="clear" w:color="auto" w:fill="F4F7FC"/>
          </w:tcPr>
          <w:p>
            <w:pPr>
              <w:pStyle w:val="TableText"/>
            </w:pPr>
            <w:r>
              <w:rPr>
                <w:sz w:val="18"/>
                <w:szCs w:val="18"/>
              </w:rPr>
              <w:t xml:space="preserve">Connexion d'un non-membre</w:t>
            </w:r>
          </w:p>
        </w:tc>
        <w:tc>
          <w:tcPr>
            <w:tcW w:w="4744" w:type="dxa"/>
            <w:shd w:val="clear" w:color="auto" w:fill="F4F7FC"/>
          </w:tcPr>
          <w:p>
            <w:pPr>
              <w:pStyle w:val="TableText"/>
            </w:pPr>
            <w:r>
              <w:rPr>
                <w:sz w:val="18"/>
                <w:szCs w:val="18"/>
              </w:rPr>
              <w:t xml:space="preserve">Refus « Identifiant ou mot de passe incorrect »</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7</w:t>
            </w:r>
          </w:p>
        </w:tc>
        <w:tc>
          <w:tcPr>
            <w:tcW w:w="3558" w:type="dxa"/>
          </w:tcPr>
          <w:p>
            <w:pPr>
              <w:pStyle w:val="TableText"/>
            </w:pPr>
            <w:r>
              <w:rPr>
                <w:sz w:val="18"/>
                <w:szCs w:val="18"/>
              </w:rPr>
              <w:t xml:space="preserve">Badge d'état</w:t>
            </w:r>
          </w:p>
        </w:tc>
        <w:tc>
          <w:tcPr>
            <w:tcW w:w="4744" w:type="dxa"/>
          </w:tcPr>
          <w:p>
            <w:pPr>
              <w:pStyle w:val="TableText"/>
            </w:pPr>
            <w:r>
              <w:rPr>
                <w:sz w:val="18"/>
                <w:szCs w:val="18"/>
              </w:rPr>
              <w:t xml:space="preserve">« Collectes OK » dans l'en-tête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8</w:t>
            </w:r>
          </w:p>
        </w:tc>
        <w:tc>
          <w:tcPr>
            <w:tcW w:w="3558" w:type="dxa"/>
            <w:shd w:val="clear" w:color="auto" w:fill="F4F7FC"/>
          </w:tcPr>
          <w:p>
            <w:pPr>
              <w:pStyle w:val="TableText"/>
            </w:pPr>
            <w:r>
              <w:rPr>
                <w:sz w:val="18"/>
                <w:szCs w:val="18"/>
              </w:rPr>
              <w:t xml:space="preserve">Vue En direct</w:t>
            </w:r>
          </w:p>
        </w:tc>
        <w:tc>
          <w:tcPr>
            <w:tcW w:w="4744" w:type="dxa"/>
            <w:shd w:val="clear" w:color="auto" w:fill="F4F7FC"/>
          </w:tcPr>
          <w:p>
            <w:pPr>
              <w:pStyle w:val="TableText"/>
            </w:pPr>
            <w:r>
              <w:rPr>
                <w:sz w:val="18"/>
                <w:szCs w:val="18"/>
              </w:rPr>
              <w:t xml:space="preserve">Jetons et utilisateurs identiques à </w:t>
            </w:r>
            <w:r>
              <w:rPr>
                <w:rFonts w:ascii="Consolas" w:hAnsi="Consolas" w:cs="Consolas"/>
                <w:color w:val="1C5CAB"/>
                <w:sz w:val="18"/>
                <w:szCs w:val="18"/>
                <w:shd w:val="clear" w:color="auto" w:fill="EEF3FA"/>
              </w:rPr>
              <w:t xml:space="preserve">lmstat</w:t>
            </w:r>
            <w:r>
              <w:rPr>
                <w:sz w:val="18"/>
                <w:szCs w:val="18"/>
              </w:rPr>
              <w:t xml:space="preserve"> au même instant</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9</w:t>
            </w:r>
          </w:p>
        </w:tc>
        <w:tc>
          <w:tcPr>
            <w:tcW w:w="3558" w:type="dxa"/>
          </w:tcPr>
          <w:p>
            <w:pPr>
              <w:pStyle w:val="TableText"/>
            </w:pPr>
            <w:r>
              <w:rPr>
                <w:sz w:val="18"/>
                <w:szCs w:val="18"/>
              </w:rPr>
              <w:t xml:space="preserve">Export Excel</w:t>
            </w:r>
          </w:p>
        </w:tc>
        <w:tc>
          <w:tcPr>
            <w:tcW w:w="4744" w:type="dxa"/>
          </w:tcPr>
          <w:p>
            <w:pPr>
              <w:pStyle w:val="TableText"/>
            </w:pPr>
            <w:r>
              <w:rPr>
                <w:sz w:val="18"/>
                <w:szCs w:val="18"/>
              </w:rPr>
              <w:t xml:space="preserve">Fichier téléchargé et lisible</w:t>
            </w:r>
          </w:p>
        </w:tc>
        <w:tc>
          <w:tcPr>
            <w:tcW w:w="741" w:type="dxa"/>
          </w:tcPr>
          <w:p>
            <w:pPr>
              <w:pStyle w:val="TableText"/>
            </w:pPr>
            <w:r>
              <w:rPr>
                <w:sz w:val="18"/>
                <w:szCs w:val="18"/>
              </w:rPr>
              <w:t xml:space="preserve">☐</w:t>
            </w:r>
          </w:p>
        </w:tc>
      </w:tr>
      <w:tr>
        <w:trPr>
          <w:cantSplit/>
        </w:trPr>
        <w:tc>
          <w:tcPr>
            <w:tcW w:w="593" w:type="dxa"/>
            <w:shd w:val="clear" w:color="auto" w:fill="F4F7FC"/>
          </w:tcPr>
          <w:p>
            <w:pPr>
              <w:pStyle w:val="TableText"/>
            </w:pPr>
            <w:r>
              <w:rPr>
                <w:sz w:val="18"/>
                <w:szCs w:val="18"/>
              </w:rPr>
              <w:t xml:space="preserve">10</w:t>
            </w:r>
          </w:p>
        </w:tc>
        <w:tc>
          <w:tcPr>
            <w:tcW w:w="3558" w:type="dxa"/>
            <w:shd w:val="clear" w:color="auto" w:fill="F4F7FC"/>
          </w:tcPr>
          <w:p>
            <w:pPr>
              <w:pStyle w:val="TableText"/>
            </w:pPr>
            <w:r>
              <w:rPr>
                <w:sz w:val="18"/>
                <w:szCs w:val="18"/>
              </w:rPr>
              <w:t xml:space="preserve">Envoi de test du rapport</w:t>
            </w:r>
          </w:p>
        </w:tc>
        <w:tc>
          <w:tcPr>
            <w:tcW w:w="4744" w:type="dxa"/>
            <w:shd w:val="clear" w:color="auto" w:fill="F4F7FC"/>
          </w:tcPr>
          <w:p>
            <w:pPr>
              <w:pStyle w:val="TableText"/>
            </w:pPr>
            <w:r>
              <w:rPr>
                <w:rFonts w:ascii="Consolas" w:hAnsi="Consolas" w:cs="Consolas"/>
                <w:color w:val="1C5CAB"/>
                <w:sz w:val="18"/>
                <w:szCs w:val="18"/>
                <w:shd w:val="clear" w:color="auto" w:fill="EEF3FA"/>
              </w:rPr>
              <w:t xml:space="preserve">send-report --to moi@…</w:t>
            </w:r>
            <w:r>
              <w:rPr>
                <w:sz w:val="18"/>
                <w:szCs w:val="18"/>
              </w:rPr>
              <w:t xml:space="preserve"> reçu</w:t>
            </w:r>
          </w:p>
        </w:tc>
        <w:tc>
          <w:tcPr>
            <w:tcW w:w="741" w:type="dxa"/>
            <w:shd w:val="clear" w:color="auto" w:fill="F4F7FC"/>
          </w:tcPr>
          <w:p>
            <w:pPr>
              <w:pStyle w:val="TableText"/>
            </w:pPr>
            <w:r>
              <w:rPr>
                <w:sz w:val="18"/>
                <w:szCs w:val="18"/>
              </w:rPr>
              <w:t xml:space="preserve">☐</w:t>
            </w:r>
          </w:p>
        </w:tc>
      </w:tr>
      <w:tr>
        <w:trPr>
          <w:cantSplit/>
        </w:trPr>
        <w:tc>
          <w:tcPr>
            <w:tcW w:w="593" w:type="dxa"/>
          </w:tcPr>
          <w:p>
            <w:pPr>
              <w:pStyle w:val="TableText"/>
            </w:pPr>
            <w:r>
              <w:rPr>
                <w:sz w:val="18"/>
                <w:szCs w:val="18"/>
              </w:rPr>
              <w:t xml:space="preserve">11</w:t>
            </w:r>
          </w:p>
        </w:tc>
        <w:tc>
          <w:tcPr>
            <w:tcW w:w="3558" w:type="dxa"/>
          </w:tcPr>
          <w:p>
            <w:pPr>
              <w:pStyle w:val="TableText"/>
            </w:pPr>
            <w:r>
              <w:rPr>
                <w:sz w:val="18"/>
                <w:szCs w:val="18"/>
              </w:rPr>
              <w:t xml:space="preserve">Droit db_ddladmin retiré</w:t>
            </w:r>
          </w:p>
        </w:tc>
        <w:tc>
          <w:tcPr>
            <w:tcW w:w="4744" w:type="dxa"/>
          </w:tcPr>
          <w:p>
            <w:pPr>
              <w:pStyle w:val="TableText"/>
            </w:pPr>
            <w:r>
              <w:rPr>
                <w:sz w:val="18"/>
                <w:szCs w:val="18"/>
              </w:rPr>
              <w:t xml:space="preserve">Rôle absent pour le compte de service</w:t>
            </w:r>
          </w:p>
        </w:tc>
        <w:tc>
          <w:tcPr>
            <w:tcW w:w="741" w:type="dxa"/>
          </w:tcPr>
          <w:p>
            <w:pPr>
              <w:pStyle w:val="TableText"/>
            </w:pPr>
            <w:r>
              <w:rPr>
                <w:sz w:val="18"/>
                <w:szCs w:val="18"/>
              </w:rPr>
              <w:t xml:space="preserve">☐</w:t>
            </w:r>
          </w:p>
        </w:tc>
      </w:tr>
    </w:tbl>
    <w:p>
      <w:pPr>
        <w:spacing w:after="80"/>
      </w:pPr>
    </w:p>
    <w:p>
      <w:pPr>
        <w:pStyle w:val="Heading1"/>
      </w:pPr>
      <w:bookmarkStart w:id="39" w:name="_Toc00039"/>
      <w:r>
        <w:rPr/>
        <w:t xml:space="preserve">6. Configuration de référence</w:t>
      </w:r>
      <w:bookmarkEnd w:id="39"/>
    </w:p>
    <w:p>
      <w:pPr/>
      <w:r>
        <w:rPr/>
        <w:t xml:space="preserve">Toute la configuration réside dans un fichier YAML unique, </w:t>
      </w:r>
      <w:r>
        <w:rPr>
          <w:rFonts w:ascii="Consolas" w:hAnsi="Consolas" w:cs="Consolas"/>
          <w:color w:val="1C5CAB"/>
          <w:sz w:val="18"/>
          <w:szCs w:val="18"/>
          <w:shd w:val="clear" w:color="auto" w:fill="EEF3FA"/>
        </w:rPr>
        <w:t xml:space="preserve">C:\FreeLM\freelm.yaml</w:t>
      </w:r>
      <w:r>
        <w:rPr/>
        <w:t xml:space="preserve"> (ou le chemin indiqué par </w:t>
      </w:r>
      <w:r>
        <w:rPr>
          <w:rFonts w:ascii="Consolas" w:hAnsi="Consolas" w:cs="Consolas"/>
          <w:color w:val="1C5CAB"/>
          <w:sz w:val="18"/>
          <w:szCs w:val="18"/>
          <w:shd w:val="clear" w:color="auto" w:fill="EEF3FA"/>
        </w:rPr>
        <w:t xml:space="preserve">-c</w:t>
      </w:r>
      <w:r>
        <w:rPr/>
        <w:t xml:space="preserve"> ou la variable </w:t>
      </w:r>
      <w:r>
        <w:rPr>
          <w:rFonts w:ascii="Consolas" w:hAnsi="Consolas" w:cs="Consolas"/>
          <w:color w:val="1C5CAB"/>
          <w:sz w:val="18"/>
          <w:szCs w:val="18"/>
          <w:shd w:val="clear" w:color="auto" w:fill="EEF3FA"/>
        </w:rPr>
        <w:t xml:space="preserve">FREELM_CONFIG</w:t>
      </w:r>
      <w:r>
        <w:rPr/>
        <w:t xml:space="preserve">). Les variables d'environnement y sont développées (</w:t>
      </w:r>
      <w:r>
        <w:rPr>
          <w:rFonts w:ascii="Consolas" w:hAnsi="Consolas" w:cs="Consolas"/>
          <w:color w:val="1C5CAB"/>
          <w:sz w:val="18"/>
          <w:szCs w:val="18"/>
          <w:shd w:val="clear" w:color="auto" w:fill="EEF3FA"/>
        </w:rPr>
        <w:t xml:space="preserve">${VAR}</w:t>
      </w:r>
      <w:r>
        <w:rPr/>
        <w:t xml:space="preserve">, </w:t>
      </w:r>
      <w:r>
        <w:rPr>
          <w:rFonts w:ascii="Consolas" w:hAnsi="Consolas" w:cs="Consolas"/>
          <w:color w:val="1C5CAB"/>
          <w:sz w:val="18"/>
          <w:szCs w:val="18"/>
          <w:shd w:val="clear" w:color="auto" w:fill="EEF3FA"/>
        </w:rPr>
        <w:t xml:space="preserve">%VAR%</w:t>
      </w:r>
      <w:r>
        <w:rPr/>
        <w:t xml:space="preserve">) : les mots de passe ne doivent jamais y être écrits en clair.</w:t>
      </w:r>
    </w:p>
    <w:p>
      <w:pPr>
        <w:pStyle w:val="Heading2"/>
      </w:pPr>
      <w:bookmarkStart w:id="40" w:name="_Toc00040"/>
      <w:r>
        <w:rPr/>
        <w:t xml:space="preserve">6.1 Sections du fichier</w:t>
      </w:r>
      <w:bookmarkEnd w:id="40"/>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1482"/>
        <w:gridCol w:w="6227"/>
      </w:tblGrid>
      <w:tr>
        <w:trPr>
          <w:tblHeader/>
          <w:cantSplit/>
        </w:trPr>
        <w:tc>
          <w:tcPr>
            <w:tcW w:w="1927" w:type="dxa"/>
            <w:shd w:val="clear" w:color="auto" w:fill="2A78D6"/>
          </w:tcPr>
          <w:p>
            <w:pPr>
              <w:pStyle w:val="TableText"/>
            </w:pPr>
            <w:r>
              <w:rPr>
                <w:b/>
                <w:color w:val="FFFFFF"/>
                <w:sz w:val="18"/>
                <w:szCs w:val="18"/>
              </w:rPr>
              <w:t xml:space="preserve">Section</w:t>
            </w:r>
          </w:p>
        </w:tc>
        <w:tc>
          <w:tcPr>
            <w:tcW w:w="1482" w:type="dxa"/>
            <w:shd w:val="clear" w:color="auto" w:fill="2A78D6"/>
          </w:tcPr>
          <w:p>
            <w:pPr>
              <w:pStyle w:val="TableText"/>
            </w:pPr>
            <w:r>
              <w:rPr>
                <w:b/>
                <w:color w:val="FFFFFF"/>
                <w:sz w:val="18"/>
                <w:szCs w:val="18"/>
              </w:rPr>
              <w:t xml:space="preserve">Obligatoire</w:t>
            </w:r>
          </w:p>
        </w:tc>
        <w:tc>
          <w:tcPr>
            <w:tcW w:w="6227"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database</w:t>
            </w:r>
          </w:p>
        </w:tc>
        <w:tc>
          <w:tcPr>
            <w:tcW w:w="1482" w:type="dxa"/>
          </w:tcPr>
          <w:p>
            <w:pPr>
              <w:pStyle w:val="TableText"/>
            </w:pPr>
            <w:r>
              <w:rPr>
                <w:sz w:val="18"/>
                <w:szCs w:val="18"/>
              </w:rPr>
              <w:t xml:space="preserve">Oui</w:t>
            </w:r>
          </w:p>
        </w:tc>
        <w:tc>
          <w:tcPr>
            <w:tcW w:w="6227" w:type="dxa"/>
          </w:tcPr>
          <w:p>
            <w:pPr>
              <w:pStyle w:val="TableText"/>
            </w:pPr>
            <w:r>
              <w:rPr>
                <w:sz w:val="18"/>
                <w:szCs w:val="18"/>
              </w:rPr>
              <w:t xml:space="preserve">Connexion à la base</w:t>
            </w:r>
          </w:p>
        </w:tc>
      </w:tr>
      <w:tr>
        <w:trPr>
          <w:cantSplit/>
        </w:trPr>
        <w:tc>
          <w:tcPr>
            <w:tcW w:w="1927" w:type="dxa"/>
            <w:shd w:val="clear" w:color="auto" w:fill="F4F7FC"/>
          </w:tcPr>
          <w:p>
            <w:pPr>
              <w:pStyle w:val="TableText"/>
            </w:pPr>
            <w:r>
              <w:rPr>
                <w:sz w:val="18"/>
                <w:szCs w:val="18"/>
              </w:rPr>
              <w:t xml:space="preserve">lmutil_path</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Chemin de lmutil.exe</w:t>
            </w:r>
          </w:p>
        </w:tc>
      </w:tr>
      <w:tr>
        <w:trPr>
          <w:cantSplit/>
        </w:trPr>
        <w:tc>
          <w:tcPr>
            <w:tcW w:w="1927" w:type="dxa"/>
          </w:tcPr>
          <w:p>
            <w:pPr>
              <w:pStyle w:val="TableText"/>
            </w:pPr>
            <w:r>
              <w:rPr>
                <w:sz w:val="18"/>
                <w:szCs w:val="18"/>
              </w:rPr>
              <w:t xml:space="preserve">logging</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Fichier et niveau du journal</w:t>
            </w:r>
          </w:p>
        </w:tc>
      </w:tr>
      <w:tr>
        <w:trPr>
          <w:cantSplit/>
        </w:trPr>
        <w:tc>
          <w:tcPr>
            <w:tcW w:w="1927" w:type="dxa"/>
            <w:shd w:val="clear" w:color="auto" w:fill="F4F7FC"/>
          </w:tcPr>
          <w:p>
            <w:pPr>
              <w:pStyle w:val="TableText"/>
            </w:pPr>
            <w:r>
              <w:rPr>
                <w:sz w:val="18"/>
                <w:szCs w:val="18"/>
              </w:rPr>
              <w:t xml:space="preserve">servers</w:t>
            </w:r>
          </w:p>
        </w:tc>
        <w:tc>
          <w:tcPr>
            <w:tcW w:w="1482" w:type="dxa"/>
            <w:shd w:val="clear" w:color="auto" w:fill="F4F7FC"/>
          </w:tcPr>
          <w:p>
            <w:pPr>
              <w:pStyle w:val="TableText"/>
            </w:pPr>
            <w:r>
              <w:rPr>
                <w:sz w:val="18"/>
                <w:szCs w:val="18"/>
              </w:rPr>
              <w:t xml:space="preserve">Oui</w:t>
            </w:r>
          </w:p>
        </w:tc>
        <w:tc>
          <w:tcPr>
            <w:tcW w:w="6227" w:type="dxa"/>
            <w:shd w:val="clear" w:color="auto" w:fill="F4F7FC"/>
          </w:tcPr>
          <w:p>
            <w:pPr>
              <w:pStyle w:val="TableText"/>
            </w:pPr>
            <w:r>
              <w:rPr>
                <w:sz w:val="18"/>
                <w:szCs w:val="18"/>
              </w:rPr>
              <w:t xml:space="preserve">Serveurs de licences et collecteurs</w:t>
            </w:r>
          </w:p>
        </w:tc>
      </w:tr>
      <w:tr>
        <w:trPr>
          <w:cantSplit/>
        </w:trPr>
        <w:tc>
          <w:tcPr>
            <w:tcW w:w="1927" w:type="dxa"/>
          </w:tcPr>
          <w:p>
            <w:pPr>
              <w:pStyle w:val="TableText"/>
            </w:pPr>
            <w:r>
              <w:rPr>
                <w:sz w:val="18"/>
                <w:szCs w:val="18"/>
              </w:rPr>
              <w:t xml:space="preserve">products</w:t>
            </w:r>
          </w:p>
        </w:tc>
        <w:tc>
          <w:tcPr>
            <w:tcW w:w="1482" w:type="dxa"/>
          </w:tcPr>
          <w:p>
            <w:pPr>
              <w:pStyle w:val="TableText"/>
            </w:pPr>
            <w:r>
              <w:rPr>
                <w:sz w:val="18"/>
                <w:szCs w:val="18"/>
              </w:rPr>
              <w:t xml:space="preserve">Recommandé</w:t>
            </w:r>
          </w:p>
        </w:tc>
        <w:tc>
          <w:tcPr>
            <w:tcW w:w="6227" w:type="dxa"/>
          </w:tcPr>
          <w:p>
            <w:pPr>
              <w:pStyle w:val="TableText"/>
            </w:pPr>
            <w:r>
              <w:rPr>
                <w:sz w:val="18"/>
                <w:szCs w:val="18"/>
              </w:rPr>
              <w:t xml:space="preserve">Correspondance feature → produit, éditeur, coût</w:t>
            </w:r>
          </w:p>
        </w:tc>
      </w:tr>
      <w:tr>
        <w:trPr>
          <w:cantSplit/>
        </w:trPr>
        <w:tc>
          <w:tcPr>
            <w:tcW w:w="1927" w:type="dxa"/>
            <w:shd w:val="clear" w:color="auto" w:fill="F4F7FC"/>
          </w:tcPr>
          <w:p>
            <w:pPr>
              <w:pStyle w:val="TableText"/>
            </w:pPr>
            <w:r>
              <w:rPr>
                <w:sz w:val="18"/>
                <w:szCs w:val="18"/>
              </w:rPr>
              <w:t xml:space="preserve">reporting</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Rapports : dossier, heures ouvrées, devise, couverture cible</w:t>
            </w:r>
          </w:p>
        </w:tc>
      </w:tr>
      <w:tr>
        <w:trPr>
          <w:cantSplit/>
        </w:trPr>
        <w:tc>
          <w:tcPr>
            <w:tcW w:w="1927" w:type="dxa"/>
          </w:tcPr>
          <w:p>
            <w:pPr>
              <w:pStyle w:val="TableText"/>
            </w:pPr>
            <w:r>
              <w:rPr>
                <w:sz w:val="18"/>
                <w:szCs w:val="18"/>
              </w:rPr>
              <w:t xml:space="preserve">web</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Interface : adresse, port, HTTPS, authentification</w:t>
            </w:r>
          </w:p>
        </w:tc>
      </w:tr>
      <w:tr>
        <w:trPr>
          <w:cantSplit/>
        </w:trPr>
        <w:tc>
          <w:tcPr>
            <w:tcW w:w="1927" w:type="dxa"/>
            <w:shd w:val="clear" w:color="auto" w:fill="F4F7FC"/>
          </w:tcPr>
          <w:p>
            <w:pPr>
              <w:pStyle w:val="TableText"/>
            </w:pPr>
            <w:r>
              <w:rPr>
                <w:sz w:val="18"/>
                <w:szCs w:val="18"/>
              </w:rPr>
              <w:t xml:space="preserve">email</w:t>
            </w:r>
          </w:p>
        </w:tc>
        <w:tc>
          <w:tcPr>
            <w:tcW w:w="1482" w:type="dxa"/>
            <w:shd w:val="clear" w:color="auto" w:fill="F4F7FC"/>
          </w:tcPr>
          <w:p>
            <w:pPr>
              <w:pStyle w:val="TableText"/>
            </w:pPr>
            <w:r>
              <w:rPr>
                <w:sz w:val="18"/>
                <w:szCs w:val="18"/>
              </w:rPr>
              <w:t xml:space="preserve">Non</w:t>
            </w:r>
          </w:p>
        </w:tc>
        <w:tc>
          <w:tcPr>
            <w:tcW w:w="6227" w:type="dxa"/>
            <w:shd w:val="clear" w:color="auto" w:fill="F4F7FC"/>
          </w:tcPr>
          <w:p>
            <w:pPr>
              <w:pStyle w:val="TableText"/>
            </w:pPr>
            <w:r>
              <w:rPr>
                <w:sz w:val="18"/>
                <w:szCs w:val="18"/>
              </w:rPr>
              <w:t xml:space="preserve">Serveur SMTP et abonnements au rapport</w:t>
            </w:r>
          </w:p>
        </w:tc>
      </w:tr>
      <w:tr>
        <w:trPr>
          <w:cantSplit/>
        </w:trPr>
        <w:tc>
          <w:tcPr>
            <w:tcW w:w="1927" w:type="dxa"/>
          </w:tcPr>
          <w:p>
            <w:pPr>
              <w:pStyle w:val="TableText"/>
            </w:pPr>
            <w:r>
              <w:rPr>
                <w:sz w:val="18"/>
                <w:szCs w:val="18"/>
              </w:rPr>
              <w:t xml:space="preserve">retention</w:t>
            </w:r>
          </w:p>
        </w:tc>
        <w:tc>
          <w:tcPr>
            <w:tcW w:w="1482" w:type="dxa"/>
          </w:tcPr>
          <w:p>
            <w:pPr>
              <w:pStyle w:val="TableText"/>
            </w:pPr>
            <w:r>
              <w:rPr>
                <w:sz w:val="18"/>
                <w:szCs w:val="18"/>
              </w:rPr>
              <w:t xml:space="preserve">Non</w:t>
            </w:r>
          </w:p>
        </w:tc>
        <w:tc>
          <w:tcPr>
            <w:tcW w:w="6227" w:type="dxa"/>
          </w:tcPr>
          <w:p>
            <w:pPr>
              <w:pStyle w:val="TableText"/>
            </w:pPr>
            <w:r>
              <w:rPr>
                <w:sz w:val="18"/>
                <w:szCs w:val="18"/>
              </w:rPr>
              <w:t xml:space="preserve">Durées de conservation</w:t>
            </w:r>
          </w:p>
        </w:tc>
      </w:tr>
    </w:tbl>
    <w:p>
      <w:pPr>
        <w:spacing w:after="80"/>
      </w:pPr>
    </w:p>
    <w:p>
      <w:pPr>
        <w:pStyle w:val="Heading2"/>
      </w:pPr>
      <w:bookmarkStart w:id="41" w:name="_Toc00041"/>
      <w:r>
        <w:rPr/>
        <w:t xml:space="preserve">6.2 Paramètres détaillés</w:t>
      </w:r>
      <w:bookmarkEnd w:id="41"/>
    </w:p>
    <w:p>
      <w:pPr>
        <w:pStyle w:val="Heading3"/>
      </w:pPr>
      <w:bookmarkStart w:id="42" w:name="_Toc00042"/>
      <w:r>
        <w:rPr/>
        <w:t xml:space="preserve">database, lmutil_path, logging</w:t>
      </w:r>
      <w:bookmarkEnd w:id="42"/>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1376"/>
        <w:gridCol w:w="5232"/>
      </w:tblGrid>
      <w:tr>
        <w:trPr>
          <w:tblHeader/>
          <w:cantSplit/>
        </w:trPr>
        <w:tc>
          <w:tcPr>
            <w:tcW w:w="3029"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5232" w:type="dxa"/>
            <w:shd w:val="clear" w:color="auto" w:fill="2A78D6"/>
          </w:tcPr>
          <w:p>
            <w:pPr>
              <w:pStyle w:val="TableText"/>
            </w:pPr>
            <w:r>
              <w:rPr>
                <w:b/>
                <w:color w:val="FFFFFF"/>
                <w:sz w:val="18"/>
                <w:szCs w:val="18"/>
              </w:rPr>
              <w:t xml:space="preserve">Description</w:t>
            </w:r>
          </w:p>
        </w:tc>
      </w:tr>
      <w:tr>
        <w:trPr>
          <w:cantSplit/>
        </w:trPr>
        <w:tc>
          <w:tcPr>
            <w:tcW w:w="3029" w:type="dxa"/>
          </w:tcPr>
          <w:p>
            <w:pPr>
              <w:pStyle w:val="TableText"/>
            </w:pPr>
            <w:r>
              <w:rPr>
                <w:sz w:val="18"/>
                <w:szCs w:val="18"/>
              </w:rPr>
              <w:t xml:space="preserve">database.connection_string</w:t>
            </w:r>
          </w:p>
        </w:tc>
        <w:tc>
          <w:tcPr>
            <w:tcW w:w="1376" w:type="dxa"/>
          </w:tcPr>
          <w:p>
            <w:pPr>
              <w:pStyle w:val="TableText"/>
            </w:pPr>
            <w:r>
              <w:rPr>
                <w:sz w:val="18"/>
                <w:szCs w:val="18"/>
              </w:rPr>
              <w:t xml:space="preserve">—</w:t>
            </w:r>
          </w:p>
        </w:tc>
        <w:tc>
          <w:tcPr>
            <w:tcW w:w="5232" w:type="dxa"/>
          </w:tcPr>
          <w:p>
            <w:pPr>
              <w:pStyle w:val="TableText"/>
            </w:pPr>
            <w:r>
              <w:rPr>
                <w:sz w:val="18"/>
                <w:szCs w:val="18"/>
              </w:rPr>
              <w:t xml:space="preserve">Chaîne ODBC SQL Server (</w:t>
            </w:r>
            <w:r>
              <w:rPr>
                <w:rFonts w:ascii="Consolas" w:hAnsi="Consolas" w:cs="Consolas"/>
                <w:color w:val="1C5CAB"/>
                <w:sz w:val="18"/>
                <w:szCs w:val="18"/>
                <w:shd w:val="clear" w:color="auto" w:fill="EEF3FA"/>
              </w:rPr>
              <w:t xml:space="preserve">Encrypt=yes</w:t>
            </w:r>
            <w:r>
              <w:rPr>
                <w:sz w:val="18"/>
                <w:szCs w:val="18"/>
              </w:rPr>
              <w:t xml:space="preserve">), ou </w:t>
            </w:r>
            <w:r>
              <w:rPr>
                <w:rFonts w:ascii="Consolas" w:hAnsi="Consolas" w:cs="Consolas"/>
                <w:color w:val="1C5CAB"/>
                <w:sz w:val="18"/>
                <w:szCs w:val="18"/>
                <w:shd w:val="clear" w:color="auto" w:fill="EEF3FA"/>
              </w:rPr>
              <w:t xml:space="preserve">sqlite:///chemin.db</w:t>
            </w:r>
            <w:r>
              <w:rPr>
                <w:sz w:val="18"/>
                <w:szCs w:val="18"/>
              </w:rPr>
              <w:t xml:space="preserve"> pour un essai</w:t>
            </w:r>
          </w:p>
        </w:tc>
      </w:tr>
      <w:tr>
        <w:trPr>
          <w:cantSplit/>
        </w:trPr>
        <w:tc>
          <w:tcPr>
            <w:tcW w:w="3029" w:type="dxa"/>
            <w:shd w:val="clear" w:color="auto" w:fill="F4F7FC"/>
          </w:tcPr>
          <w:p>
            <w:pPr>
              <w:pStyle w:val="TableText"/>
            </w:pPr>
            <w:r>
              <w:rPr>
                <w:sz w:val="18"/>
                <w:szCs w:val="18"/>
              </w:rPr>
              <w:t xml:space="preserve">lmutil_path</w:t>
            </w:r>
          </w:p>
        </w:tc>
        <w:tc>
          <w:tcPr>
            <w:tcW w:w="1376" w:type="dxa"/>
            <w:shd w:val="clear" w:color="auto" w:fill="F4F7FC"/>
          </w:tcPr>
          <w:p>
            <w:pPr>
              <w:pStyle w:val="TableText"/>
            </w:pPr>
            <w:r>
              <w:rPr>
                <w:sz w:val="18"/>
                <w:szCs w:val="18"/>
              </w:rPr>
              <w:t xml:space="preserve">lmutil</w:t>
            </w:r>
          </w:p>
        </w:tc>
        <w:tc>
          <w:tcPr>
            <w:tcW w:w="5232" w:type="dxa"/>
            <w:shd w:val="clear" w:color="auto" w:fill="F4F7FC"/>
          </w:tcPr>
          <w:p>
            <w:pPr>
              <w:pStyle w:val="TableText"/>
            </w:pPr>
            <w:r>
              <w:rPr>
                <w:sz w:val="18"/>
                <w:szCs w:val="18"/>
              </w:rPr>
              <w:t xml:space="preserve">Chemin de lmutil.exe (surchargeable par serveur)</w:t>
            </w:r>
          </w:p>
        </w:tc>
      </w:tr>
      <w:tr>
        <w:trPr>
          <w:cantSplit/>
        </w:trPr>
        <w:tc>
          <w:tcPr>
            <w:tcW w:w="3029" w:type="dxa"/>
          </w:tcPr>
          <w:p>
            <w:pPr>
              <w:pStyle w:val="TableText"/>
            </w:pPr>
            <w:r>
              <w:rPr>
                <w:sz w:val="18"/>
                <w:szCs w:val="18"/>
              </w:rPr>
              <w:t xml:space="preserve">logging.file</w:t>
            </w:r>
          </w:p>
        </w:tc>
        <w:tc>
          <w:tcPr>
            <w:tcW w:w="1376" w:type="dxa"/>
          </w:tcPr>
          <w:p>
            <w:pPr>
              <w:pStyle w:val="TableText"/>
            </w:pPr>
            <w:r>
              <w:rPr>
                <w:sz w:val="18"/>
                <w:szCs w:val="18"/>
              </w:rPr>
              <w:t xml:space="preserve">(aucun)</w:t>
            </w:r>
          </w:p>
        </w:tc>
        <w:tc>
          <w:tcPr>
            <w:tcW w:w="5232" w:type="dxa"/>
          </w:tcPr>
          <w:p>
            <w:pPr>
              <w:pStyle w:val="TableText"/>
            </w:pPr>
            <w:r>
              <w:rPr>
                <w:sz w:val="18"/>
                <w:szCs w:val="18"/>
              </w:rPr>
              <w:t xml:space="preserve">Fichier journal ; rotation automatique 5 fichiers de 5 Mo</w:t>
            </w:r>
          </w:p>
        </w:tc>
      </w:tr>
      <w:tr>
        <w:trPr>
          <w:cantSplit/>
        </w:trPr>
        <w:tc>
          <w:tcPr>
            <w:tcW w:w="3029" w:type="dxa"/>
            <w:shd w:val="clear" w:color="auto" w:fill="F4F7FC"/>
          </w:tcPr>
          <w:p>
            <w:pPr>
              <w:pStyle w:val="TableText"/>
            </w:pPr>
            <w:r>
              <w:rPr>
                <w:sz w:val="18"/>
                <w:szCs w:val="18"/>
              </w:rPr>
              <w:t xml:space="preserve">logging.level</w:t>
            </w:r>
          </w:p>
        </w:tc>
        <w:tc>
          <w:tcPr>
            <w:tcW w:w="1376" w:type="dxa"/>
            <w:shd w:val="clear" w:color="auto" w:fill="F4F7FC"/>
          </w:tcPr>
          <w:p>
            <w:pPr>
              <w:pStyle w:val="TableText"/>
            </w:pPr>
            <w:r>
              <w:rPr>
                <w:sz w:val="18"/>
                <w:szCs w:val="18"/>
              </w:rPr>
              <w:t xml:space="preserve">INFO</w:t>
            </w:r>
          </w:p>
        </w:tc>
        <w:tc>
          <w:tcPr>
            <w:tcW w:w="5232" w:type="dxa"/>
            <w:shd w:val="clear" w:color="auto" w:fill="F4F7FC"/>
          </w:tcPr>
          <w:p>
            <w:pPr>
              <w:pStyle w:val="TableText"/>
            </w:pPr>
            <w:r>
              <w:rPr>
                <w:sz w:val="18"/>
                <w:szCs w:val="18"/>
              </w:rPr>
              <w:t xml:space="preserve">DEBUG, INFO, WARNING, ERROR (l'option </w:t>
            </w:r>
            <w:r>
              <w:rPr>
                <w:rFonts w:ascii="Consolas" w:hAnsi="Consolas" w:cs="Consolas"/>
                <w:color w:val="1C5CAB"/>
                <w:sz w:val="18"/>
                <w:szCs w:val="18"/>
                <w:shd w:val="clear" w:color="auto" w:fill="EEF3FA"/>
              </w:rPr>
              <w:t xml:space="preserve">-v</w:t>
            </w:r>
            <w:r>
              <w:rPr>
                <w:sz w:val="18"/>
                <w:szCs w:val="18"/>
              </w:rPr>
              <w:t xml:space="preserve"> force DEBUG)</w:t>
            </w:r>
          </w:p>
        </w:tc>
      </w:tr>
    </w:tbl>
    <w:p>
      <w:pPr>
        <w:spacing w:after="80"/>
      </w:pPr>
    </w:p>
    <w:p>
      <w:pPr>
        <w:pStyle w:val="Heading3"/>
      </w:pPr>
      <w:bookmarkStart w:id="43" w:name="_Toc00043"/>
      <w:r>
        <w:rPr/>
        <w:t xml:space="preserve">servers (un bloc par serveur de licences)</w:t>
      </w:r>
      <w:bookmarkEnd w:id="43"/>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name</w:t>
            </w:r>
          </w:p>
        </w:tc>
        <w:tc>
          <w:tcPr>
            <w:tcW w:w="1376" w:type="dxa"/>
          </w:tcPr>
          <w:p>
            <w:pPr>
              <w:pStyle w:val="TableText"/>
            </w:pPr>
            <w:r>
              <w:rPr>
                <w:sz w:val="18"/>
                <w:szCs w:val="18"/>
              </w:rPr>
              <w:t xml:space="preserve">—</w:t>
            </w:r>
          </w:p>
        </w:tc>
        <w:tc>
          <w:tcPr>
            <w:tcW w:w="6058" w:type="dxa"/>
          </w:tcPr>
          <w:p>
            <w:pPr>
              <w:pStyle w:val="TableText"/>
            </w:pPr>
            <w:r>
              <w:rPr>
                <w:sz w:val="18"/>
                <w:szCs w:val="18"/>
              </w:rPr>
              <w:t xml:space="preserve">Nom unique affiché dans les rapports (ex. AUTODESK)</w:t>
            </w:r>
          </w:p>
        </w:tc>
      </w:tr>
      <w:tr>
        <w:trPr>
          <w:cantSplit/>
        </w:trPr>
        <w:tc>
          <w:tcPr>
            <w:tcW w:w="2202" w:type="dxa"/>
            <w:shd w:val="clear" w:color="auto" w:fill="F4F7FC"/>
          </w:tcPr>
          <w:p>
            <w:pPr>
              <w:pStyle w:val="TableText"/>
            </w:pPr>
            <w:r>
              <w:rPr>
                <w:sz w:val="18"/>
                <w:szCs w:val="18"/>
              </w:rPr>
              <w:t xml:space="preserve">port_at_host</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Adresse FlexLM </w:t>
            </w:r>
            <w:r>
              <w:rPr>
                <w:rFonts w:ascii="Consolas" w:hAnsi="Consolas" w:cs="Consolas"/>
                <w:color w:val="1C5CAB"/>
                <w:sz w:val="18"/>
                <w:szCs w:val="18"/>
                <w:shd w:val="clear" w:color="auto" w:fill="EEF3FA"/>
              </w:rPr>
              <w:t xml:space="preserve">port@hôte</w:t>
            </w:r>
            <w:r>
              <w:rPr>
                <w:sz w:val="18"/>
                <w:szCs w:val="18"/>
              </w:rPr>
              <w:t xml:space="preserve"> ; triade : </w:t>
            </w:r>
            <w:r>
              <w:rPr>
                <w:rFonts w:ascii="Consolas" w:hAnsi="Consolas" w:cs="Consolas"/>
                <w:color w:val="1C5CAB"/>
                <w:sz w:val="18"/>
                <w:szCs w:val="18"/>
                <w:shd w:val="clear" w:color="auto" w:fill="EEF3FA"/>
              </w:rPr>
              <w:t xml:space="preserve">27000@a:27000@b:27000@c</w:t>
            </w:r>
          </w:p>
        </w:tc>
      </w:tr>
      <w:tr>
        <w:trPr>
          <w:cantSplit/>
        </w:trPr>
        <w:tc>
          <w:tcPr>
            <w:tcW w:w="2202" w:type="dxa"/>
          </w:tcPr>
          <w:p>
            <w:pPr>
              <w:pStyle w:val="TableText"/>
            </w:pPr>
            <w:r>
              <w:rPr>
                <w:sz w:val="18"/>
                <w:szCs w:val="18"/>
              </w:rPr>
              <w:t xml:space="preserve">license_type</w:t>
            </w:r>
          </w:p>
        </w:tc>
        <w:tc>
          <w:tcPr>
            <w:tcW w:w="1376" w:type="dxa"/>
          </w:tcPr>
          <w:p>
            <w:pPr>
              <w:pStyle w:val="TableText"/>
            </w:pPr>
            <w:r>
              <w:rPr>
                <w:sz w:val="18"/>
                <w:szCs w:val="18"/>
              </w:rPr>
              <w:t xml:space="preserve">flexlm</w:t>
            </w:r>
          </w:p>
        </w:tc>
        <w:tc>
          <w:tcPr>
            <w:tcW w:w="6058" w:type="dxa"/>
          </w:tcPr>
          <w:p>
            <w:pPr>
              <w:pStyle w:val="TableText"/>
            </w:pPr>
            <w:r>
              <w:rPr>
                <w:sz w:val="18"/>
                <w:szCs w:val="18"/>
              </w:rPr>
              <w:t xml:space="preserve">Type de gestionnaire (extensible : rlm…)</w:t>
            </w:r>
          </w:p>
        </w:tc>
      </w:tr>
      <w:tr>
        <w:trPr>
          <w:cantSplit/>
        </w:trPr>
        <w:tc>
          <w:tcPr>
            <w:tcW w:w="2202" w:type="dxa"/>
            <w:shd w:val="clear" w:color="auto" w:fill="F4F7FC"/>
          </w:tcPr>
          <w:p>
            <w:pPr>
              <w:pStyle w:val="TableText"/>
            </w:pPr>
            <w:r>
              <w:rPr>
                <w:sz w:val="18"/>
                <w:szCs w:val="18"/>
              </w:rPr>
              <w:t xml:space="preserve">collectors</w:t>
            </w:r>
          </w:p>
        </w:tc>
        <w:tc>
          <w:tcPr>
            <w:tcW w:w="1376" w:type="dxa"/>
            <w:shd w:val="clear" w:color="auto" w:fill="F4F7FC"/>
          </w:tcPr>
          <w:p>
            <w:pPr>
              <w:pStyle w:val="TableText"/>
            </w:pPr>
            <w:r>
              <w:rPr>
                <w:sz w:val="18"/>
                <w:szCs w:val="18"/>
              </w:rPr>
              <w:t xml:space="preserve">[lmstat]</w:t>
            </w:r>
          </w:p>
        </w:tc>
        <w:tc>
          <w:tcPr>
            <w:tcW w:w="6058" w:type="dxa"/>
            <w:shd w:val="clear" w:color="auto" w:fill="F4F7FC"/>
          </w:tcPr>
          <w:p>
            <w:pPr>
              <w:pStyle w:val="TableText"/>
            </w:pPr>
            <w:r>
              <w:rPr>
                <w:rFonts w:ascii="Consolas" w:hAnsi="Consolas" w:cs="Consolas"/>
                <w:color w:val="1C5CAB"/>
                <w:sz w:val="18"/>
                <w:szCs w:val="18"/>
                <w:shd w:val="clear" w:color="auto" w:fill="EEF3FA"/>
              </w:rPr>
              <w:t xml:space="preserve">lmstat</w:t>
            </w:r>
            <w:r>
              <w:rPr>
                <w:sz w:val="18"/>
                <w:szCs w:val="18"/>
              </w:rPr>
              <w:t xml:space="preserve">, </w:t>
            </w:r>
            <w:r>
              <w:rPr>
                <w:rFonts w:ascii="Consolas" w:hAnsi="Consolas" w:cs="Consolas"/>
                <w:color w:val="1C5CAB"/>
                <w:sz w:val="18"/>
                <w:szCs w:val="18"/>
                <w:shd w:val="clear" w:color="auto" w:fill="EEF3FA"/>
              </w:rPr>
              <w:t xml:space="preserve">log</w:t>
            </w:r>
            <w:r>
              <w:rPr>
                <w:sz w:val="18"/>
                <w:szCs w:val="18"/>
              </w:rPr>
              <w:t xml:space="preserve"> ou les deux</w:t>
            </w:r>
          </w:p>
        </w:tc>
      </w:tr>
      <w:tr>
        <w:trPr>
          <w:cantSplit/>
        </w:trPr>
        <w:tc>
          <w:tcPr>
            <w:tcW w:w="2202" w:type="dxa"/>
          </w:tcPr>
          <w:p>
            <w:pPr>
              <w:pStyle w:val="TableText"/>
            </w:pPr>
            <w:r>
              <w:rPr>
                <w:sz w:val="18"/>
                <w:szCs w:val="18"/>
              </w:rPr>
              <w:t xml:space="preserve">sessions_from</w:t>
            </w:r>
          </w:p>
        </w:tc>
        <w:tc>
          <w:tcPr>
            <w:tcW w:w="1376" w:type="dxa"/>
          </w:tcPr>
          <w:p>
            <w:pPr>
              <w:pStyle w:val="TableText"/>
            </w:pPr>
            <w:r>
              <w:rPr>
                <w:sz w:val="18"/>
                <w:szCs w:val="18"/>
              </w:rPr>
              <w:t xml:space="preserve">lmstat</w:t>
            </w:r>
          </w:p>
        </w:tc>
        <w:tc>
          <w:tcPr>
            <w:tcW w:w="6058" w:type="dxa"/>
          </w:tcPr>
          <w:p>
            <w:pPr>
              <w:pStyle w:val="TableText"/>
            </w:pPr>
            <w:r>
              <w:rPr>
                <w:sz w:val="18"/>
                <w:szCs w:val="18"/>
              </w:rPr>
              <w:t xml:space="preserve">Source unique des sessions : </w:t>
            </w:r>
            <w:r>
              <w:rPr>
                <w:rFonts w:ascii="Consolas" w:hAnsi="Consolas" w:cs="Consolas"/>
                <w:color w:val="1C5CAB"/>
                <w:sz w:val="18"/>
                <w:szCs w:val="18"/>
                <w:shd w:val="clear" w:color="auto" w:fill="EEF3FA"/>
              </w:rPr>
              <w:t xml:space="preserve">lmstat</w:t>
            </w:r>
            <w:r>
              <w:rPr>
                <w:sz w:val="18"/>
                <w:szCs w:val="18"/>
              </w:rPr>
              <w:t xml:space="preserve"> ou </w:t>
            </w:r>
            <w:r>
              <w:rPr>
                <w:rFonts w:ascii="Consolas" w:hAnsi="Consolas" w:cs="Consolas"/>
                <w:color w:val="1C5CAB"/>
                <w:sz w:val="18"/>
                <w:szCs w:val="18"/>
                <w:shd w:val="clear" w:color="auto" w:fill="EEF3FA"/>
              </w:rPr>
              <w:t xml:space="preserve">log</w:t>
            </w:r>
          </w:p>
        </w:tc>
      </w:tr>
      <w:tr>
        <w:trPr>
          <w:cantSplit/>
        </w:trPr>
        <w:tc>
          <w:tcPr>
            <w:tcW w:w="2202" w:type="dxa"/>
            <w:shd w:val="clear" w:color="auto" w:fill="F4F7FC"/>
          </w:tcPr>
          <w:p>
            <w:pPr>
              <w:pStyle w:val="TableText"/>
            </w:pPr>
            <w:r>
              <w:rPr>
                <w:sz w:val="18"/>
                <w:szCs w:val="18"/>
              </w:rPr>
              <w:t xml:space="preserve">log_path</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Chemin du log debug (obligatoire avec le collecteur log)</w:t>
            </w:r>
          </w:p>
        </w:tc>
      </w:tr>
      <w:tr>
        <w:trPr>
          <w:cantSplit/>
        </w:trPr>
        <w:tc>
          <w:tcPr>
            <w:tcW w:w="2202" w:type="dxa"/>
          </w:tcPr>
          <w:p>
            <w:pPr>
              <w:pStyle w:val="TableText"/>
            </w:pPr>
            <w:r>
              <w:rPr>
                <w:sz w:val="18"/>
                <w:szCs w:val="18"/>
              </w:rPr>
              <w:t xml:space="preserve">lmutil_path</w:t>
            </w:r>
          </w:p>
        </w:tc>
        <w:tc>
          <w:tcPr>
            <w:tcW w:w="1376" w:type="dxa"/>
          </w:tcPr>
          <w:p>
            <w:pPr>
              <w:pStyle w:val="TableText"/>
            </w:pPr>
            <w:r>
              <w:rPr>
                <w:sz w:val="18"/>
                <w:szCs w:val="18"/>
              </w:rPr>
              <w:t xml:space="preserve">global</w:t>
            </w:r>
          </w:p>
        </w:tc>
        <w:tc>
          <w:tcPr>
            <w:tcW w:w="6058" w:type="dxa"/>
          </w:tcPr>
          <w:p>
            <w:pPr>
              <w:pStyle w:val="TableText"/>
            </w:pPr>
            <w:r>
              <w:rPr>
                <w:sz w:val="18"/>
                <w:szCs w:val="18"/>
              </w:rPr>
              <w:t xml:space="preserve">lmutil propre à ce serveur</w:t>
            </w:r>
          </w:p>
        </w:tc>
      </w:tr>
      <w:tr>
        <w:trPr>
          <w:cantSplit/>
        </w:trPr>
        <w:tc>
          <w:tcPr>
            <w:tcW w:w="2202" w:type="dxa"/>
            <w:shd w:val="clear" w:color="auto" w:fill="F4F7FC"/>
          </w:tcPr>
          <w:p>
            <w:pPr>
              <w:pStyle w:val="TableText"/>
            </w:pPr>
            <w:r>
              <w:rPr>
                <w:sz w:val="18"/>
                <w:szCs w:val="18"/>
              </w:rPr>
              <w:t xml:space="preserve">timeout_s</w:t>
            </w:r>
          </w:p>
        </w:tc>
        <w:tc>
          <w:tcPr>
            <w:tcW w:w="1376" w:type="dxa"/>
            <w:shd w:val="clear" w:color="auto" w:fill="F4F7FC"/>
          </w:tcPr>
          <w:p>
            <w:pPr>
              <w:pStyle w:val="TableText"/>
            </w:pPr>
            <w:r>
              <w:rPr>
                <w:sz w:val="18"/>
                <w:szCs w:val="18"/>
              </w:rPr>
              <w:t xml:space="preserve">60</w:t>
            </w:r>
          </w:p>
        </w:tc>
        <w:tc>
          <w:tcPr>
            <w:tcW w:w="6058" w:type="dxa"/>
            <w:shd w:val="clear" w:color="auto" w:fill="F4F7FC"/>
          </w:tcPr>
          <w:p>
            <w:pPr>
              <w:pStyle w:val="TableText"/>
            </w:pPr>
            <w:r>
              <w:rPr>
                <w:sz w:val="18"/>
                <w:szCs w:val="18"/>
              </w:rPr>
              <w:t xml:space="preserve">Délai maximal de lmstat (secondes)</w:t>
            </w:r>
          </w:p>
        </w:tc>
      </w:tr>
      <w:tr>
        <w:trPr>
          <w:cantSplit/>
        </w:trPr>
        <w:tc>
          <w:tcPr>
            <w:tcW w:w="2202" w:type="dxa"/>
          </w:tcPr>
          <w:p>
            <w:pPr>
              <w:pStyle w:val="TableText"/>
            </w:pPr>
            <w:r>
              <w:rPr>
                <w:sz w:val="18"/>
                <w:szCs w:val="18"/>
              </w:rPr>
              <w:t xml:space="preserve">enabled</w:t>
            </w:r>
          </w:p>
        </w:tc>
        <w:tc>
          <w:tcPr>
            <w:tcW w:w="1376" w:type="dxa"/>
          </w:tcPr>
          <w:p>
            <w:pPr>
              <w:pStyle w:val="TableText"/>
            </w:pPr>
            <w:r>
              <w:rPr>
                <w:sz w:val="18"/>
                <w:szCs w:val="18"/>
              </w:rPr>
              <w:t xml:space="preserve">true</w:t>
            </w:r>
          </w:p>
        </w:tc>
        <w:tc>
          <w:tcPr>
            <w:tcW w:w="6058" w:type="dxa"/>
          </w:tcPr>
          <w:p>
            <w:pPr>
              <w:pStyle w:val="TableText"/>
            </w:pPr>
            <w:r>
              <w:rPr>
                <w:rFonts w:ascii="Consolas" w:hAnsi="Consolas" w:cs="Consolas"/>
                <w:color w:val="1C5CAB"/>
                <w:sz w:val="18"/>
                <w:szCs w:val="18"/>
                <w:shd w:val="clear" w:color="auto" w:fill="EEF3FA"/>
              </w:rPr>
              <w:t xml:space="preserve">false</w:t>
            </w:r>
            <w:r>
              <w:rPr>
                <w:sz w:val="18"/>
                <w:szCs w:val="18"/>
              </w:rPr>
              <w:t xml:space="preserve"> suspend la collecte de ce serveur sans le supprimer</w:t>
            </w:r>
          </w:p>
        </w:tc>
      </w:tr>
    </w:tbl>
    <w:p>
      <w:pPr>
        <w:spacing w:after="80"/>
      </w:pPr>
    </w:p>
    <w:p>
      <w:pPr>
        <w:pStyle w:val="Heading3"/>
      </w:pPr>
      <w:bookmarkStart w:id="44" w:name="_Toc00044"/>
      <w:r>
        <w:rPr/>
        <w:t xml:space="preserve">products (règles de correspondance)</w:t>
      </w:r>
      <w:bookmarkEnd w:id="44"/>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7710"/>
      </w:tblGrid>
      <w:tr>
        <w:trPr>
          <w:tblHeader/>
          <w:cantSplit/>
        </w:trPr>
        <w:tc>
          <w:tcPr>
            <w:tcW w:w="1927" w:type="dxa"/>
            <w:shd w:val="clear" w:color="auto" w:fill="2A78D6"/>
          </w:tcPr>
          <w:p>
            <w:pPr>
              <w:pStyle w:val="TableText"/>
            </w:pPr>
            <w:r>
              <w:rPr>
                <w:b/>
                <w:color w:val="FFFFFF"/>
                <w:sz w:val="18"/>
                <w:szCs w:val="18"/>
              </w:rPr>
              <w:t xml:space="preserve">Paramètre</w:t>
            </w:r>
          </w:p>
        </w:tc>
        <w:tc>
          <w:tcPr>
            <w:tcW w:w="7710" w:type="dxa"/>
            <w:shd w:val="clear" w:color="auto" w:fill="2A78D6"/>
          </w:tcPr>
          <w:p>
            <w:pPr>
              <w:pStyle w:val="TableText"/>
            </w:pPr>
            <w:r>
              <w:rPr>
                <w:b/>
                <w:color w:val="FFFFFF"/>
                <w:sz w:val="18"/>
                <w:szCs w:val="18"/>
              </w:rPr>
              <w:t xml:space="preserve">Description</w:t>
            </w:r>
          </w:p>
        </w:tc>
      </w:tr>
      <w:tr>
        <w:trPr>
          <w:cantSplit/>
        </w:trPr>
        <w:tc>
          <w:tcPr>
            <w:tcW w:w="1927" w:type="dxa"/>
          </w:tcPr>
          <w:p>
            <w:pPr>
              <w:pStyle w:val="TableText"/>
            </w:pPr>
            <w:r>
              <w:rPr>
                <w:sz w:val="18"/>
                <w:szCs w:val="18"/>
              </w:rPr>
              <w:t xml:space="preserve">pattern</w:t>
            </w:r>
          </w:p>
        </w:tc>
        <w:tc>
          <w:tcPr>
            <w:tcW w:w="7710" w:type="dxa"/>
          </w:tcPr>
          <w:p>
            <w:pPr>
              <w:pStyle w:val="TableText"/>
            </w:pPr>
            <w:r>
              <w:rPr>
                <w:sz w:val="18"/>
                <w:szCs w:val="18"/>
              </w:rPr>
              <w:t xml:space="preserve">Motif du nom de feature (</w:t>
            </w:r>
            <w:r>
              <w:rPr>
                <w:rFonts w:ascii="Consolas" w:hAnsi="Consolas" w:cs="Consolas"/>
                <w:color w:val="1C5CAB"/>
                <w:sz w:val="18"/>
                <w:szCs w:val="18"/>
                <w:shd w:val="clear" w:color="auto" w:fill="EEF3FA"/>
              </w:rPr>
              <w:t xml:space="preserve">*</w:t>
            </w:r>
            <w:r>
              <w:rPr>
                <w:sz w:val="18"/>
                <w:szCs w:val="18"/>
              </w:rPr>
              <w:t xml:space="preserve"> et </w:t>
            </w:r>
            <w:r>
              <w:rPr>
                <w:rFonts w:ascii="Consolas" w:hAnsi="Consolas" w:cs="Consolas"/>
                <w:color w:val="1C5CAB"/>
                <w:sz w:val="18"/>
                <w:szCs w:val="18"/>
                <w:shd w:val="clear" w:color="auto" w:fill="EEF3FA"/>
              </w:rPr>
              <w:t xml:space="preserve">?</w:t>
            </w:r>
            <w:r>
              <w:rPr>
                <w:sz w:val="18"/>
                <w:szCs w:val="18"/>
              </w:rPr>
              <w:t xml:space="preserve">, insensible à la casse) ; la première règle trouvée s'applique</w:t>
            </w:r>
          </w:p>
        </w:tc>
      </w:tr>
      <w:tr>
        <w:trPr>
          <w:cantSplit/>
        </w:trPr>
        <w:tc>
          <w:tcPr>
            <w:tcW w:w="1927" w:type="dxa"/>
            <w:shd w:val="clear" w:color="auto" w:fill="F4F7FC"/>
          </w:tcPr>
          <w:p>
            <w:pPr>
              <w:pStyle w:val="TableText"/>
            </w:pPr>
            <w:r>
              <w:rPr>
                <w:sz w:val="18"/>
                <w:szCs w:val="18"/>
              </w:rPr>
              <w:t xml:space="preserve">product</w:t>
            </w:r>
          </w:p>
        </w:tc>
        <w:tc>
          <w:tcPr>
            <w:tcW w:w="7710" w:type="dxa"/>
            <w:shd w:val="clear" w:color="auto" w:fill="F4F7FC"/>
          </w:tcPr>
          <w:p>
            <w:pPr>
              <w:pStyle w:val="TableText"/>
            </w:pPr>
            <w:r>
              <w:rPr>
                <w:sz w:val="18"/>
                <w:szCs w:val="18"/>
              </w:rPr>
              <w:t xml:space="preserve">Libellé lisible affiché dans les rapports (ex. AutoCAD 2024)</w:t>
            </w:r>
          </w:p>
        </w:tc>
      </w:tr>
      <w:tr>
        <w:trPr>
          <w:cantSplit/>
        </w:trPr>
        <w:tc>
          <w:tcPr>
            <w:tcW w:w="1927" w:type="dxa"/>
          </w:tcPr>
          <w:p>
            <w:pPr>
              <w:pStyle w:val="TableText"/>
            </w:pPr>
            <w:r>
              <w:rPr>
                <w:sz w:val="18"/>
                <w:szCs w:val="18"/>
              </w:rPr>
              <w:t xml:space="preserve">publisher</w:t>
            </w:r>
          </w:p>
        </w:tc>
        <w:tc>
          <w:tcPr>
            <w:tcW w:w="7710" w:type="dxa"/>
          </w:tcPr>
          <w:p>
            <w:pPr>
              <w:pStyle w:val="TableText"/>
            </w:pPr>
            <w:r>
              <w:rPr>
                <w:sz w:val="18"/>
                <w:szCs w:val="18"/>
              </w:rPr>
              <w:t xml:space="preserve">Éditeur (Autodesk, Ansys…)</w:t>
            </w:r>
          </w:p>
        </w:tc>
      </w:tr>
      <w:tr>
        <w:trPr>
          <w:cantSplit/>
        </w:trPr>
        <w:tc>
          <w:tcPr>
            <w:tcW w:w="1927" w:type="dxa"/>
            <w:shd w:val="clear" w:color="auto" w:fill="F4F7FC"/>
          </w:tcPr>
          <w:p>
            <w:pPr>
              <w:pStyle w:val="TableText"/>
            </w:pPr>
            <w:r>
              <w:rPr>
                <w:sz w:val="18"/>
                <w:szCs w:val="18"/>
              </w:rPr>
              <w:t xml:space="preserve">vendor</w:t>
            </w:r>
          </w:p>
        </w:tc>
        <w:tc>
          <w:tcPr>
            <w:tcW w:w="7710" w:type="dxa"/>
            <w:shd w:val="clear" w:color="auto" w:fill="F4F7FC"/>
          </w:tcPr>
          <w:p>
            <w:pPr>
              <w:pStyle w:val="TableText"/>
            </w:pPr>
            <w:r>
              <w:rPr>
                <w:sz w:val="18"/>
                <w:szCs w:val="18"/>
              </w:rPr>
              <w:t xml:space="preserve">Restreint la règle à un démon éditeur (ex. MLM)</w:t>
            </w:r>
          </w:p>
        </w:tc>
      </w:tr>
      <w:tr>
        <w:trPr>
          <w:cantSplit/>
        </w:trPr>
        <w:tc>
          <w:tcPr>
            <w:tcW w:w="1927" w:type="dxa"/>
          </w:tcPr>
          <w:p>
            <w:pPr>
              <w:pStyle w:val="TableText"/>
            </w:pPr>
            <w:r>
              <w:rPr>
                <w:sz w:val="18"/>
                <w:szCs w:val="18"/>
              </w:rPr>
              <w:t xml:space="preserve">annual_cost</w:t>
            </w:r>
          </w:p>
        </w:tc>
        <w:tc>
          <w:tcPr>
            <w:tcW w:w="7710" w:type="dxa"/>
          </w:tcPr>
          <w:p>
            <w:pPr>
              <w:pStyle w:val="TableText"/>
            </w:pPr>
            <w:r>
              <w:rPr>
                <w:sz w:val="18"/>
                <w:szCs w:val="18"/>
              </w:rPr>
              <w:t xml:space="preserve">Coût annuel d'un jeton, dans la devise </w:t>
            </w:r>
            <w:r>
              <w:rPr>
                <w:rFonts w:ascii="Consolas" w:hAnsi="Consolas" w:cs="Consolas"/>
                <w:color w:val="1C5CAB"/>
                <w:sz w:val="18"/>
                <w:szCs w:val="18"/>
                <w:shd w:val="clear" w:color="auto" w:fill="EEF3FA"/>
              </w:rPr>
              <w:t xml:space="preserve">reporting.currency</w:t>
            </w:r>
            <w:r>
              <w:rPr>
                <w:sz w:val="18"/>
                <w:szCs w:val="18"/>
              </w:rPr>
              <w:t xml:space="preserve"> ; active le chiffrage</w:t>
            </w:r>
          </w:p>
        </w:tc>
      </w:tr>
    </w:tbl>
    <w:p>
      <w:pPr>
        <w:spacing w:after="80"/>
      </w:pPr>
    </w:p>
    <w:p>
      <w:pPr/>
      <w:r>
        <w:rPr/>
        <w:t xml:space="preserve">Après modification des règles, exécuter </w:t>
      </w:r>
      <w:r>
        <w:rPr>
          <w:rFonts w:ascii="Consolas" w:hAnsi="Consolas" w:cs="Consolas"/>
          <w:color w:val="1C5CAB"/>
          <w:sz w:val="18"/>
          <w:szCs w:val="18"/>
          <w:shd w:val="clear" w:color="auto" w:fill="EEF3FA"/>
        </w:rPr>
        <w:t xml:space="preserve">freelm apply-products</w:t>
      </w:r>
      <w:r>
        <w:rPr/>
        <w:t xml:space="preserve"> pour les réappliquer à tout l'historique.</w:t>
      </w:r>
    </w:p>
    <w:p>
      <w:pPr>
        <w:pStyle w:val="Heading3"/>
      </w:pPr>
      <w:bookmarkStart w:id="45" w:name="_Toc00045"/>
      <w:r>
        <w:rPr/>
        <w:t xml:space="preserve">reporting</w:t>
      </w:r>
      <w:bookmarkEnd w:id="45"/>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output_dir</w:t>
            </w:r>
          </w:p>
        </w:tc>
        <w:tc>
          <w:tcPr>
            <w:tcW w:w="1376" w:type="dxa"/>
          </w:tcPr>
          <w:p>
            <w:pPr>
              <w:pStyle w:val="TableText"/>
            </w:pPr>
            <w:r>
              <w:rPr>
                <w:sz w:val="18"/>
                <w:szCs w:val="18"/>
              </w:rPr>
              <w:t xml:space="preserve">reports</w:t>
            </w:r>
          </w:p>
        </w:tc>
        <w:tc>
          <w:tcPr>
            <w:tcW w:w="6058" w:type="dxa"/>
          </w:tcPr>
          <w:p>
            <w:pPr>
              <w:pStyle w:val="TableText"/>
            </w:pPr>
            <w:r>
              <w:rPr>
                <w:sz w:val="18"/>
                <w:szCs w:val="18"/>
              </w:rPr>
              <w:t xml:space="preserve">Dossier des rapports Excel</w:t>
            </w:r>
          </w:p>
        </w:tc>
      </w:tr>
      <w:tr>
        <w:trPr>
          <w:cantSplit/>
        </w:trPr>
        <w:tc>
          <w:tcPr>
            <w:tcW w:w="2202" w:type="dxa"/>
            <w:shd w:val="clear" w:color="auto" w:fill="F4F7FC"/>
          </w:tcPr>
          <w:p>
            <w:pPr>
              <w:pStyle w:val="TableText"/>
            </w:pPr>
            <w:r>
              <w:rPr>
                <w:sz w:val="18"/>
                <w:szCs w:val="18"/>
              </w:rPr>
              <w:t xml:space="preserve">top_n_chart</w:t>
            </w:r>
          </w:p>
        </w:tc>
        <w:tc>
          <w:tcPr>
            <w:tcW w:w="1376" w:type="dxa"/>
            <w:shd w:val="clear" w:color="auto" w:fill="F4F7FC"/>
          </w:tcPr>
          <w:p>
            <w:pPr>
              <w:pStyle w:val="TableText"/>
            </w:pPr>
            <w:r>
              <w:rPr>
                <w:sz w:val="18"/>
                <w:szCs w:val="18"/>
              </w:rPr>
              <w:t xml:space="preserve">10</w:t>
            </w:r>
          </w:p>
        </w:tc>
        <w:tc>
          <w:tcPr>
            <w:tcW w:w="6058" w:type="dxa"/>
            <w:shd w:val="clear" w:color="auto" w:fill="F4F7FC"/>
          </w:tcPr>
          <w:p>
            <w:pPr>
              <w:pStyle w:val="TableText"/>
            </w:pPr>
            <w:r>
              <w:rPr>
                <w:sz w:val="18"/>
                <w:szCs w:val="18"/>
              </w:rPr>
              <w:t xml:space="preserve">Nombre d'éléments dans les graphiques Excel</w:t>
            </w:r>
          </w:p>
        </w:tc>
      </w:tr>
      <w:tr>
        <w:trPr>
          <w:cantSplit/>
        </w:trPr>
        <w:tc>
          <w:tcPr>
            <w:tcW w:w="2202" w:type="dxa"/>
          </w:tcPr>
          <w:p>
            <w:pPr>
              <w:pStyle w:val="TableText"/>
            </w:pPr>
            <w:r>
              <w:rPr>
                <w:sz w:val="18"/>
                <w:szCs w:val="18"/>
              </w:rPr>
              <w:t xml:space="preserve">business_hours</w:t>
            </w:r>
          </w:p>
        </w:tc>
        <w:tc>
          <w:tcPr>
            <w:tcW w:w="1376" w:type="dxa"/>
          </w:tcPr>
          <w:p>
            <w:pPr>
              <w:pStyle w:val="TableText"/>
            </w:pPr>
            <w:r>
              <w:rPr>
                <w:sz w:val="18"/>
                <w:szCs w:val="18"/>
              </w:rPr>
              <w:t xml:space="preserve">[8, 19]</w:t>
            </w:r>
          </w:p>
        </w:tc>
        <w:tc>
          <w:tcPr>
            <w:tcW w:w="6058" w:type="dxa"/>
          </w:tcPr>
          <w:p>
            <w:pPr>
              <w:pStyle w:val="TableText"/>
            </w:pPr>
            <w:r>
              <w:rPr>
                <w:sz w:val="18"/>
                <w:szCs w:val="18"/>
              </w:rPr>
              <w:t xml:space="preserve">Plage des heures ouvrées (jours ouvrés du lundi au vendredi)</w:t>
            </w:r>
          </w:p>
        </w:tc>
      </w:tr>
      <w:tr>
        <w:trPr>
          <w:cantSplit/>
        </w:trPr>
        <w:tc>
          <w:tcPr>
            <w:tcW w:w="2202" w:type="dxa"/>
            <w:shd w:val="clear" w:color="auto" w:fill="F4F7FC"/>
          </w:tcPr>
          <w:p>
            <w:pPr>
              <w:pStyle w:val="TableText"/>
            </w:pPr>
            <w:r>
              <w:rPr>
                <w:sz w:val="18"/>
                <w:szCs w:val="18"/>
              </w:rPr>
              <w:t xml:space="preserve">currency</w:t>
            </w:r>
          </w:p>
        </w:tc>
        <w:tc>
          <w:tcPr>
            <w:tcW w:w="1376" w:type="dxa"/>
            <w:shd w:val="clear" w:color="auto" w:fill="F4F7FC"/>
          </w:tcPr>
          <w:p>
            <w:pPr>
              <w:pStyle w:val="TableText"/>
            </w:pPr>
            <w:r>
              <w:rPr>
                <w:sz w:val="18"/>
                <w:szCs w:val="18"/>
              </w:rPr>
              <w:t xml:space="preserve">€</w:t>
            </w:r>
          </w:p>
        </w:tc>
        <w:tc>
          <w:tcPr>
            <w:tcW w:w="6058" w:type="dxa"/>
            <w:shd w:val="clear" w:color="auto" w:fill="F4F7FC"/>
          </w:tcPr>
          <w:p>
            <w:pPr>
              <w:pStyle w:val="TableText"/>
            </w:pPr>
            <w:r>
              <w:rPr>
                <w:sz w:val="18"/>
                <w:szCs w:val="18"/>
              </w:rPr>
              <w:t xml:space="preserve">Devise des coûts</w:t>
            </w:r>
          </w:p>
        </w:tc>
      </w:tr>
      <w:tr>
        <w:trPr>
          <w:cantSplit/>
        </w:trPr>
        <w:tc>
          <w:tcPr>
            <w:tcW w:w="2202" w:type="dxa"/>
          </w:tcPr>
          <w:p>
            <w:pPr>
              <w:pStyle w:val="TableText"/>
            </w:pPr>
            <w:r>
              <w:rPr>
                <w:sz w:val="18"/>
                <w:szCs w:val="18"/>
              </w:rPr>
              <w:t xml:space="preserve">target_coverage</w:t>
            </w:r>
          </w:p>
        </w:tc>
        <w:tc>
          <w:tcPr>
            <w:tcW w:w="1376" w:type="dxa"/>
          </w:tcPr>
          <w:p>
            <w:pPr>
              <w:pStyle w:val="TableText"/>
            </w:pPr>
            <w:r>
              <w:rPr>
                <w:sz w:val="18"/>
                <w:szCs w:val="18"/>
              </w:rPr>
              <w:t xml:space="preserve">0.95</w:t>
            </w:r>
          </w:p>
        </w:tc>
        <w:tc>
          <w:tcPr>
            <w:tcW w:w="6058" w:type="dxa"/>
          </w:tcPr>
          <w:p>
            <w:pPr>
              <w:pStyle w:val="TableText"/>
            </w:pPr>
            <w:r>
              <w:rPr>
                <w:sz w:val="18"/>
                <w:szCs w:val="18"/>
              </w:rPr>
              <w:t xml:space="preserve">Part du temps ouvré couverte par le nombre de jetons recommandé (0,5 à 0,999)</w:t>
            </w:r>
          </w:p>
        </w:tc>
      </w:tr>
    </w:tbl>
    <w:p>
      <w:pPr>
        <w:spacing w:after="80"/>
      </w:pPr>
    </w:p>
    <w:p>
      <w:pPr>
        <w:pStyle w:val="Heading3"/>
      </w:pPr>
      <w:bookmarkStart w:id="46" w:name="_Toc00046"/>
      <w:r>
        <w:rPr/>
        <w:t xml:space="preserve">web et web.auth</w:t>
      </w:r>
      <w:bookmarkEnd w:id="46"/>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166"/>
        <w:gridCol w:w="2065"/>
        <w:gridCol w:w="4405"/>
      </w:tblGrid>
      <w:tr>
        <w:trPr>
          <w:tblHeader/>
          <w:cantSplit/>
        </w:trPr>
        <w:tc>
          <w:tcPr>
            <w:tcW w:w="3166"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405" w:type="dxa"/>
            <w:shd w:val="clear" w:color="auto" w:fill="2A78D6"/>
          </w:tcPr>
          <w:p>
            <w:pPr>
              <w:pStyle w:val="TableText"/>
            </w:pPr>
            <w:r>
              <w:rPr>
                <w:b/>
                <w:color w:val="FFFFFF"/>
                <w:sz w:val="18"/>
                <w:szCs w:val="18"/>
              </w:rPr>
              <w:t xml:space="preserve">Description</w:t>
            </w:r>
          </w:p>
        </w:tc>
      </w:tr>
      <w:tr>
        <w:trPr>
          <w:cantSplit/>
        </w:trPr>
        <w:tc>
          <w:tcPr>
            <w:tcW w:w="3166" w:type="dxa"/>
          </w:tcPr>
          <w:p>
            <w:pPr>
              <w:pStyle w:val="TableText"/>
            </w:pPr>
            <w:r>
              <w:rPr>
                <w:sz w:val="18"/>
                <w:szCs w:val="18"/>
              </w:rPr>
              <w:t xml:space="preserve">host</w:t>
            </w:r>
          </w:p>
        </w:tc>
        <w:tc>
          <w:tcPr>
            <w:tcW w:w="2065" w:type="dxa"/>
          </w:tcPr>
          <w:p>
            <w:pPr>
              <w:pStyle w:val="TableText"/>
            </w:pPr>
            <w:r>
              <w:rPr>
                <w:sz w:val="18"/>
                <w:szCs w:val="18"/>
              </w:rPr>
              <w:t xml:space="preserve">127.0.0.1</w:t>
            </w:r>
          </w:p>
        </w:tc>
        <w:tc>
          <w:tcPr>
            <w:tcW w:w="4405" w:type="dxa"/>
          </w:tcPr>
          <w:p>
            <w:pPr>
              <w:pStyle w:val="TableText"/>
            </w:pPr>
            <w:r>
              <w:rPr>
                <w:sz w:val="18"/>
                <w:szCs w:val="18"/>
              </w:rPr>
              <w:t xml:space="preserve">Adresse d'écoute ; </w:t>
            </w:r>
            <w:r>
              <w:rPr>
                <w:rFonts w:ascii="Consolas" w:hAnsi="Consolas" w:cs="Consolas"/>
                <w:color w:val="1C5CAB"/>
                <w:sz w:val="18"/>
                <w:szCs w:val="18"/>
                <w:shd w:val="clear" w:color="auto" w:fill="EEF3FA"/>
              </w:rPr>
              <w:t xml:space="preserve">0.0.0.0</w:t>
            </w:r>
            <w:r>
              <w:rPr>
                <w:sz w:val="18"/>
                <w:szCs w:val="18"/>
              </w:rPr>
              <w:t xml:space="preserve"> pour le réseau (avec authentification et HTTPS)</w:t>
            </w:r>
          </w:p>
        </w:tc>
      </w:tr>
      <w:tr>
        <w:trPr>
          <w:cantSplit/>
        </w:trPr>
        <w:tc>
          <w:tcPr>
            <w:tcW w:w="3166" w:type="dxa"/>
            <w:shd w:val="clear" w:color="auto" w:fill="F4F7FC"/>
          </w:tcPr>
          <w:p>
            <w:pPr>
              <w:pStyle w:val="TableText"/>
            </w:pPr>
            <w:r>
              <w:rPr>
                <w:sz w:val="18"/>
                <w:szCs w:val="18"/>
              </w:rPr>
              <w:t xml:space="preserve">port</w:t>
            </w:r>
          </w:p>
        </w:tc>
        <w:tc>
          <w:tcPr>
            <w:tcW w:w="2065" w:type="dxa"/>
            <w:shd w:val="clear" w:color="auto" w:fill="F4F7FC"/>
          </w:tcPr>
          <w:p>
            <w:pPr>
              <w:pStyle w:val="TableText"/>
            </w:pPr>
            <w:r>
              <w:rPr>
                <w:sz w:val="18"/>
                <w:szCs w:val="18"/>
              </w:rPr>
              <w:t xml:space="preserve">8765</w:t>
            </w:r>
          </w:p>
        </w:tc>
        <w:tc>
          <w:tcPr>
            <w:tcW w:w="4405" w:type="dxa"/>
            <w:shd w:val="clear" w:color="auto" w:fill="F4F7FC"/>
          </w:tcPr>
          <w:p>
            <w:pPr>
              <w:pStyle w:val="TableText"/>
            </w:pPr>
            <w:r>
              <w:rPr>
                <w:sz w:val="18"/>
                <w:szCs w:val="18"/>
              </w:rPr>
              <w:t xml:space="preserve">Port ; si occupé, les 9 ports suivants sont essayés</w:t>
            </w:r>
          </w:p>
        </w:tc>
      </w:tr>
      <w:tr>
        <w:trPr>
          <w:cantSplit/>
        </w:trPr>
        <w:tc>
          <w:tcPr>
            <w:tcW w:w="3166" w:type="dxa"/>
          </w:tcPr>
          <w:p>
            <w:pPr>
              <w:pStyle w:val="TableText"/>
            </w:pPr>
            <w:r>
              <w:rPr>
                <w:sz w:val="18"/>
                <w:szCs w:val="18"/>
              </w:rPr>
              <w:t xml:space="preserve">tls_cert / tls_key</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Certificat et clé PEM : active HTTPS</w:t>
            </w:r>
          </w:p>
        </w:tc>
      </w:tr>
      <w:tr>
        <w:trPr>
          <w:cantSplit/>
        </w:trPr>
        <w:tc>
          <w:tcPr>
            <w:tcW w:w="3166" w:type="dxa"/>
            <w:shd w:val="clear" w:color="auto" w:fill="F4F7FC"/>
          </w:tcPr>
          <w:p>
            <w:pPr>
              <w:pStyle w:val="TableText"/>
            </w:pPr>
            <w:r>
              <w:rPr>
                <w:sz w:val="18"/>
                <w:szCs w:val="18"/>
              </w:rPr>
              <w:t xml:space="preserve">public_url</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Adresse publique (liens des e-mails, contrôle de l'en-tête Host)</w:t>
            </w:r>
          </w:p>
        </w:tc>
      </w:tr>
      <w:tr>
        <w:trPr>
          <w:cantSplit/>
        </w:trPr>
        <w:tc>
          <w:tcPr>
            <w:tcW w:w="3166" w:type="dxa"/>
          </w:tcPr>
          <w:p>
            <w:pPr>
              <w:pStyle w:val="TableText"/>
            </w:pPr>
            <w:r>
              <w:rPr>
                <w:sz w:val="18"/>
                <w:szCs w:val="18"/>
              </w:rPr>
              <w:t xml:space="preserve">allowed_hosts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Noms ou IP acceptés en plus (protection contre le DNS rebinding)</w:t>
            </w:r>
          </w:p>
        </w:tc>
      </w:tr>
      <w:tr>
        <w:trPr>
          <w:cantSplit/>
        </w:trPr>
        <w:tc>
          <w:tcPr>
            <w:tcW w:w="3166" w:type="dxa"/>
            <w:shd w:val="clear" w:color="auto" w:fill="F4F7FC"/>
          </w:tcPr>
          <w:p>
            <w:pPr>
              <w:pStyle w:val="TableText"/>
            </w:pPr>
            <w:r>
              <w:rPr>
                <w:sz w:val="18"/>
                <w:szCs w:val="18"/>
              </w:rPr>
              <w:t xml:space="preserve">request_timeout_s</w:t>
            </w:r>
          </w:p>
        </w:tc>
        <w:tc>
          <w:tcPr>
            <w:tcW w:w="2065" w:type="dxa"/>
            <w:shd w:val="clear" w:color="auto" w:fill="F4F7FC"/>
          </w:tcPr>
          <w:p>
            <w:pPr>
              <w:pStyle w:val="TableText"/>
            </w:pPr>
            <w:r>
              <w:rPr>
                <w:sz w:val="18"/>
                <w:szCs w:val="18"/>
              </w:rPr>
              <w:t xml:space="preserve">30</w:t>
            </w:r>
          </w:p>
        </w:tc>
        <w:tc>
          <w:tcPr>
            <w:tcW w:w="4405" w:type="dxa"/>
            <w:shd w:val="clear" w:color="auto" w:fill="F4F7FC"/>
          </w:tcPr>
          <w:p>
            <w:pPr>
              <w:pStyle w:val="TableText"/>
            </w:pPr>
            <w:r>
              <w:rPr>
                <w:sz w:val="18"/>
                <w:szCs w:val="18"/>
              </w:rPr>
              <w:t xml:space="preserve">Coupe les connexions inactives ou trop lentes</w:t>
            </w:r>
          </w:p>
        </w:tc>
      </w:tr>
      <w:tr>
        <w:trPr>
          <w:cantSplit/>
        </w:trPr>
        <w:tc>
          <w:tcPr>
            <w:tcW w:w="3166" w:type="dxa"/>
          </w:tcPr>
          <w:p>
            <w:pPr>
              <w:pStyle w:val="TableText"/>
            </w:pPr>
            <w:r>
              <w:rPr>
                <w:sz w:val="18"/>
                <w:szCs w:val="18"/>
              </w:rPr>
              <w:t xml:space="preserve">max_connections</w:t>
            </w:r>
          </w:p>
        </w:tc>
        <w:tc>
          <w:tcPr>
            <w:tcW w:w="2065" w:type="dxa"/>
          </w:tcPr>
          <w:p>
            <w:pPr>
              <w:pStyle w:val="TableText"/>
            </w:pPr>
            <w:r>
              <w:rPr>
                <w:sz w:val="18"/>
                <w:szCs w:val="18"/>
              </w:rPr>
              <w:t xml:space="preserve">64</w:t>
            </w:r>
          </w:p>
        </w:tc>
        <w:tc>
          <w:tcPr>
            <w:tcW w:w="4405" w:type="dxa"/>
          </w:tcPr>
          <w:p>
            <w:pPr>
              <w:pStyle w:val="TableText"/>
            </w:pPr>
            <w:r>
              <w:rPr>
                <w:sz w:val="18"/>
                <w:szCs w:val="18"/>
              </w:rPr>
              <w:t xml:space="preserve">Requêtes simultanées maximales</w:t>
            </w:r>
          </w:p>
        </w:tc>
      </w:tr>
      <w:tr>
        <w:trPr>
          <w:cantSplit/>
        </w:trPr>
        <w:tc>
          <w:tcPr>
            <w:tcW w:w="3166" w:type="dxa"/>
            <w:shd w:val="clear" w:color="auto" w:fill="F4F7FC"/>
          </w:tcPr>
          <w:p>
            <w:pPr>
              <w:pStyle w:val="TableText"/>
            </w:pPr>
            <w:r>
              <w:rPr>
                <w:sz w:val="18"/>
                <w:szCs w:val="18"/>
              </w:rPr>
              <w:t xml:space="preserve">auth.mode</w:t>
            </w:r>
          </w:p>
        </w:tc>
        <w:tc>
          <w:tcPr>
            <w:tcW w:w="2065" w:type="dxa"/>
            <w:shd w:val="clear" w:color="auto" w:fill="F4F7FC"/>
          </w:tcPr>
          <w:p>
            <w:pPr>
              <w:pStyle w:val="TableText"/>
            </w:pPr>
            <w:r>
              <w:rPr>
                <w:sz w:val="18"/>
                <w:szCs w:val="18"/>
              </w:rPr>
              <w:t xml:space="preserve">none</w:t>
            </w:r>
          </w:p>
        </w:tc>
        <w:tc>
          <w:tcPr>
            <w:tcW w:w="4405" w:type="dxa"/>
            <w:shd w:val="clear" w:color="auto" w:fill="F4F7FC"/>
          </w:tcPr>
          <w:p>
            <w:pPr>
              <w:pStyle w:val="TableText"/>
            </w:pPr>
            <w:r>
              <w:rPr>
                <w:rFonts w:ascii="Consolas" w:hAnsi="Consolas" w:cs="Consolas"/>
                <w:color w:val="1C5CAB"/>
                <w:sz w:val="18"/>
                <w:szCs w:val="18"/>
                <w:shd w:val="clear" w:color="auto" w:fill="EEF3FA"/>
              </w:rPr>
              <w:t xml:space="preserve">none</w:t>
            </w:r>
            <w:r>
              <w:rPr>
                <w:sz w:val="18"/>
                <w:szCs w:val="18"/>
              </w:rPr>
              <w:t xml:space="preserve"> (poste local), </w:t>
            </w:r>
            <w:r>
              <w:rPr>
                <w:rFonts w:ascii="Consolas" w:hAnsi="Consolas" w:cs="Consolas"/>
                <w:color w:val="1C5CAB"/>
                <w:sz w:val="18"/>
                <w:szCs w:val="18"/>
                <w:shd w:val="clear" w:color="auto" w:fill="EEF3FA"/>
              </w:rPr>
              <w:t xml:space="preserve">ldap</w:t>
            </w:r>
            <w:r>
              <w:rPr>
                <w:sz w:val="18"/>
                <w:szCs w:val="18"/>
              </w:rPr>
              <w:t xml:space="preserve"> (identifiants Windows) ou </w:t>
            </w:r>
            <w:r>
              <w:rPr>
                <w:rFonts w:ascii="Consolas" w:hAnsi="Consolas" w:cs="Consolas"/>
                <w:color w:val="1C5CAB"/>
                <w:sz w:val="18"/>
                <w:szCs w:val="18"/>
                <w:shd w:val="clear" w:color="auto" w:fill="EEF3FA"/>
              </w:rPr>
              <w:t xml:space="preserve">header</w:t>
            </w:r>
            <w:r>
              <w:rPr>
                <w:sz w:val="18"/>
                <w:szCs w:val="18"/>
              </w:rPr>
              <w:t xml:space="preserve"> (SSO via IIS)</w:t>
            </w:r>
          </w:p>
        </w:tc>
      </w:tr>
      <w:tr>
        <w:trPr>
          <w:cantSplit/>
        </w:trPr>
        <w:tc>
          <w:tcPr>
            <w:tcW w:w="3166" w:type="dxa"/>
          </w:tcPr>
          <w:p>
            <w:pPr>
              <w:pStyle w:val="TableText"/>
            </w:pPr>
            <w:r>
              <w:rPr>
                <w:sz w:val="18"/>
                <w:szCs w:val="18"/>
              </w:rPr>
              <w:t xml:space="preserve">auth.ldap_servers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Contrôleurs de domaine (</w:t>
            </w:r>
            <w:r>
              <w:rPr>
                <w:rFonts w:ascii="Consolas" w:hAnsi="Consolas" w:cs="Consolas"/>
                <w:color w:val="1C5CAB"/>
                <w:sz w:val="18"/>
                <w:szCs w:val="18"/>
                <w:shd w:val="clear" w:color="auto" w:fill="EEF3FA"/>
              </w:rPr>
              <w:t xml:space="preserve">ldaps://…</w:t>
            </w:r>
            <w:r>
              <w:rPr>
                <w:sz w:val="18"/>
                <w:szCs w:val="18"/>
              </w:rPr>
              <w:t xml:space="preserve">)</w:t>
            </w:r>
          </w:p>
        </w:tc>
      </w:tr>
      <w:tr>
        <w:trPr>
          <w:cantSplit/>
        </w:trPr>
        <w:tc>
          <w:tcPr>
            <w:tcW w:w="3166" w:type="dxa"/>
            <w:shd w:val="clear" w:color="auto" w:fill="F4F7FC"/>
          </w:tcPr>
          <w:p>
            <w:pPr>
              <w:pStyle w:val="TableText"/>
            </w:pPr>
            <w:r>
              <w:rPr>
                <w:sz w:val="18"/>
                <w:szCs w:val="18"/>
              </w:rPr>
              <w:t xml:space="preserve">auth.base_dn / upn_suffix</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Base de recherche et suffixe UPN des comptes</w:t>
            </w:r>
          </w:p>
        </w:tc>
      </w:tr>
      <w:tr>
        <w:trPr>
          <w:cantSplit/>
        </w:trPr>
        <w:tc>
          <w:tcPr>
            <w:tcW w:w="3166" w:type="dxa"/>
          </w:tcPr>
          <w:p>
            <w:pPr>
              <w:pStyle w:val="TableText"/>
            </w:pPr>
            <w:r>
              <w:rPr>
                <w:sz w:val="18"/>
                <w:szCs w:val="18"/>
              </w:rPr>
              <w:t xml:space="preserve">auth.allowed_groups</w:t>
            </w:r>
          </w:p>
        </w:tc>
        <w:tc>
          <w:tcPr>
            <w:tcW w:w="2065" w:type="dxa"/>
          </w:tcPr>
          <w:p>
            <w:pPr>
              <w:pStyle w:val="TableText"/>
            </w:pPr>
            <w:r>
              <w:rPr>
                <w:sz w:val="18"/>
                <w:szCs w:val="18"/>
              </w:rPr>
              <w:t xml:space="preserve">[]</w:t>
            </w:r>
          </w:p>
        </w:tc>
        <w:tc>
          <w:tcPr>
            <w:tcW w:w="4405" w:type="dxa"/>
          </w:tcPr>
          <w:p>
            <w:pPr>
              <w:pStyle w:val="TableText"/>
            </w:pPr>
            <w:r>
              <w:rPr>
                <w:sz w:val="18"/>
                <w:szCs w:val="18"/>
              </w:rPr>
              <w:t xml:space="preserve">Groupes autorisés (imbriqués acceptés) ; vide = tout le domaine</w:t>
            </w:r>
          </w:p>
        </w:tc>
      </w:tr>
      <w:tr>
        <w:trPr>
          <w:cantSplit/>
        </w:trPr>
        <w:tc>
          <w:tcPr>
            <w:tcW w:w="3166" w:type="dxa"/>
            <w:shd w:val="clear" w:color="auto" w:fill="F4F7FC"/>
          </w:tcPr>
          <w:p>
            <w:pPr>
              <w:pStyle w:val="TableText"/>
            </w:pPr>
            <w:r>
              <w:rPr>
                <w:sz w:val="18"/>
                <w:szCs w:val="18"/>
              </w:rPr>
              <w:t xml:space="preserve">auth.ldap_ca_file</w:t>
            </w:r>
          </w:p>
        </w:tc>
        <w:tc>
          <w:tcPr>
            <w:tcW w:w="2065" w:type="dxa"/>
            <w:shd w:val="clear" w:color="auto" w:fill="F4F7FC"/>
          </w:tcPr>
          <w:p>
            <w:pPr>
              <w:pStyle w:val="TableText"/>
            </w:pPr>
            <w:r>
              <w:rPr>
                <w:sz w:val="18"/>
                <w:szCs w:val="18"/>
              </w:rPr>
              <w:t xml:space="preserve">—</w:t>
            </w:r>
          </w:p>
        </w:tc>
        <w:tc>
          <w:tcPr>
            <w:tcW w:w="4405" w:type="dxa"/>
            <w:shd w:val="clear" w:color="auto" w:fill="F4F7FC"/>
          </w:tcPr>
          <w:p>
            <w:pPr>
              <w:pStyle w:val="TableText"/>
            </w:pPr>
            <w:r>
              <w:rPr>
                <w:sz w:val="18"/>
                <w:szCs w:val="18"/>
              </w:rPr>
              <w:t xml:space="preserve">Certificat de l'AC interne pour valider LDAPS</w:t>
            </w:r>
          </w:p>
        </w:tc>
      </w:tr>
      <w:tr>
        <w:trPr>
          <w:cantSplit/>
        </w:trPr>
        <w:tc>
          <w:tcPr>
            <w:tcW w:w="3166" w:type="dxa"/>
          </w:tcPr>
          <w:p>
            <w:pPr>
              <w:pStyle w:val="TableText"/>
            </w:pPr>
            <w:r>
              <w:rPr>
                <w:sz w:val="18"/>
                <w:szCs w:val="18"/>
              </w:rPr>
              <w:t xml:space="preserve">auth.session_hours</w:t>
            </w:r>
          </w:p>
        </w:tc>
        <w:tc>
          <w:tcPr>
            <w:tcW w:w="2065" w:type="dxa"/>
          </w:tcPr>
          <w:p>
            <w:pPr>
              <w:pStyle w:val="TableText"/>
            </w:pPr>
            <w:r>
              <w:rPr>
                <w:sz w:val="18"/>
                <w:szCs w:val="18"/>
              </w:rPr>
              <w:t xml:space="preserve">8</w:t>
            </w:r>
          </w:p>
        </w:tc>
        <w:tc>
          <w:tcPr>
            <w:tcW w:w="4405" w:type="dxa"/>
          </w:tcPr>
          <w:p>
            <w:pPr>
              <w:pStyle w:val="TableText"/>
            </w:pPr>
            <w:r>
              <w:rPr>
                <w:sz w:val="18"/>
                <w:szCs w:val="18"/>
              </w:rPr>
              <w:t xml:space="preserve">Durée de session</w:t>
            </w:r>
          </w:p>
        </w:tc>
      </w:tr>
      <w:tr>
        <w:trPr>
          <w:cantSplit/>
        </w:trPr>
        <w:tc>
          <w:tcPr>
            <w:tcW w:w="3166" w:type="dxa"/>
            <w:shd w:val="clear" w:color="auto" w:fill="F4F7FC"/>
          </w:tcPr>
          <w:p>
            <w:pPr>
              <w:pStyle w:val="TableText"/>
            </w:pPr>
            <w:r>
              <w:rPr>
                <w:sz w:val="18"/>
                <w:szCs w:val="18"/>
              </w:rPr>
              <w:t xml:space="preserve">auth.max_failures / lockout_minutes</w:t>
            </w:r>
          </w:p>
        </w:tc>
        <w:tc>
          <w:tcPr>
            <w:tcW w:w="2065" w:type="dxa"/>
            <w:shd w:val="clear" w:color="auto" w:fill="F4F7FC"/>
          </w:tcPr>
          <w:p>
            <w:pPr>
              <w:pStyle w:val="TableText"/>
            </w:pPr>
            <w:r>
              <w:rPr>
                <w:sz w:val="18"/>
                <w:szCs w:val="18"/>
              </w:rPr>
              <w:t xml:space="preserve">5 / 15</w:t>
            </w:r>
          </w:p>
        </w:tc>
        <w:tc>
          <w:tcPr>
            <w:tcW w:w="4405" w:type="dxa"/>
            <w:shd w:val="clear" w:color="auto" w:fill="F4F7FC"/>
          </w:tcPr>
          <w:p>
            <w:pPr>
              <w:pStyle w:val="TableText"/>
            </w:pPr>
            <w:r>
              <w:rPr>
                <w:sz w:val="18"/>
                <w:szCs w:val="18"/>
              </w:rPr>
              <w:t xml:space="preserve">Blocage temporaire après échecs de connexion</w:t>
            </w:r>
          </w:p>
        </w:tc>
      </w:tr>
      <w:tr>
        <w:trPr>
          <w:cantSplit/>
        </w:trPr>
        <w:tc>
          <w:tcPr>
            <w:tcW w:w="3166" w:type="dxa"/>
          </w:tcPr>
          <w:p>
            <w:pPr>
              <w:pStyle w:val="TableText"/>
            </w:pPr>
            <w:r>
              <w:rPr>
                <w:sz w:val="18"/>
                <w:szCs w:val="18"/>
              </w:rPr>
              <w:t xml:space="preserve">auth.header_name / trusted_proxies</w:t>
            </w:r>
          </w:p>
        </w:tc>
        <w:tc>
          <w:tcPr>
            <w:tcW w:w="2065" w:type="dxa"/>
          </w:tcPr>
          <w:p>
            <w:pPr>
              <w:pStyle w:val="TableText"/>
            </w:pPr>
            <w:r>
              <w:rPr>
                <w:sz w:val="18"/>
                <w:szCs w:val="18"/>
              </w:rPr>
              <w:t xml:space="preserve">X-Remote-User / 127.0.0.1</w:t>
            </w:r>
          </w:p>
        </w:tc>
        <w:tc>
          <w:tcPr>
            <w:tcW w:w="4405" w:type="dxa"/>
          </w:tcPr>
          <w:p>
            <w:pPr>
              <w:pStyle w:val="TableText"/>
            </w:pPr>
            <w:r>
              <w:rPr>
                <w:sz w:val="18"/>
                <w:szCs w:val="18"/>
              </w:rPr>
              <w:t xml:space="preserve">Mode header : en-tête et proxys de confiance</w:t>
            </w:r>
          </w:p>
        </w:tc>
      </w:tr>
    </w:tbl>
    <w:p>
      <w:pPr>
        <w:spacing w:after="80"/>
      </w:pPr>
    </w:p>
    <w:p>
      <w:pPr>
        <w:pStyle w:val="Heading3"/>
      </w:pPr>
      <w:bookmarkStart w:id="47" w:name="_Toc00047"/>
      <w:r>
        <w:rPr/>
        <w:t xml:space="preserve">email</w:t>
      </w:r>
      <w:bookmarkEnd w:id="47"/>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04"/>
        <w:gridCol w:w="2065"/>
        <w:gridCol w:w="4268"/>
      </w:tblGrid>
      <w:tr>
        <w:trPr>
          <w:tblHeader/>
          <w:cantSplit/>
        </w:trPr>
        <w:tc>
          <w:tcPr>
            <w:tcW w:w="3304" w:type="dxa"/>
            <w:shd w:val="clear" w:color="auto" w:fill="2A78D6"/>
          </w:tcPr>
          <w:p>
            <w:pPr>
              <w:pStyle w:val="TableText"/>
            </w:pPr>
            <w:r>
              <w:rPr>
                <w:b/>
                <w:color w:val="FFFFFF"/>
                <w:sz w:val="18"/>
                <w:szCs w:val="18"/>
              </w:rPr>
              <w:t xml:space="preserve">Paramètre</w:t>
            </w:r>
          </w:p>
        </w:tc>
        <w:tc>
          <w:tcPr>
            <w:tcW w:w="2065" w:type="dxa"/>
            <w:shd w:val="clear" w:color="auto" w:fill="2A78D6"/>
          </w:tcPr>
          <w:p>
            <w:pPr>
              <w:pStyle w:val="TableText"/>
            </w:pPr>
            <w:r>
              <w:rPr>
                <w:b/>
                <w:color w:val="FFFFFF"/>
                <w:sz w:val="18"/>
                <w:szCs w:val="18"/>
              </w:rPr>
              <w:t xml:space="preserve">Défaut</w:t>
            </w:r>
          </w:p>
        </w:tc>
        <w:tc>
          <w:tcPr>
            <w:tcW w:w="4268" w:type="dxa"/>
            <w:shd w:val="clear" w:color="auto" w:fill="2A78D6"/>
          </w:tcPr>
          <w:p>
            <w:pPr>
              <w:pStyle w:val="TableText"/>
            </w:pPr>
            <w:r>
              <w:rPr>
                <w:b/>
                <w:color w:val="FFFFFF"/>
                <w:sz w:val="18"/>
                <w:szCs w:val="18"/>
              </w:rPr>
              <w:t xml:space="preserve">Description</w:t>
            </w:r>
          </w:p>
        </w:tc>
      </w:tr>
      <w:tr>
        <w:trPr>
          <w:cantSplit/>
        </w:trPr>
        <w:tc>
          <w:tcPr>
            <w:tcW w:w="3304" w:type="dxa"/>
          </w:tcPr>
          <w:p>
            <w:pPr>
              <w:pStyle w:val="TableText"/>
            </w:pPr>
            <w:r>
              <w:rPr>
                <w:sz w:val="18"/>
                <w:szCs w:val="18"/>
              </w:rPr>
              <w:t xml:space="preserve">smtp_host / smtp_port</w:t>
            </w:r>
          </w:p>
        </w:tc>
        <w:tc>
          <w:tcPr>
            <w:tcW w:w="2065" w:type="dxa"/>
          </w:tcPr>
          <w:p>
            <w:pPr>
              <w:pStyle w:val="TableText"/>
            </w:pPr>
            <w:r>
              <w:rPr>
                <w:sz w:val="18"/>
                <w:szCs w:val="18"/>
              </w:rPr>
              <w:t xml:space="preserve">— / 25</w:t>
            </w:r>
          </w:p>
        </w:tc>
        <w:tc>
          <w:tcPr>
            <w:tcW w:w="4268" w:type="dxa"/>
          </w:tcPr>
          <w:p>
            <w:pPr>
              <w:pStyle w:val="TableText"/>
            </w:pPr>
            <w:r>
              <w:rPr>
                <w:sz w:val="18"/>
                <w:szCs w:val="18"/>
              </w:rPr>
              <w:t xml:space="preserve">Relais SMTP (587 avec STARTTLS, 465 avec SSL)</w:t>
            </w:r>
          </w:p>
        </w:tc>
      </w:tr>
      <w:tr>
        <w:trPr>
          <w:cantSplit/>
        </w:trPr>
        <w:tc>
          <w:tcPr>
            <w:tcW w:w="3304" w:type="dxa"/>
            <w:shd w:val="clear" w:color="auto" w:fill="F4F7FC"/>
          </w:tcPr>
          <w:p>
            <w:pPr>
              <w:pStyle w:val="TableText"/>
            </w:pPr>
            <w:r>
              <w:rPr>
                <w:sz w:val="18"/>
                <w:szCs w:val="18"/>
              </w:rPr>
              <w:t xml:space="preserve">security</w:t>
            </w:r>
          </w:p>
        </w:tc>
        <w:tc>
          <w:tcPr>
            <w:tcW w:w="2065" w:type="dxa"/>
            <w:shd w:val="clear" w:color="auto" w:fill="F4F7FC"/>
          </w:tcPr>
          <w:p>
            <w:pPr>
              <w:pStyle w:val="TableText"/>
            </w:pPr>
            <w:r>
              <w:rPr>
                <w:sz w:val="18"/>
                <w:szCs w:val="18"/>
              </w:rPr>
              <w:t xml:space="preserve">starttls</w:t>
            </w:r>
          </w:p>
        </w:tc>
        <w:tc>
          <w:tcPr>
            <w:tcW w:w="4268" w:type="dxa"/>
            <w:shd w:val="clear" w:color="auto" w:fill="F4F7FC"/>
          </w:tcPr>
          <w:p>
            <w:pPr>
              <w:pStyle w:val="TableText"/>
            </w:pPr>
            <w:r>
              <w:rPr>
                <w:rFonts w:ascii="Consolas" w:hAnsi="Consolas" w:cs="Consolas"/>
                <w:color w:val="1C5CAB"/>
                <w:sz w:val="18"/>
                <w:szCs w:val="18"/>
                <w:shd w:val="clear" w:color="auto" w:fill="EEF3FA"/>
              </w:rPr>
              <w:t xml:space="preserve">starttls</w:t>
            </w:r>
            <w:r>
              <w:rPr>
                <w:sz w:val="18"/>
                <w:szCs w:val="18"/>
              </w:rPr>
              <w:t xml:space="preserve">, </w:t>
            </w:r>
            <w:r>
              <w:rPr>
                <w:rFonts w:ascii="Consolas" w:hAnsi="Consolas" w:cs="Consolas"/>
                <w:color w:val="1C5CAB"/>
                <w:sz w:val="18"/>
                <w:szCs w:val="18"/>
                <w:shd w:val="clear" w:color="auto" w:fill="EEF3FA"/>
              </w:rPr>
              <w:t xml:space="preserve">ssl</w:t>
            </w:r>
            <w:r>
              <w:rPr>
                <w:sz w:val="18"/>
                <w:szCs w:val="18"/>
              </w:rPr>
              <w:t xml:space="preserve"> ou </w:t>
            </w:r>
            <w:r>
              <w:rPr>
                <w:rFonts w:ascii="Consolas" w:hAnsi="Consolas" w:cs="Consolas"/>
                <w:color w:val="1C5CAB"/>
                <w:sz w:val="18"/>
                <w:szCs w:val="18"/>
                <w:shd w:val="clear" w:color="auto" w:fill="EEF3FA"/>
              </w:rPr>
              <w:t xml:space="preserve">none</w:t>
            </w:r>
            <w:r>
              <w:rPr>
                <w:sz w:val="18"/>
                <w:szCs w:val="18"/>
              </w:rPr>
              <w:t xml:space="preserve"> (none interdit avec authentification)</w:t>
            </w:r>
          </w:p>
        </w:tc>
      </w:tr>
      <w:tr>
        <w:trPr>
          <w:cantSplit/>
        </w:trPr>
        <w:tc>
          <w:tcPr>
            <w:tcW w:w="3304" w:type="dxa"/>
          </w:tcPr>
          <w:p>
            <w:pPr>
              <w:pStyle w:val="TableText"/>
            </w:pPr>
            <w:r>
              <w:rPr>
                <w:sz w:val="18"/>
                <w:szCs w:val="18"/>
              </w:rPr>
              <w:t xml:space="preserve">username / password</w:t>
            </w:r>
          </w:p>
        </w:tc>
        <w:tc>
          <w:tcPr>
            <w:tcW w:w="2065" w:type="dxa"/>
          </w:tcPr>
          <w:p>
            <w:pPr>
              <w:pStyle w:val="TableText"/>
            </w:pPr>
            <w:r>
              <w:rPr>
                <w:sz w:val="18"/>
                <w:szCs w:val="18"/>
              </w:rPr>
              <w:t xml:space="preserve">—</w:t>
            </w:r>
          </w:p>
        </w:tc>
        <w:tc>
          <w:tcPr>
            <w:tcW w:w="4268" w:type="dxa"/>
          </w:tcPr>
          <w:p>
            <w:pPr>
              <w:pStyle w:val="TableText"/>
            </w:pPr>
            <w:r>
              <w:rPr>
                <w:sz w:val="18"/>
                <w:szCs w:val="18"/>
              </w:rPr>
              <w:t xml:space="preserve">Authentification SMTP (mot de passe via variable d'environnement)</w:t>
            </w:r>
          </w:p>
        </w:tc>
      </w:tr>
      <w:tr>
        <w:trPr>
          <w:cantSplit/>
        </w:trPr>
        <w:tc>
          <w:tcPr>
            <w:tcW w:w="3304" w:type="dxa"/>
            <w:shd w:val="clear" w:color="auto" w:fill="F4F7FC"/>
          </w:tcPr>
          <w:p>
            <w:pPr>
              <w:pStyle w:val="TableText"/>
            </w:pPr>
            <w:r>
              <w:rPr>
                <w:sz w:val="18"/>
                <w:szCs w:val="18"/>
              </w:rPr>
              <w:t xml:space="preserve">sender</w:t>
            </w:r>
          </w:p>
        </w:tc>
        <w:tc>
          <w:tcPr>
            <w:tcW w:w="2065" w:type="dxa"/>
            <w:shd w:val="clear" w:color="auto" w:fill="F4F7FC"/>
          </w:tcPr>
          <w:p>
            <w:pPr>
              <w:pStyle w:val="TableText"/>
            </w:pPr>
            <w:r>
              <w:rPr>
                <w:sz w:val="18"/>
                <w:szCs w:val="18"/>
              </w:rPr>
              <w:t xml:space="preserve">FreeLM &lt;freelm@localhost&gt;</w:t>
            </w:r>
          </w:p>
        </w:tc>
        <w:tc>
          <w:tcPr>
            <w:tcW w:w="4268" w:type="dxa"/>
            <w:shd w:val="clear" w:color="auto" w:fill="F4F7FC"/>
          </w:tcPr>
          <w:p>
            <w:pPr>
              <w:pStyle w:val="TableText"/>
            </w:pPr>
            <w:r>
              <w:rPr>
                <w:sz w:val="18"/>
                <w:szCs w:val="18"/>
              </w:rPr>
              <w:t xml:space="preserve">Expéditeur</w:t>
            </w:r>
          </w:p>
        </w:tc>
      </w:tr>
      <w:tr>
        <w:trPr>
          <w:cantSplit/>
        </w:trPr>
        <w:tc>
          <w:tcPr>
            <w:tcW w:w="3304" w:type="dxa"/>
          </w:tcPr>
          <w:p>
            <w:pPr>
              <w:pStyle w:val="TableText"/>
            </w:pPr>
            <w:r>
              <w:rPr>
                <w:sz w:val="18"/>
                <w:szCs w:val="18"/>
              </w:rPr>
              <w:t xml:space="preserve">max_attachment_mb</w:t>
            </w:r>
          </w:p>
        </w:tc>
        <w:tc>
          <w:tcPr>
            <w:tcW w:w="2065" w:type="dxa"/>
          </w:tcPr>
          <w:p>
            <w:pPr>
              <w:pStyle w:val="TableText"/>
            </w:pPr>
            <w:r>
              <w:rPr>
                <w:sz w:val="18"/>
                <w:szCs w:val="18"/>
              </w:rPr>
              <w:t xml:space="preserve">15</w:t>
            </w:r>
          </w:p>
        </w:tc>
        <w:tc>
          <w:tcPr>
            <w:tcW w:w="4268" w:type="dxa"/>
          </w:tcPr>
          <w:p>
            <w:pPr>
              <w:pStyle w:val="TableText"/>
            </w:pPr>
            <w:r>
              <w:rPr>
                <w:sz w:val="18"/>
                <w:szCs w:val="18"/>
              </w:rPr>
              <w:t xml:space="preserve">Taille maximale du classeur joint</w:t>
            </w:r>
          </w:p>
        </w:tc>
      </w:tr>
      <w:tr>
        <w:trPr>
          <w:cantSplit/>
        </w:trPr>
        <w:tc>
          <w:tcPr>
            <w:tcW w:w="3304" w:type="dxa"/>
            <w:shd w:val="clear" w:color="auto" w:fill="F4F7FC"/>
          </w:tcPr>
          <w:p>
            <w:pPr>
              <w:pStyle w:val="TableText"/>
            </w:pPr>
            <w:r>
              <w:rPr>
                <w:sz w:val="18"/>
                <w:szCs w:val="18"/>
              </w:rPr>
              <w:t xml:space="preserve">subscriptions[].name / recipients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Nom de l'abonnement et destinataires</w:t>
            </w:r>
          </w:p>
        </w:tc>
      </w:tr>
      <w:tr>
        <w:trPr>
          <w:cantSplit/>
        </w:trPr>
        <w:tc>
          <w:tcPr>
            <w:tcW w:w="3304" w:type="dxa"/>
          </w:tcPr>
          <w:p>
            <w:pPr>
              <w:pStyle w:val="TableText"/>
            </w:pPr>
            <w:r>
              <w:rPr>
                <w:sz w:val="18"/>
                <w:szCs w:val="18"/>
              </w:rPr>
              <w:t xml:space="preserve">subscriptions[].period</w:t>
            </w:r>
          </w:p>
        </w:tc>
        <w:tc>
          <w:tcPr>
            <w:tcW w:w="2065" w:type="dxa"/>
          </w:tcPr>
          <w:p>
            <w:pPr>
              <w:pStyle w:val="TableText"/>
            </w:pPr>
            <w:r>
              <w:rPr>
                <w:sz w:val="18"/>
                <w:szCs w:val="18"/>
              </w:rPr>
              <w:t xml:space="preserve">last-month</w:t>
            </w:r>
          </w:p>
        </w:tc>
        <w:tc>
          <w:tcPr>
            <w:tcW w:w="4268" w:type="dxa"/>
          </w:tcPr>
          <w:p>
            <w:pPr>
              <w:pStyle w:val="TableText"/>
            </w:pPr>
            <w:r>
              <w:rPr>
                <w:sz w:val="18"/>
                <w:szCs w:val="18"/>
              </w:rPr>
              <w:t xml:space="preserve">last-month, last-week, last-7d, this-month, last-year</w:t>
            </w:r>
          </w:p>
        </w:tc>
      </w:tr>
      <w:tr>
        <w:trPr>
          <w:cantSplit/>
        </w:trPr>
        <w:tc>
          <w:tcPr>
            <w:tcW w:w="3304" w:type="dxa"/>
            <w:shd w:val="clear" w:color="auto" w:fill="F4F7FC"/>
          </w:tcPr>
          <w:p>
            <w:pPr>
              <w:pStyle w:val="TableText"/>
            </w:pPr>
            <w:r>
              <w:rPr>
                <w:sz w:val="18"/>
                <w:szCs w:val="18"/>
              </w:rPr>
              <w:t xml:space="preserve">subscriptions[].servers / products</w:t>
            </w:r>
          </w:p>
        </w:tc>
        <w:tc>
          <w:tcPr>
            <w:tcW w:w="2065" w:type="dxa"/>
            <w:shd w:val="clear" w:color="auto" w:fill="F4F7FC"/>
          </w:tcPr>
          <w:p>
            <w:pPr>
              <w:pStyle w:val="TableText"/>
            </w:pPr>
            <w:r>
              <w:rPr>
                <w:sz w:val="18"/>
                <w:szCs w:val="18"/>
              </w:rPr>
              <w:t xml:space="preserve">[]</w:t>
            </w:r>
          </w:p>
        </w:tc>
        <w:tc>
          <w:tcPr>
            <w:tcW w:w="4268" w:type="dxa"/>
            <w:shd w:val="clear" w:color="auto" w:fill="F4F7FC"/>
          </w:tcPr>
          <w:p>
            <w:pPr>
              <w:pStyle w:val="TableText"/>
            </w:pPr>
            <w:r>
              <w:rPr>
                <w:sz w:val="18"/>
                <w:szCs w:val="18"/>
              </w:rPr>
              <w:t xml:space="preserve">Filtres optionnels</w:t>
            </w:r>
          </w:p>
        </w:tc>
      </w:tr>
      <w:tr>
        <w:trPr>
          <w:cantSplit/>
        </w:trPr>
        <w:tc>
          <w:tcPr>
            <w:tcW w:w="3304" w:type="dxa"/>
          </w:tcPr>
          <w:p>
            <w:pPr>
              <w:pStyle w:val="TableText"/>
            </w:pPr>
            <w:r>
              <w:rPr>
                <w:sz w:val="18"/>
                <w:szCs w:val="18"/>
              </w:rPr>
              <w:t xml:space="preserve">subscriptions[].attach_excel / subject</w:t>
            </w:r>
          </w:p>
        </w:tc>
        <w:tc>
          <w:tcPr>
            <w:tcW w:w="2065" w:type="dxa"/>
          </w:tcPr>
          <w:p>
            <w:pPr>
              <w:pStyle w:val="TableText"/>
            </w:pPr>
            <w:r>
              <w:rPr>
                <w:sz w:val="18"/>
                <w:szCs w:val="18"/>
              </w:rPr>
              <w:t xml:space="preserve">true / —</w:t>
            </w:r>
          </w:p>
        </w:tc>
        <w:tc>
          <w:tcPr>
            <w:tcW w:w="4268" w:type="dxa"/>
          </w:tcPr>
          <w:p>
            <w:pPr>
              <w:pStyle w:val="TableText"/>
            </w:pPr>
            <w:r>
              <w:rPr>
                <w:sz w:val="18"/>
                <w:szCs w:val="18"/>
              </w:rPr>
              <w:t xml:space="preserve">Joindre le classeur ; objet personnalisé</w:t>
            </w:r>
          </w:p>
        </w:tc>
      </w:tr>
    </w:tbl>
    <w:p>
      <w:pPr>
        <w:spacing w:after="80"/>
      </w:pPr>
    </w:p>
    <w:p>
      <w:pPr>
        <w:pStyle w:val="Heading3"/>
      </w:pPr>
      <w:bookmarkStart w:id="48" w:name="_Toc00048"/>
      <w:r>
        <w:rPr/>
        <w:t xml:space="preserve">retention</w:t>
      </w:r>
      <w:bookmarkEnd w:id="48"/>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1376"/>
        <w:gridCol w:w="6058"/>
      </w:tblGrid>
      <w:tr>
        <w:trPr>
          <w:tblHeader/>
          <w:cantSplit/>
        </w:trPr>
        <w:tc>
          <w:tcPr>
            <w:tcW w:w="2202" w:type="dxa"/>
            <w:shd w:val="clear" w:color="auto" w:fill="2A78D6"/>
          </w:tcPr>
          <w:p>
            <w:pPr>
              <w:pStyle w:val="TableText"/>
            </w:pPr>
            <w:r>
              <w:rPr>
                <w:b/>
                <w:color w:val="FFFFFF"/>
                <w:sz w:val="18"/>
                <w:szCs w:val="18"/>
              </w:rPr>
              <w:t xml:space="preserve">Paramètre</w:t>
            </w:r>
          </w:p>
        </w:tc>
        <w:tc>
          <w:tcPr>
            <w:tcW w:w="1376" w:type="dxa"/>
            <w:shd w:val="clear" w:color="auto" w:fill="2A78D6"/>
          </w:tcPr>
          <w:p>
            <w:pPr>
              <w:pStyle w:val="TableText"/>
            </w:pPr>
            <w:r>
              <w:rPr>
                <w:b/>
                <w:color w:val="FFFFFF"/>
                <w:sz w:val="18"/>
                <w:szCs w:val="18"/>
              </w:rPr>
              <w:t xml:space="preserve">Défaut</w:t>
            </w:r>
          </w:p>
        </w:tc>
        <w:tc>
          <w:tcPr>
            <w:tcW w:w="6058"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snapshots_days</w:t>
            </w:r>
          </w:p>
        </w:tc>
        <w:tc>
          <w:tcPr>
            <w:tcW w:w="1376" w:type="dxa"/>
          </w:tcPr>
          <w:p>
            <w:pPr>
              <w:pStyle w:val="TableText"/>
            </w:pPr>
            <w:r>
              <w:rPr>
                <w:sz w:val="18"/>
                <w:szCs w:val="18"/>
              </w:rPr>
              <w:t xml:space="preserve">90</w:t>
            </w:r>
          </w:p>
        </w:tc>
        <w:tc>
          <w:tcPr>
            <w:tcW w:w="6058" w:type="dxa"/>
          </w:tcPr>
          <w:p>
            <w:pPr>
              <w:pStyle w:val="TableText"/>
            </w:pPr>
            <w:r>
              <w:rPr>
                <w:sz w:val="18"/>
                <w:szCs w:val="18"/>
              </w:rPr>
              <w:t xml:space="preserve">Conservation des sondages bruts (les agrégats horaires sont conservés sans limite)</w:t>
            </w:r>
          </w:p>
        </w:tc>
      </w:tr>
      <w:tr>
        <w:trPr>
          <w:cantSplit/>
        </w:trPr>
        <w:tc>
          <w:tcPr>
            <w:tcW w:w="2202" w:type="dxa"/>
            <w:shd w:val="clear" w:color="auto" w:fill="F4F7FC"/>
          </w:tcPr>
          <w:p>
            <w:pPr>
              <w:pStyle w:val="TableText"/>
            </w:pPr>
            <w:r>
              <w:rPr>
                <w:sz w:val="18"/>
                <w:szCs w:val="18"/>
              </w:rPr>
              <w:t xml:space="preserve">events_days</w:t>
            </w:r>
          </w:p>
        </w:tc>
        <w:tc>
          <w:tcPr>
            <w:tcW w:w="1376" w:type="dxa"/>
            <w:shd w:val="clear" w:color="auto" w:fill="F4F7FC"/>
          </w:tcPr>
          <w:p>
            <w:pPr>
              <w:pStyle w:val="TableText"/>
            </w:pPr>
            <w:r>
              <w:rPr>
                <w:sz w:val="18"/>
                <w:szCs w:val="18"/>
              </w:rPr>
              <w:t xml:space="preserve">730</w:t>
            </w:r>
          </w:p>
        </w:tc>
        <w:tc>
          <w:tcPr>
            <w:tcW w:w="6058" w:type="dxa"/>
            <w:shd w:val="clear" w:color="auto" w:fill="F4F7FC"/>
          </w:tcPr>
          <w:p>
            <w:pPr>
              <w:pStyle w:val="TableText"/>
            </w:pPr>
            <w:r>
              <w:rPr>
                <w:sz w:val="18"/>
                <w:szCs w:val="18"/>
              </w:rPr>
              <w:t xml:space="preserve">Conservation des refus et du journal des collectes</w:t>
            </w:r>
          </w:p>
        </w:tc>
      </w:tr>
    </w:tbl>
    <w:p>
      <w:pPr>
        <w:spacing w:after="80"/>
      </w:pPr>
    </w:p>
    <w:p>
      <w:pPr>
        <w:pStyle w:val="Heading2"/>
      </w:pPr>
      <w:bookmarkStart w:id="49" w:name="_Toc00049"/>
      <w:r>
        <w:rPr/>
        <w:t xml:space="preserve">6.3 Procédure de modification de la configuration</w:t>
      </w:r>
      <w:bookmarkEnd w:id="49"/>
    </w:p>
    <w:p>
      <w:pPr>
        <w:pStyle w:val="ListParagraph"/>
        <w:numPr>
          <w:ilvl w:val="0"/>
          <w:numId w:val="6"/>
        </w:numPr>
      </w:pPr>
      <w:r>
        <w:rPr/>
        <w:t xml:space="preserve">Copier </w:t>
      </w:r>
      <w:r>
        <w:rPr>
          <w:rFonts w:ascii="Consolas" w:hAnsi="Consolas" w:cs="Consolas"/>
          <w:color w:val="1C5CAB"/>
          <w:sz w:val="18"/>
          <w:szCs w:val="18"/>
          <w:shd w:val="clear" w:color="auto" w:fill="EEF3FA"/>
        </w:rPr>
        <w:t xml:space="preserve">freelm.yaml</w:t>
      </w:r>
      <w:r>
        <w:rPr/>
        <w:t xml:space="preserve"> en </w:t>
      </w:r>
      <w:r>
        <w:rPr>
          <w:rFonts w:ascii="Consolas" w:hAnsi="Consolas" w:cs="Consolas"/>
          <w:color w:val="1C5CAB"/>
          <w:sz w:val="18"/>
          <w:szCs w:val="18"/>
          <w:shd w:val="clear" w:color="auto" w:fill="EEF3FA"/>
        </w:rPr>
        <w:t xml:space="preserve">freelm.yaml.AAAAMMJJ</w:t>
      </w:r>
      <w:r>
        <w:rPr/>
        <w:t xml:space="preserve"> (retour arrière).</w:t>
      </w:r>
    </w:p>
    <w:p>
      <w:pPr>
        <w:pStyle w:val="ListParagraph"/>
        <w:numPr>
          <w:ilvl w:val="0"/>
          <w:numId w:val="6"/>
        </w:numPr>
      </w:pPr>
      <w:r>
        <w:rPr/>
        <w:t xml:space="preserve">Modifier le fichier (éditeur en UTF-8, indentation par espaces, jamais de tabulation).</w:t>
      </w:r>
    </w:p>
    <w:p>
      <w:pPr>
        <w:pStyle w:val="ListParagraph"/>
        <w:numPr>
          <w:ilvl w:val="0"/>
          <w:numId w:val="6"/>
        </w:numPr>
      </w:pPr>
      <w:r>
        <w:rPr/>
        <w:t xml:space="preserve">Valider : </w:t>
      </w:r>
      <w:r>
        <w:rPr>
          <w:rFonts w:ascii="Consolas" w:hAnsi="Consolas" w:cs="Consolas"/>
          <w:color w:val="1C5CAB"/>
          <w:sz w:val="18"/>
          <w:szCs w:val="18"/>
          <w:shd w:val="clear" w:color="auto" w:fill="EEF3FA"/>
        </w:rPr>
        <w:t xml:space="preserve">.\FreeLM.exe -c freelm.yaml test-server --server &lt;NOM&gt;</w:t>
      </w:r>
      <w:r>
        <w:rPr/>
        <w:t xml:space="preserve"> (une erreur de syntaxe est signalée par « Erreur de configuration »).</w:t>
      </w:r>
    </w:p>
    <w:p>
      <w:pPr>
        <w:pStyle w:val="ListParagraph"/>
        <w:numPr>
          <w:ilvl w:val="0"/>
          <w:numId w:val="6"/>
        </w:numPr>
      </w:pPr>
      <w:r>
        <w:rPr/>
        <w:t xml:space="preserve">Si les règles </w:t>
      </w:r>
      <w:r>
        <w:rPr>
          <w:rFonts w:ascii="Consolas" w:hAnsi="Consolas" w:cs="Consolas"/>
          <w:color w:val="1C5CAB"/>
          <w:sz w:val="18"/>
          <w:szCs w:val="18"/>
          <w:shd w:val="clear" w:color="auto" w:fill="EEF3FA"/>
        </w:rPr>
        <w:t xml:space="preserve">products</w:t>
      </w:r>
      <w:r>
        <w:rPr/>
        <w:t xml:space="preserve"> ont changé : </w:t>
      </w:r>
      <w:r>
        <w:rPr>
          <w:rFonts w:ascii="Consolas" w:hAnsi="Consolas" w:cs="Consolas"/>
          <w:color w:val="1C5CAB"/>
          <w:sz w:val="18"/>
          <w:szCs w:val="18"/>
          <w:shd w:val="clear" w:color="auto" w:fill="EEF3FA"/>
        </w:rPr>
        <w:t xml:space="preserve">.\FreeLM.exe -c freelm.yaml apply-products</w:t>
      </w:r>
      <w:r>
        <w:rPr/>
        <w:t xml:space="preserve">.</w:t>
      </w:r>
    </w:p>
    <w:p>
      <w:pPr>
        <w:pStyle w:val="ListParagraph"/>
        <w:numPr>
          <w:ilvl w:val="0"/>
          <w:numId w:val="6"/>
        </w:numPr>
      </w:pPr>
      <w:r>
        <w:rPr/>
        <w:t xml:space="preserve">Si la section </w:t>
      </w:r>
      <w:r>
        <w:rPr>
          <w:rFonts w:ascii="Consolas" w:hAnsi="Consolas" w:cs="Consolas"/>
          <w:color w:val="1C5CAB"/>
          <w:sz w:val="18"/>
          <w:szCs w:val="18"/>
          <w:shd w:val="clear" w:color="auto" w:fill="EEF3FA"/>
        </w:rPr>
        <w:t xml:space="preserve">web</w:t>
      </w:r>
      <w:r>
        <w:rPr/>
        <w:t xml:space="preserve"> a changé : redémarrer la tâche « FreeLM - Interface web ».</w:t>
      </w:r>
    </w:p>
    <w:p>
      <w:pPr>
        <w:pStyle w:val="ListParagraph"/>
        <w:numPr>
          <w:ilvl w:val="0"/>
          <w:numId w:val="6"/>
        </w:numPr>
      </w:pPr>
      <w:r>
        <w:rPr/>
        <w:t xml:space="preserve">Les autres tâches relisent la configuration à chaque exécution : aucun redémarrage nécessaire.</w:t>
      </w:r>
    </w:p>
    <w:p>
      <w:pPr>
        <w:pStyle w:val="Heading1"/>
      </w:pPr>
      <w:bookmarkStart w:id="50" w:name="_Toc00050"/>
      <w:r>
        <w:rPr/>
        <w:t xml:space="preserve">7. Exploitation courante</w:t>
      </w:r>
      <w:bookmarkEnd w:id="50"/>
    </w:p>
    <w:p>
      <w:pPr>
        <w:pStyle w:val="Heading2"/>
      </w:pPr>
      <w:bookmarkStart w:id="51" w:name="_Toc00051"/>
      <w:r>
        <w:rPr/>
        <w:t xml:space="preserve">7.1 Ordonnancement</w:t>
      </w:r>
      <w:bookmarkEnd w:id="51"/>
    </w:p>
    <w:p>
      <w:pPr/>
      <w:r>
        <w:rPr/>
        <w:t xml:space="preserve">Toutes les tâches sont créées par </w:t>
      </w:r>
      <w:r>
        <w:rPr>
          <w:rFonts w:ascii="Consolas" w:hAnsi="Consolas" w:cs="Consolas"/>
          <w:color w:val="1C5CAB"/>
          <w:sz w:val="18"/>
          <w:szCs w:val="18"/>
          <w:shd w:val="clear" w:color="auto" w:fill="EEF3FA"/>
        </w:rPr>
        <w:t xml:space="preserve">register_tasks.ps1</w:t>
      </w:r>
      <w:r>
        <w:rPr/>
        <w:t xml:space="preserve"> dans le dossier </w:t>
      </w:r>
      <w:r>
        <w:rPr>
          <w:rFonts w:ascii="Consolas" w:hAnsi="Consolas" w:cs="Consolas"/>
          <w:color w:val="1C5CAB"/>
          <w:sz w:val="18"/>
          <w:szCs w:val="18"/>
          <w:shd w:val="clear" w:color="auto" w:fill="EEF3FA"/>
        </w:rPr>
        <w:t xml:space="preserve">\FreeLM\</w:t>
      </w:r>
      <w:r>
        <w:rPr/>
        <w:t xml:space="preserve"> du Planificateur de tâches, sous le compte de service. Elles sont configurées pour démarrer dès que possible si une exécution a été manquée (serveur arrêté), sans exécution simultanée, avec une durée maximale de 30 minutes.</w:t>
      </w:r>
    </w:p>
    <w:p>
      <w:pPr>
        <w:pStyle w:val="Caption"/>
        <w:keepNext/>
      </w:pPr>
      <w:r>
        <w:rPr/>
        <w:t xml:space="preserve">Tableau 13 – Tâches planifiées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2289"/>
        <w:gridCol w:w="1927"/>
        <w:gridCol w:w="1084"/>
        <w:gridCol w:w="2409"/>
      </w:tblGrid>
      <w:tr>
        <w:trPr>
          <w:tblHeader/>
          <w:cantSplit/>
        </w:trPr>
        <w:tc>
          <w:tcPr>
            <w:tcW w:w="1927" w:type="dxa"/>
            <w:shd w:val="clear" w:color="auto" w:fill="2A78D6"/>
          </w:tcPr>
          <w:p>
            <w:pPr>
              <w:pStyle w:val="TableText"/>
            </w:pPr>
            <w:r>
              <w:rPr>
                <w:b/>
                <w:color w:val="FFFFFF"/>
                <w:sz w:val="18"/>
                <w:szCs w:val="18"/>
              </w:rPr>
              <w:t xml:space="preserve">Tâche</w:t>
            </w:r>
          </w:p>
        </w:tc>
        <w:tc>
          <w:tcPr>
            <w:tcW w:w="2289" w:type="dxa"/>
            <w:shd w:val="clear" w:color="auto" w:fill="2A78D6"/>
          </w:tcPr>
          <w:p>
            <w:pPr>
              <w:pStyle w:val="TableText"/>
            </w:pPr>
            <w:r>
              <w:rPr>
                <w:b/>
                <w:color w:val="FFFFFF"/>
                <w:sz w:val="18"/>
                <w:szCs w:val="18"/>
              </w:rPr>
              <w:t xml:space="preserve">Commande</w:t>
            </w:r>
          </w:p>
        </w:tc>
        <w:tc>
          <w:tcPr>
            <w:tcW w:w="1927" w:type="dxa"/>
            <w:shd w:val="clear" w:color="auto" w:fill="2A78D6"/>
          </w:tcPr>
          <w:p>
            <w:pPr>
              <w:pStyle w:val="TableText"/>
            </w:pPr>
            <w:r>
              <w:rPr>
                <w:b/>
                <w:color w:val="FFFFFF"/>
                <w:sz w:val="18"/>
                <w:szCs w:val="18"/>
              </w:rPr>
              <w:t xml:space="preserve">Planification</w:t>
            </w:r>
          </w:p>
        </w:tc>
        <w:tc>
          <w:tcPr>
            <w:tcW w:w="1084" w:type="dxa"/>
            <w:shd w:val="clear" w:color="auto" w:fill="2A78D6"/>
          </w:tcPr>
          <w:p>
            <w:pPr>
              <w:pStyle w:val="TableText"/>
            </w:pPr>
            <w:r>
              <w:rPr>
                <w:b/>
                <w:color w:val="FFFFFF"/>
                <w:sz w:val="18"/>
                <w:szCs w:val="18"/>
              </w:rPr>
              <w:t xml:space="preserve">Durée typique</w:t>
            </w:r>
          </w:p>
        </w:tc>
        <w:tc>
          <w:tcPr>
            <w:tcW w:w="2409"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FreeLM - Collecte</w:t>
            </w:r>
          </w:p>
        </w:tc>
        <w:tc>
          <w:tcPr>
            <w:tcW w:w="2289" w:type="dxa"/>
          </w:tcPr>
          <w:p>
            <w:pPr>
              <w:pStyle w:val="TableText"/>
            </w:pPr>
            <w:r>
              <w:rPr>
                <w:rFonts w:ascii="Consolas" w:hAnsi="Consolas" w:cs="Consolas"/>
                <w:color w:val="1C5CAB"/>
                <w:sz w:val="18"/>
                <w:szCs w:val="18"/>
                <w:shd w:val="clear" w:color="auto" w:fill="EEF3FA"/>
              </w:rPr>
              <w:t xml:space="preserve">collect</w:t>
            </w:r>
          </w:p>
        </w:tc>
        <w:tc>
          <w:tcPr>
            <w:tcW w:w="1927" w:type="dxa"/>
          </w:tcPr>
          <w:p>
            <w:pPr>
              <w:pStyle w:val="TableText"/>
            </w:pPr>
            <w:r>
              <w:rPr>
                <w:sz w:val="18"/>
                <w:szCs w:val="18"/>
              </w:rPr>
              <w:t xml:space="preserve">Toutes les 5 minutes, en continu</w:t>
            </w:r>
          </w:p>
        </w:tc>
        <w:tc>
          <w:tcPr>
            <w:tcW w:w="1084" w:type="dxa"/>
          </w:tcPr>
          <w:p>
            <w:pPr>
              <w:pStyle w:val="TableText"/>
            </w:pPr>
            <w:r>
              <w:rPr>
                <w:sz w:val="18"/>
                <w:szCs w:val="18"/>
              </w:rPr>
              <w:t xml:space="preserve">5 à 30 s</w:t>
            </w:r>
          </w:p>
        </w:tc>
        <w:tc>
          <w:tcPr>
            <w:tcW w:w="2409" w:type="dxa"/>
          </w:tcPr>
          <w:p>
            <w:pPr>
              <w:pStyle w:val="TableText"/>
            </w:pPr>
            <w:r>
              <w:rPr>
                <w:sz w:val="18"/>
                <w:szCs w:val="18"/>
              </w:rPr>
              <w:t xml:space="preserve">Sondage lmstat et lecture des logs</w:t>
            </w:r>
          </w:p>
        </w:tc>
      </w:tr>
      <w:tr>
        <w:trPr>
          <w:cantSplit/>
        </w:trPr>
        <w:tc>
          <w:tcPr>
            <w:tcW w:w="1927" w:type="dxa"/>
            <w:shd w:val="clear" w:color="auto" w:fill="F4F7FC"/>
          </w:tcPr>
          <w:p>
            <w:pPr>
              <w:pStyle w:val="TableText"/>
            </w:pPr>
            <w:r>
              <w:rPr>
                <w:sz w:val="18"/>
                <w:szCs w:val="18"/>
              </w:rPr>
              <w:t xml:space="preserve">FreeLM - Rapport mensuel</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report --period last-month --skip-existing</w:t>
            </w:r>
          </w:p>
        </w:tc>
        <w:tc>
          <w:tcPr>
            <w:tcW w:w="1927" w:type="dxa"/>
            <w:shd w:val="clear" w:color="auto" w:fill="F4F7FC"/>
          </w:tcPr>
          <w:p>
            <w:pPr>
              <w:pStyle w:val="TableText"/>
            </w:pPr>
            <w:r>
              <w:rPr>
                <w:sz w:val="18"/>
                <w:szCs w:val="18"/>
              </w:rPr>
              <w:t xml:space="preserve">Chaque jour à 06:00</w:t>
            </w:r>
          </w:p>
        </w:tc>
        <w:tc>
          <w:tcPr>
            <w:tcW w:w="1084" w:type="dxa"/>
            <w:shd w:val="clear" w:color="auto" w:fill="F4F7FC"/>
          </w:tcPr>
          <w:p>
            <w:pPr>
              <w:pStyle w:val="TableText"/>
            </w:pPr>
            <w:r>
              <w:rPr>
                <w:sz w:val="18"/>
                <w:szCs w:val="18"/>
              </w:rPr>
              <w:t xml:space="preserve">10 à 60 s</w:t>
            </w:r>
          </w:p>
        </w:tc>
        <w:tc>
          <w:tcPr>
            <w:tcW w:w="2409" w:type="dxa"/>
            <w:shd w:val="clear" w:color="auto" w:fill="F4F7FC"/>
          </w:tcPr>
          <w:p>
            <w:pPr>
              <w:pStyle w:val="TableText"/>
            </w:pPr>
            <w:r>
              <w:rPr>
                <w:sz w:val="18"/>
                <w:szCs w:val="18"/>
              </w:rPr>
              <w:t xml:space="preserve">Classeur Excel du mois précédent, produit une seule fois par mois (rattrape un 1er manqué)</w:t>
            </w:r>
          </w:p>
        </w:tc>
      </w:tr>
      <w:tr>
        <w:trPr>
          <w:cantSplit/>
        </w:trPr>
        <w:tc>
          <w:tcPr>
            <w:tcW w:w="1927" w:type="dxa"/>
          </w:tcPr>
          <w:p>
            <w:pPr>
              <w:pStyle w:val="TableText"/>
            </w:pPr>
            <w:r>
              <w:rPr>
                <w:sz w:val="18"/>
                <w:szCs w:val="18"/>
              </w:rPr>
              <w:t xml:space="preserve">FreeLM - Envoi des rapports</w:t>
            </w:r>
          </w:p>
        </w:tc>
        <w:tc>
          <w:tcPr>
            <w:tcW w:w="2289" w:type="dxa"/>
          </w:tcPr>
          <w:p>
            <w:pPr>
              <w:pStyle w:val="TableText"/>
            </w:pPr>
            <w:r>
              <w:rPr>
                <w:rFonts w:ascii="Consolas" w:hAnsi="Consolas" w:cs="Consolas"/>
                <w:color w:val="1C5CAB"/>
                <w:sz w:val="18"/>
                <w:szCs w:val="18"/>
                <w:shd w:val="clear" w:color="auto" w:fill="EEF3FA"/>
              </w:rPr>
              <w:t xml:space="preserve">send-report --skip-sent</w:t>
            </w:r>
          </w:p>
        </w:tc>
        <w:tc>
          <w:tcPr>
            <w:tcW w:w="1927" w:type="dxa"/>
          </w:tcPr>
          <w:p>
            <w:pPr>
              <w:pStyle w:val="TableText"/>
            </w:pPr>
            <w:r>
              <w:rPr>
                <w:sz w:val="18"/>
                <w:szCs w:val="18"/>
              </w:rPr>
              <w:t xml:space="preserve">Chaque jour à 07:00</w:t>
            </w:r>
          </w:p>
        </w:tc>
        <w:tc>
          <w:tcPr>
            <w:tcW w:w="1084" w:type="dxa"/>
          </w:tcPr>
          <w:p>
            <w:pPr>
              <w:pStyle w:val="TableText"/>
            </w:pPr>
            <w:r>
              <w:rPr>
                <w:sz w:val="18"/>
                <w:szCs w:val="18"/>
              </w:rPr>
              <w:t xml:space="preserve">&lt; 1 min</w:t>
            </w:r>
          </w:p>
        </w:tc>
        <w:tc>
          <w:tcPr>
            <w:tcW w:w="2409" w:type="dxa"/>
          </w:tcPr>
          <w:p>
            <w:pPr>
              <w:pStyle w:val="TableText"/>
            </w:pPr>
            <w:r>
              <w:rPr>
                <w:sz w:val="18"/>
                <w:szCs w:val="18"/>
              </w:rPr>
              <w:t xml:space="preserve">E-mail aux abonnés, une seule fois par période</w:t>
            </w:r>
          </w:p>
        </w:tc>
      </w:tr>
      <w:tr>
        <w:trPr>
          <w:cantSplit/>
        </w:trPr>
        <w:tc>
          <w:tcPr>
            <w:tcW w:w="1927" w:type="dxa"/>
            <w:shd w:val="clear" w:color="auto" w:fill="F4F7FC"/>
          </w:tcPr>
          <w:p>
            <w:pPr>
              <w:pStyle w:val="TableText"/>
            </w:pPr>
            <w:r>
              <w:rPr>
                <w:sz w:val="18"/>
                <w:szCs w:val="18"/>
              </w:rPr>
              <w:t xml:space="preserve">FreeLM - Purge</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purge</w:t>
            </w:r>
          </w:p>
        </w:tc>
        <w:tc>
          <w:tcPr>
            <w:tcW w:w="1927" w:type="dxa"/>
            <w:shd w:val="clear" w:color="auto" w:fill="F4F7FC"/>
          </w:tcPr>
          <w:p>
            <w:pPr>
              <w:pStyle w:val="TableText"/>
            </w:pPr>
            <w:r>
              <w:rPr>
                <w:sz w:val="18"/>
                <w:szCs w:val="18"/>
              </w:rPr>
              <w:t xml:space="preserve">Chaque dimanche à 03:00</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Application de la politique de rétention</w:t>
            </w:r>
          </w:p>
        </w:tc>
      </w:tr>
      <w:tr>
        <w:trPr>
          <w:cantSplit/>
        </w:trPr>
        <w:tc>
          <w:tcPr>
            <w:tcW w:w="1927" w:type="dxa"/>
          </w:tcPr>
          <w:p>
            <w:pPr>
              <w:pStyle w:val="TableText"/>
            </w:pPr>
            <w:r>
              <w:rPr>
                <w:sz w:val="18"/>
                <w:szCs w:val="18"/>
              </w:rPr>
              <w:t xml:space="preserve">FreeLM - Interface web (option)</w:t>
            </w:r>
          </w:p>
        </w:tc>
        <w:tc>
          <w:tcPr>
            <w:tcW w:w="2289" w:type="dxa"/>
          </w:tcPr>
          <w:p>
            <w:pPr>
              <w:pStyle w:val="TableText"/>
            </w:pPr>
            <w:r>
              <w:rPr>
                <w:rFonts w:ascii="Consolas" w:hAnsi="Consolas" w:cs="Consolas"/>
                <w:color w:val="1C5CAB"/>
                <w:sz w:val="18"/>
                <w:szCs w:val="18"/>
                <w:shd w:val="clear" w:color="auto" w:fill="EEF3FA"/>
              </w:rPr>
              <w:t xml:space="preserve">web</w:t>
            </w:r>
          </w:p>
        </w:tc>
        <w:tc>
          <w:tcPr>
            <w:tcW w:w="1927" w:type="dxa"/>
          </w:tcPr>
          <w:p>
            <w:pPr>
              <w:pStyle w:val="TableText"/>
            </w:pPr>
            <w:r>
              <w:rPr>
                <w:sz w:val="18"/>
                <w:szCs w:val="18"/>
              </w:rPr>
              <w:t xml:space="preserve">Au démarrage du serveur, relance automatique chaque minute en cas d'arrêt</w:t>
            </w:r>
          </w:p>
        </w:tc>
        <w:tc>
          <w:tcPr>
            <w:tcW w:w="1084" w:type="dxa"/>
          </w:tcPr>
          <w:p>
            <w:pPr>
              <w:pStyle w:val="TableText"/>
            </w:pPr>
            <w:r>
              <w:rPr>
                <w:sz w:val="18"/>
                <w:szCs w:val="18"/>
              </w:rPr>
              <w:t xml:space="preserve">Permanente</w:t>
            </w:r>
          </w:p>
        </w:tc>
        <w:tc>
          <w:tcPr>
            <w:tcW w:w="2409"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Import utilisateurs (à créer)</w:t>
            </w:r>
          </w:p>
        </w:tc>
        <w:tc>
          <w:tcPr>
            <w:tcW w:w="2289" w:type="dxa"/>
            <w:shd w:val="clear" w:color="auto" w:fill="F4F7FC"/>
          </w:tcPr>
          <w:p>
            <w:pPr>
              <w:pStyle w:val="TableText"/>
            </w:pPr>
            <w:r>
              <w:rPr>
                <w:rFonts w:ascii="Consolas" w:hAnsi="Consolas" w:cs="Consolas"/>
                <w:color w:val="1C5CAB"/>
                <w:sz w:val="18"/>
                <w:szCs w:val="18"/>
                <w:shd w:val="clear" w:color="auto" w:fill="EEF3FA"/>
              </w:rPr>
              <w:t xml:space="preserve">import-users users.csv</w:t>
            </w:r>
          </w:p>
        </w:tc>
        <w:tc>
          <w:tcPr>
            <w:tcW w:w="1927" w:type="dxa"/>
            <w:shd w:val="clear" w:color="auto" w:fill="F4F7FC"/>
          </w:tcPr>
          <w:p>
            <w:pPr>
              <w:pStyle w:val="TableText"/>
            </w:pPr>
            <w:r>
              <w:rPr>
                <w:sz w:val="18"/>
                <w:szCs w:val="18"/>
              </w:rPr>
              <w:t xml:space="preserve">Hebdomadaire (recommandé)</w:t>
            </w:r>
          </w:p>
        </w:tc>
        <w:tc>
          <w:tcPr>
            <w:tcW w:w="1084" w:type="dxa"/>
            <w:shd w:val="clear" w:color="auto" w:fill="F4F7FC"/>
          </w:tcPr>
          <w:p>
            <w:pPr>
              <w:pStyle w:val="TableText"/>
            </w:pPr>
            <w:r>
              <w:rPr>
                <w:sz w:val="18"/>
                <w:szCs w:val="18"/>
              </w:rPr>
              <w:t xml:space="preserve">&lt; 1 min</w:t>
            </w:r>
          </w:p>
        </w:tc>
        <w:tc>
          <w:tcPr>
            <w:tcW w:w="2409" w:type="dxa"/>
            <w:shd w:val="clear" w:color="auto" w:fill="F4F7FC"/>
          </w:tcPr>
          <w:p>
            <w:pPr>
              <w:pStyle w:val="TableText"/>
            </w:pPr>
            <w:r>
              <w:rPr>
                <w:sz w:val="18"/>
                <w:szCs w:val="18"/>
              </w:rPr>
              <w:t xml:space="preserve">Noms et services depuis l'AD</w:t>
            </w:r>
          </w:p>
        </w:tc>
      </w:tr>
    </w:tbl>
    <w:p>
      <w:pPr>
        <w:spacing w:after="80"/>
      </w:pPr>
    </w:p>
    <w:p>
      <w:pPr>
        <w:pStyle w:val="Heading2"/>
      </w:pPr>
      <w:bookmarkStart w:id="52" w:name="_Toc00052"/>
      <w:r>
        <w:rPr/>
        <w:t xml:space="preserve">7.2 Démarrage et arrêt</w:t>
      </w:r>
      <w:bookmarkEnd w:id="52"/>
    </w:p>
    <w:p>
      <w:pPr/>
      <w:r>
        <w:rPr/>
        <w:t xml:space="preserve">FreeLM n'est pas un service Windows : il n'y a rien à « démarrer » en dehors de l'interface web. Pour suspendre l'application (maintenance SQL, intervention sur les serveurs de licences) :</w:t>
      </w:r>
    </w:p>
    <w:p>
      <w:pPr>
        <w:pStyle w:val="Code"/>
      </w:pPr>
      <w:r>
        <w:t xml:space="preserve"># Arrêt complet</w:t>
      </w:r>
    </w:p>
    <w:p>
      <w:pPr>
        <w:pStyle w:val="Code"/>
      </w:pPr>
      <w:r>
        <w:t xml:space="preserve">Get-ScheduledTask -TaskPath "\FreeLM\" | Disable-ScheduledTask</w:t>
      </w:r>
    </w:p>
    <w:p>
      <w:pPr>
        <w:pStyle w:val="Code"/>
      </w:pPr>
      <w:r>
        <w:t xml:space="preserve">Stop-ScheduledTask -TaskPath "\FreeLM\" -TaskName "FreeLM - Interface web"</w:t>
      </w:r>
    </w:p>
    <w:p>
      <w:pPr>
        <w:pStyle w:val="Code"/>
      </w:pPr>
      <w:r>
        <w:t xml:space="preserve"> </w:t>
      </w:r>
    </w:p>
    <w:p>
      <w:pPr>
        <w:pStyle w:val="Code"/>
      </w:pPr>
      <w:r>
        <w:t xml:space="preserve"># Redémarrage</w:t>
      </w:r>
    </w:p>
    <w:p>
      <w:pPr>
        <w:pStyle w:val="Code"/>
      </w:pPr>
      <w:r>
        <w:t xml:space="preserve">Get-ScheduledTask -TaskPath "\FreeLM\" | Enable-ScheduledTask</w:t>
      </w:r>
    </w:p>
    <w:p>
      <w:pPr>
        <w:pStyle w:val="Code"/>
      </w:pPr>
      <w:r>
        <w:t xml:space="preserve">Start-ScheduledTask -TaskPath "\FreeLM\" -TaskName "FreeLM - Interface web"</w:t>
      </w:r>
    </w:p>
    <w:p>
      <w:pPr>
        <w:pStyle w:val="Code"/>
      </w:pPr>
      <w:r>
        <w:t xml:space="preserve"> </w:t>
      </w:r>
    </w:p>
    <w:p>
      <w:pPr>
        <w:pStyle w:val="Code"/>
      </w:pPr>
      <w:r>
        <w:t xml:space="preserve"># Collecte immédiate (sans attendre le prochain déclenchement)</w:t>
      </w:r>
    </w:p>
    <w:p>
      <w:pPr>
        <w:pStyle w:val="Code"/>
      </w:pPr>
      <w:r>
        <w:t xml:space="preserve">Start-ScheduledTask -TaskPath "\FreeLM\" -TaskName "FreeLM - Collecte"</w:t>
      </w:r>
    </w:p>
    <w:p>
      <w:pPr/>
      <w:r>
        <w:rPr/>
        <w:t xml:space="preserve">Pendant l'arrêt, aucune donnée n'est collectée. Avec le collecteur log, les évènements survenus pendant l'arrêt sont rattrapés à la reprise (lecture depuis le dernier offset) ; avec lmstat seul, la période d'arrêt reste sans données.</w:t>
      </w:r>
    </w:p>
    <w:p>
      <w:pPr>
        <w:pStyle w:val="Heading2"/>
      </w:pPr>
      <w:bookmarkStart w:id="53" w:name="_Toc00053"/>
      <w:r>
        <w:rPr/>
        <w:t xml:space="preserve">7.3 Contrôles quotidiens (N1, 5 minutes)</w:t>
      </w:r>
      <w:bookmarkEnd w:id="53"/>
    </w:p>
    <w:p>
      <w:pPr>
        <w:pStyle w:val="Caption"/>
        <w:keepNext/>
      </w:pPr>
      <w:r>
        <w:rPr/>
        <w:t xml:space="preserve">Tableau 14 – Contrôles quotidiens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00"/>
        <w:gridCol w:w="2503"/>
        <w:gridCol w:w="1877"/>
        <w:gridCol w:w="4756"/>
      </w:tblGrid>
      <w:tr>
        <w:trPr>
          <w:tblHeader/>
          <w:cantSplit/>
        </w:trPr>
        <w:tc>
          <w:tcPr>
            <w:tcW w:w="500" w:type="dxa"/>
            <w:shd w:val="clear" w:color="auto" w:fill="2A78D6"/>
          </w:tcPr>
          <w:p>
            <w:pPr>
              <w:pStyle w:val="TableText"/>
            </w:pPr>
            <w:r>
              <w:rPr>
                <w:b/>
                <w:color w:val="FFFFFF"/>
                <w:sz w:val="18"/>
                <w:szCs w:val="18"/>
              </w:rPr>
              <w:t xml:space="preserve">N°</w:t>
            </w:r>
          </w:p>
        </w:tc>
        <w:tc>
          <w:tcPr>
            <w:tcW w:w="2503" w:type="dxa"/>
            <w:shd w:val="clear" w:color="auto" w:fill="2A78D6"/>
          </w:tcPr>
          <w:p>
            <w:pPr>
              <w:pStyle w:val="TableText"/>
            </w:pPr>
            <w:r>
              <w:rPr>
                <w:b/>
                <w:color w:val="FFFFFF"/>
                <w:sz w:val="18"/>
                <w:szCs w:val="18"/>
              </w:rPr>
              <w:t xml:space="preserve">Contrôle</w:t>
            </w:r>
          </w:p>
        </w:tc>
        <w:tc>
          <w:tcPr>
            <w:tcW w:w="1877" w:type="dxa"/>
            <w:shd w:val="clear" w:color="auto" w:fill="2A78D6"/>
          </w:tcPr>
          <w:p>
            <w:pPr>
              <w:pStyle w:val="TableText"/>
            </w:pPr>
            <w:r>
              <w:rPr>
                <w:b/>
                <w:color w:val="FFFFFF"/>
                <w:sz w:val="18"/>
                <w:szCs w:val="18"/>
              </w:rPr>
              <w:t xml:space="preserve">Où</w:t>
            </w:r>
          </w:p>
        </w:tc>
        <w:tc>
          <w:tcPr>
            <w:tcW w:w="4756" w:type="dxa"/>
            <w:shd w:val="clear" w:color="auto" w:fill="2A78D6"/>
          </w:tcPr>
          <w:p>
            <w:pPr>
              <w:pStyle w:val="TableText"/>
            </w:pPr>
            <w:r>
              <w:rPr>
                <w:b/>
                <w:color w:val="FFFFFF"/>
                <w:sz w:val="18"/>
                <w:szCs w:val="18"/>
              </w:rPr>
              <w:t xml:space="preserve">Attendu / action</w:t>
            </w:r>
          </w:p>
        </w:tc>
      </w:tr>
      <w:tr>
        <w:trPr>
          <w:cantSplit/>
        </w:trPr>
        <w:tc>
          <w:tcPr>
            <w:tcW w:w="500" w:type="dxa"/>
          </w:tcPr>
          <w:p>
            <w:pPr>
              <w:pStyle w:val="TableText"/>
            </w:pPr>
            <w:r>
              <w:rPr>
                <w:sz w:val="18"/>
                <w:szCs w:val="18"/>
              </w:rPr>
              <w:t xml:space="preserve">1</w:t>
            </w:r>
          </w:p>
        </w:tc>
        <w:tc>
          <w:tcPr>
            <w:tcW w:w="2503" w:type="dxa"/>
          </w:tcPr>
          <w:p>
            <w:pPr>
              <w:pStyle w:val="TableText"/>
            </w:pPr>
            <w:r>
              <w:rPr>
                <w:sz w:val="18"/>
                <w:szCs w:val="18"/>
              </w:rPr>
              <w:t xml:space="preserve">Badge d'état en haut à droite</w:t>
            </w:r>
          </w:p>
        </w:tc>
        <w:tc>
          <w:tcPr>
            <w:tcW w:w="1877" w:type="dxa"/>
          </w:tcPr>
          <w:p>
            <w:pPr>
              <w:pStyle w:val="TableText"/>
            </w:pPr>
            <w:r>
              <w:rPr>
                <w:sz w:val="18"/>
                <w:szCs w:val="18"/>
              </w:rPr>
              <w:t xml:space="preserve">Interface web</w:t>
            </w:r>
          </w:p>
        </w:tc>
        <w:tc>
          <w:tcPr>
            <w:tcW w:w="4756" w:type="dxa"/>
          </w:tcPr>
          <w:p>
            <w:pPr>
              <w:pStyle w:val="TableText"/>
            </w:pPr>
            <w:r>
              <w:rPr>
                <w:sz w:val="18"/>
                <w:szCs w:val="18"/>
              </w:rPr>
              <w:t xml:space="preserve">« ✓ Collectes OK · il y a x min » (moins de 15 min). Sinon : § 11</w:t>
            </w:r>
          </w:p>
        </w:tc>
      </w:tr>
      <w:tr>
        <w:trPr>
          <w:cantSplit/>
        </w:trPr>
        <w:tc>
          <w:tcPr>
            <w:tcW w:w="500" w:type="dxa"/>
            <w:shd w:val="clear" w:color="auto" w:fill="F4F7FC"/>
          </w:tcPr>
          <w:p>
            <w:pPr>
              <w:pStyle w:val="TableText"/>
            </w:pPr>
            <w:r>
              <w:rPr>
                <w:sz w:val="18"/>
                <w:szCs w:val="18"/>
              </w:rPr>
              <w:t xml:space="preserve">2</w:t>
            </w:r>
          </w:p>
        </w:tc>
        <w:tc>
          <w:tcPr>
            <w:tcW w:w="2503" w:type="dxa"/>
            <w:shd w:val="clear" w:color="auto" w:fill="F4F7FC"/>
          </w:tcPr>
          <w:p>
            <w:pPr>
              <w:pStyle w:val="TableText"/>
            </w:pPr>
            <w:r>
              <w:rPr>
                <w:sz w:val="18"/>
                <w:szCs w:val="18"/>
              </w:rPr>
              <w:t xml:space="preserve">Bandeau d'alertes</w:t>
            </w:r>
          </w:p>
        </w:tc>
        <w:tc>
          <w:tcPr>
            <w:tcW w:w="1877" w:type="dxa"/>
            <w:shd w:val="clear" w:color="auto" w:fill="F4F7FC"/>
          </w:tcPr>
          <w:p>
            <w:pPr>
              <w:pStyle w:val="TableText"/>
            </w:pPr>
            <w:r>
              <w:rPr>
                <w:sz w:val="18"/>
                <w:szCs w:val="18"/>
              </w:rPr>
              <w:t xml:space="preserve">Tableau de bord</w:t>
            </w:r>
          </w:p>
        </w:tc>
        <w:tc>
          <w:tcPr>
            <w:tcW w:w="4756" w:type="dxa"/>
            <w:shd w:val="clear" w:color="auto" w:fill="F4F7FC"/>
          </w:tcPr>
          <w:p>
            <w:pPr>
              <w:pStyle w:val="TableText"/>
            </w:pPr>
            <w:r>
              <w:rPr>
                <w:sz w:val="18"/>
                <w:szCs w:val="18"/>
              </w:rPr>
              <w:t xml:space="preserve">Traiter les alertes critiques (collecte, expiration ≤ 7 j) ; informer le responsable applicatif des autres</w:t>
            </w:r>
          </w:p>
        </w:tc>
      </w:tr>
      <w:tr>
        <w:trPr>
          <w:cantSplit/>
        </w:trPr>
        <w:tc>
          <w:tcPr>
            <w:tcW w:w="500" w:type="dxa"/>
          </w:tcPr>
          <w:p>
            <w:pPr>
              <w:pStyle w:val="TableText"/>
            </w:pPr>
            <w:r>
              <w:rPr>
                <w:sz w:val="18"/>
                <w:szCs w:val="18"/>
              </w:rPr>
              <w:t xml:space="preserve">3</w:t>
            </w:r>
          </w:p>
        </w:tc>
        <w:tc>
          <w:tcPr>
            <w:tcW w:w="2503" w:type="dxa"/>
          </w:tcPr>
          <w:p>
            <w:pPr>
              <w:pStyle w:val="TableText"/>
            </w:pPr>
            <w:r>
              <w:rPr>
                <w:sz w:val="18"/>
                <w:szCs w:val="18"/>
              </w:rPr>
              <w:t xml:space="preserve">Bloc « Serveurs et échéances »</w:t>
            </w:r>
          </w:p>
        </w:tc>
        <w:tc>
          <w:tcPr>
            <w:tcW w:w="1877" w:type="dxa"/>
          </w:tcPr>
          <w:p>
            <w:pPr>
              <w:pStyle w:val="TableText"/>
            </w:pPr>
            <w:r>
              <w:rPr>
                <w:sz w:val="18"/>
                <w:szCs w:val="18"/>
              </w:rPr>
              <w:t xml:space="preserve">Tableau de bord</w:t>
            </w:r>
          </w:p>
        </w:tc>
        <w:tc>
          <w:tcPr>
            <w:tcW w:w="4756" w:type="dxa"/>
          </w:tcPr>
          <w:p>
            <w:pPr>
              <w:pStyle w:val="TableText"/>
            </w:pPr>
            <w:r>
              <w:rPr>
                <w:sz w:val="18"/>
                <w:szCs w:val="18"/>
              </w:rPr>
              <w:t xml:space="preserve">Tous les serveurs « Opérationnel »</w:t>
            </w:r>
          </w:p>
        </w:tc>
      </w:tr>
      <w:tr>
        <w:trPr>
          <w:cantSplit/>
        </w:trPr>
        <w:tc>
          <w:tcPr>
            <w:tcW w:w="500" w:type="dxa"/>
            <w:shd w:val="clear" w:color="auto" w:fill="F4F7FC"/>
          </w:tcPr>
          <w:p>
            <w:pPr>
              <w:pStyle w:val="TableText"/>
            </w:pPr>
            <w:r>
              <w:rPr>
                <w:sz w:val="18"/>
                <w:szCs w:val="18"/>
              </w:rPr>
              <w:t xml:space="preserve">4</w:t>
            </w:r>
          </w:p>
        </w:tc>
        <w:tc>
          <w:tcPr>
            <w:tcW w:w="2503" w:type="dxa"/>
            <w:shd w:val="clear" w:color="auto" w:fill="F4F7FC"/>
          </w:tcPr>
          <w:p>
            <w:pPr>
              <w:pStyle w:val="TableText"/>
            </w:pPr>
            <w:r>
              <w:rPr>
                <w:sz w:val="18"/>
                <w:szCs w:val="18"/>
              </w:rPr>
              <w:t xml:space="preserve">Dernier résultat des tâches</w:t>
            </w:r>
          </w:p>
        </w:tc>
        <w:tc>
          <w:tcPr>
            <w:tcW w:w="1877" w:type="dxa"/>
            <w:shd w:val="clear" w:color="auto" w:fill="F4F7FC"/>
          </w:tcPr>
          <w:p>
            <w:pPr>
              <w:pStyle w:val="TableText"/>
            </w:pPr>
            <w:r>
              <w:rPr>
                <w:sz w:val="18"/>
                <w:szCs w:val="18"/>
              </w:rPr>
              <w:t xml:space="preserve">Planificateur de tâches</w:t>
            </w:r>
          </w:p>
        </w:tc>
        <w:tc>
          <w:tcPr>
            <w:tcW w:w="4756" w:type="dxa"/>
            <w:shd w:val="clear" w:color="auto" w:fill="F4F7FC"/>
          </w:tcPr>
          <w:p>
            <w:pPr>
              <w:pStyle w:val="TableText"/>
            </w:pPr>
            <w:r>
              <w:rPr>
                <w:sz w:val="18"/>
                <w:szCs w:val="18"/>
              </w:rPr>
              <w:t xml:space="preserve">0x0 pour toutes les tâches</w:t>
            </w:r>
          </w:p>
        </w:tc>
      </w:tr>
    </w:tbl>
    <w:p>
      <w:pPr>
        <w:spacing w:after="80"/>
      </w:pPr>
    </w:p>
    <w:p>
      <w:pPr>
        <w:pStyle w:val="Heading2"/>
      </w:pPr>
      <w:bookmarkStart w:id="54" w:name="_Toc00054"/>
      <w:r>
        <w:rPr/>
        <w:t xml:space="preserve">7.4 Contrôles hebdomadaires et mensuels (N2)</w:t>
      </w:r>
      <w:bookmarkEnd w:id="54"/>
    </w:p>
    <w:p>
      <w:pPr>
        <w:pStyle w:val="Caption"/>
        <w:keepNext/>
      </w:pPr>
      <w:r>
        <w:rPr/>
        <w:t xml:space="preserve">Tableau 15 – Contrôles périodiques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740"/>
        <w:gridCol w:w="4015"/>
        <w:gridCol w:w="3881"/>
      </w:tblGrid>
      <w:tr>
        <w:trPr>
          <w:tblHeader/>
          <w:cantSplit/>
        </w:trPr>
        <w:tc>
          <w:tcPr>
            <w:tcW w:w="1740" w:type="dxa"/>
            <w:shd w:val="clear" w:color="auto" w:fill="2A78D6"/>
          </w:tcPr>
          <w:p>
            <w:pPr>
              <w:pStyle w:val="TableText"/>
            </w:pPr>
            <w:r>
              <w:rPr>
                <w:b/>
                <w:color w:val="FFFFFF"/>
                <w:sz w:val="18"/>
                <w:szCs w:val="18"/>
              </w:rPr>
              <w:t xml:space="preserve">Fréquence</w:t>
            </w:r>
          </w:p>
        </w:tc>
        <w:tc>
          <w:tcPr>
            <w:tcW w:w="4015" w:type="dxa"/>
            <w:shd w:val="clear" w:color="auto" w:fill="2A78D6"/>
          </w:tcPr>
          <w:p>
            <w:pPr>
              <w:pStyle w:val="TableText"/>
            </w:pPr>
            <w:r>
              <w:rPr>
                <w:b/>
                <w:color w:val="FFFFFF"/>
                <w:sz w:val="18"/>
                <w:szCs w:val="18"/>
              </w:rPr>
              <w:t xml:space="preserve">Contrôle</w:t>
            </w:r>
          </w:p>
        </w:tc>
        <w:tc>
          <w:tcPr>
            <w:tcW w:w="3881" w:type="dxa"/>
            <w:shd w:val="clear" w:color="auto" w:fill="2A78D6"/>
          </w:tcPr>
          <w:p>
            <w:pPr>
              <w:pStyle w:val="TableText"/>
            </w:pPr>
            <w:r>
              <w:rPr>
                <w:b/>
                <w:color w:val="FFFFFF"/>
                <w:sz w:val="18"/>
                <w:szCs w:val="18"/>
              </w:rPr>
              <w:t xml:space="preserve">Action</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Erreurs dans </w:t>
            </w:r>
            <w:r>
              <w:rPr>
                <w:rFonts w:ascii="Consolas" w:hAnsi="Consolas" w:cs="Consolas"/>
                <w:color w:val="1C5CAB"/>
                <w:sz w:val="18"/>
                <w:szCs w:val="18"/>
                <w:shd w:val="clear" w:color="auto" w:fill="EEF3FA"/>
              </w:rPr>
              <w:t xml:space="preserve">freelm.log</w:t>
            </w:r>
            <w:r>
              <w:rPr>
                <w:sz w:val="18"/>
                <w:szCs w:val="18"/>
              </w:rPr>
              <w:t xml:space="preserve"> (niveau ERROR / WARNING)</w:t>
            </w:r>
          </w:p>
        </w:tc>
        <w:tc>
          <w:tcPr>
            <w:tcW w:w="3881" w:type="dxa"/>
          </w:tcPr>
          <w:p>
            <w:pPr>
              <w:pStyle w:val="TableText"/>
            </w:pPr>
            <w:r>
              <w:rPr>
                <w:sz w:val="18"/>
                <w:szCs w:val="18"/>
              </w:rPr>
              <w:t xml:space="preserve">Analyser, ouvrir un incident si récurrent</w:t>
            </w:r>
          </w:p>
        </w:tc>
      </w:tr>
      <w:tr>
        <w:trPr>
          <w:cantSplit/>
        </w:trPr>
        <w:tc>
          <w:tcPr>
            <w:tcW w:w="1740" w:type="dxa"/>
            <w:shd w:val="clear" w:color="auto" w:fill="F4F7FC"/>
          </w:tcPr>
          <w:p>
            <w:pPr>
              <w:pStyle w:val="TableText"/>
            </w:pPr>
            <w:r>
              <w:rPr>
                <w:sz w:val="18"/>
                <w:szCs w:val="18"/>
              </w:rPr>
              <w:t xml:space="preserve">Hebdomadaire</w:t>
            </w:r>
          </w:p>
        </w:tc>
        <w:tc>
          <w:tcPr>
            <w:tcW w:w="4015" w:type="dxa"/>
            <w:shd w:val="clear" w:color="auto" w:fill="F4F7FC"/>
          </w:tcPr>
          <w:p>
            <w:pPr>
              <w:pStyle w:val="TableText"/>
            </w:pPr>
            <w:r>
              <w:rPr>
                <w:sz w:val="18"/>
                <w:szCs w:val="18"/>
              </w:rPr>
              <w:t xml:space="preserve">Espace disque du serveur et taille de la base</w:t>
            </w:r>
          </w:p>
        </w:tc>
        <w:tc>
          <w:tcPr>
            <w:tcW w:w="3881" w:type="dxa"/>
            <w:shd w:val="clear" w:color="auto" w:fill="F4F7FC"/>
          </w:tcPr>
          <w:p>
            <w:pPr>
              <w:pStyle w:val="TableText"/>
            </w:pPr>
            <w:r>
              <w:rPr>
                <w:sz w:val="18"/>
                <w:szCs w:val="18"/>
              </w:rPr>
              <w:t xml:space="preserve">Vérifier que la purge s'exécute</w:t>
            </w:r>
          </w:p>
        </w:tc>
      </w:tr>
      <w:tr>
        <w:trPr>
          <w:cantSplit/>
        </w:trPr>
        <w:tc>
          <w:tcPr>
            <w:tcW w:w="1740" w:type="dxa"/>
          </w:tcPr>
          <w:p>
            <w:pPr>
              <w:pStyle w:val="TableText"/>
            </w:pPr>
            <w:r>
              <w:rPr>
                <w:sz w:val="18"/>
                <w:szCs w:val="18"/>
              </w:rPr>
              <w:t xml:space="preserve">Hebdomadaire</w:t>
            </w:r>
          </w:p>
        </w:tc>
        <w:tc>
          <w:tcPr>
            <w:tcW w:w="4015" w:type="dxa"/>
          </w:tcPr>
          <w:p>
            <w:pPr>
              <w:pStyle w:val="TableText"/>
            </w:pPr>
            <w:r>
              <w:rPr>
                <w:sz w:val="18"/>
                <w:szCs w:val="18"/>
              </w:rPr>
              <w:t xml:space="preserve">Vue Collectes : taux d'échec par serveur</w:t>
            </w:r>
          </w:p>
        </w:tc>
        <w:tc>
          <w:tcPr>
            <w:tcW w:w="3881" w:type="dxa"/>
          </w:tcPr>
          <w:p>
            <w:pPr>
              <w:pStyle w:val="TableText"/>
            </w:pPr>
            <w:r>
              <w:rPr>
                <w:sz w:val="18"/>
                <w:szCs w:val="18"/>
              </w:rPr>
              <w:t xml:space="preserve">Échecs répétés → flux, serveur de licences, délai</w:t>
            </w:r>
          </w:p>
        </w:tc>
      </w:tr>
      <w:tr>
        <w:trPr>
          <w:cantSplit/>
        </w:trPr>
        <w:tc>
          <w:tcPr>
            <w:tcW w:w="1740" w:type="dxa"/>
            <w:shd w:val="clear" w:color="auto" w:fill="F4F7FC"/>
          </w:tcPr>
          <w:p>
            <w:pPr>
              <w:pStyle w:val="TableText"/>
            </w:pPr>
            <w:r>
              <w:rPr>
                <w:sz w:val="18"/>
                <w:szCs w:val="18"/>
              </w:rPr>
              <w:t xml:space="preserve">Mensuelle (le 2)</w:t>
            </w:r>
          </w:p>
        </w:tc>
        <w:tc>
          <w:tcPr>
            <w:tcW w:w="4015" w:type="dxa"/>
            <w:shd w:val="clear" w:color="auto" w:fill="F4F7FC"/>
          </w:tcPr>
          <w:p>
            <w:pPr>
              <w:pStyle w:val="TableText"/>
            </w:pPr>
            <w:r>
              <w:rPr>
                <w:sz w:val="18"/>
                <w:szCs w:val="18"/>
              </w:rPr>
              <w:t xml:space="preserve">Rapport mensuel présent dans </w:t>
            </w:r>
            <w:r>
              <w:rPr>
                <w:rFonts w:ascii="Consolas" w:hAnsi="Consolas" w:cs="Consolas"/>
                <w:color w:val="1C5CAB"/>
                <w:sz w:val="18"/>
                <w:szCs w:val="18"/>
                <w:shd w:val="clear" w:color="auto" w:fill="EEF3FA"/>
              </w:rPr>
              <w:t xml:space="preserve">reports\</w:t>
            </w:r>
          </w:p>
        </w:tc>
        <w:tc>
          <w:tcPr>
            <w:tcW w:w="3881" w:type="dxa"/>
            <w:shd w:val="clear" w:color="auto" w:fill="F4F7FC"/>
          </w:tcPr>
          <w:p>
            <w:pPr>
              <w:pStyle w:val="TableText"/>
            </w:pPr>
            <w:r>
              <w:rPr>
                <w:sz w:val="18"/>
                <w:szCs w:val="18"/>
              </w:rPr>
              <w:t xml:space="preserve">Sinon relancer « FreeLM - Rapport mensuel »</w:t>
            </w:r>
          </w:p>
        </w:tc>
      </w:tr>
      <w:tr>
        <w:trPr>
          <w:cantSplit/>
        </w:trPr>
        <w:tc>
          <w:tcPr>
            <w:tcW w:w="1740" w:type="dxa"/>
          </w:tcPr>
          <w:p>
            <w:pPr>
              <w:pStyle w:val="TableText"/>
            </w:pPr>
            <w:r>
              <w:rPr>
                <w:sz w:val="18"/>
                <w:szCs w:val="18"/>
              </w:rPr>
              <w:t xml:space="preserve">Mensuelle (le 2)</w:t>
            </w:r>
          </w:p>
        </w:tc>
        <w:tc>
          <w:tcPr>
            <w:tcW w:w="4015" w:type="dxa"/>
          </w:tcPr>
          <w:p>
            <w:pPr>
              <w:pStyle w:val="TableText"/>
            </w:pPr>
            <w:r>
              <w:rPr>
                <w:sz w:val="18"/>
                <w:szCs w:val="18"/>
              </w:rPr>
              <w:t xml:space="preserve">E-mails envoyés (</w:t>
            </w:r>
            <w:r>
              <w:rPr>
                <w:rFonts w:ascii="Consolas" w:hAnsi="Consolas" w:cs="Consolas"/>
                <w:color w:val="1C5CAB"/>
                <w:sz w:val="18"/>
                <w:szCs w:val="18"/>
                <w:shd w:val="clear" w:color="auto" w:fill="EEF3FA"/>
              </w:rPr>
              <w:t xml:space="preserve">report_delivery</w:t>
            </w:r>
            <w:r>
              <w:rPr>
                <w:sz w:val="18"/>
                <w:szCs w:val="18"/>
              </w:rPr>
              <w:t xml:space="preserve">)</w:t>
            </w:r>
          </w:p>
        </w:tc>
        <w:tc>
          <w:tcPr>
            <w:tcW w:w="3881" w:type="dxa"/>
          </w:tcPr>
          <w:p>
            <w:pPr>
              <w:pStyle w:val="TableText"/>
            </w:pPr>
            <w:r>
              <w:rPr>
                <w:sz w:val="18"/>
                <w:szCs w:val="18"/>
              </w:rPr>
              <w:t xml:space="preserve">Sinon voir § 11</w:t>
            </w:r>
          </w:p>
        </w:tc>
      </w:tr>
      <w:tr>
        <w:trPr>
          <w:cantSplit/>
        </w:trPr>
        <w:tc>
          <w:tcPr>
            <w:tcW w:w="1740" w:type="dxa"/>
            <w:shd w:val="clear" w:color="auto" w:fill="F4F7FC"/>
          </w:tcPr>
          <w:p>
            <w:pPr>
              <w:pStyle w:val="TableText"/>
            </w:pPr>
            <w:r>
              <w:rPr>
                <w:sz w:val="18"/>
                <w:szCs w:val="18"/>
              </w:rPr>
              <w:t xml:space="preserve">Mensuelle</w:t>
            </w:r>
          </w:p>
        </w:tc>
        <w:tc>
          <w:tcPr>
            <w:tcW w:w="4015" w:type="dxa"/>
            <w:shd w:val="clear" w:color="auto" w:fill="F4F7FC"/>
          </w:tcPr>
          <w:p>
            <w:pPr>
              <w:pStyle w:val="TableText"/>
            </w:pPr>
            <w:r>
              <w:rPr>
                <w:sz w:val="18"/>
                <w:szCs w:val="18"/>
              </w:rPr>
              <w:t xml:space="preserve">Journal d'audit (connexions, échecs, exports)</w:t>
            </w:r>
          </w:p>
        </w:tc>
        <w:tc>
          <w:tcPr>
            <w:tcW w:w="3881" w:type="dxa"/>
            <w:shd w:val="clear" w:color="auto" w:fill="F4F7FC"/>
          </w:tcPr>
          <w:p>
            <w:pPr>
              <w:pStyle w:val="TableText"/>
            </w:pPr>
            <w:r>
              <w:rPr>
                <w:sz w:val="18"/>
                <w:szCs w:val="18"/>
              </w:rPr>
              <w:t xml:space="preserve">Signaler les anomalies au RSSI</w:t>
            </w:r>
          </w:p>
        </w:tc>
      </w:tr>
      <w:tr>
        <w:trPr>
          <w:cantSplit/>
        </w:trPr>
        <w:tc>
          <w:tcPr>
            <w:tcW w:w="1740" w:type="dxa"/>
          </w:tcPr>
          <w:p>
            <w:pPr>
              <w:pStyle w:val="TableText"/>
            </w:pPr>
            <w:r>
              <w:rPr>
                <w:sz w:val="18"/>
                <w:szCs w:val="18"/>
              </w:rPr>
              <w:t xml:space="preserve">Mensuelle</w:t>
            </w:r>
          </w:p>
        </w:tc>
        <w:tc>
          <w:tcPr>
            <w:tcW w:w="4015" w:type="dxa"/>
          </w:tcPr>
          <w:p>
            <w:pPr>
              <w:pStyle w:val="TableText"/>
            </w:pPr>
            <w:r>
              <w:rPr>
                <w:sz w:val="18"/>
                <w:szCs w:val="18"/>
              </w:rPr>
              <w:t xml:space="preserve">Échéances de licences à 120 jours</w:t>
            </w:r>
          </w:p>
        </w:tc>
        <w:tc>
          <w:tcPr>
            <w:tcW w:w="3881" w:type="dxa"/>
          </w:tcPr>
          <w:p>
            <w:pPr>
              <w:pStyle w:val="TableText"/>
            </w:pPr>
            <w:r>
              <w:rPr>
                <w:sz w:val="18"/>
                <w:szCs w:val="18"/>
              </w:rPr>
              <w:t xml:space="preserve">Transmettre au responsable applicatif / achats</w:t>
            </w:r>
          </w:p>
        </w:tc>
      </w:tr>
      <w:tr>
        <w:trPr>
          <w:cantSplit/>
        </w:trPr>
        <w:tc>
          <w:tcPr>
            <w:tcW w:w="1740" w:type="dxa"/>
            <w:shd w:val="clear" w:color="auto" w:fill="F4F7FC"/>
          </w:tcPr>
          <w:p>
            <w:pPr>
              <w:pStyle w:val="TableText"/>
            </w:pPr>
            <w:r>
              <w:rPr>
                <w:sz w:val="18"/>
                <w:szCs w:val="18"/>
              </w:rPr>
              <w:t xml:space="preserve">Trimestrielle</w:t>
            </w:r>
          </w:p>
        </w:tc>
        <w:tc>
          <w:tcPr>
            <w:tcW w:w="4015" w:type="dxa"/>
            <w:shd w:val="clear" w:color="auto" w:fill="F4F7FC"/>
          </w:tcPr>
          <w:p>
            <w:pPr>
              <w:pStyle w:val="TableText"/>
            </w:pPr>
            <w:r>
              <w:rPr>
                <w:sz w:val="18"/>
                <w:szCs w:val="18"/>
              </w:rPr>
              <w:t xml:space="preserve">Revue des membres du groupe d'accès</w:t>
            </w:r>
          </w:p>
        </w:tc>
        <w:tc>
          <w:tcPr>
            <w:tcW w:w="3881" w:type="dxa"/>
            <w:shd w:val="clear" w:color="auto" w:fill="F4F7FC"/>
          </w:tcPr>
          <w:p>
            <w:pPr>
              <w:pStyle w:val="TableText"/>
            </w:pPr>
            <w:r>
              <w:rPr>
                <w:sz w:val="18"/>
                <w:szCs w:val="18"/>
              </w:rPr>
              <w:t xml:space="preserve">Retirer les personnes sans besoin</w:t>
            </w:r>
          </w:p>
        </w:tc>
      </w:tr>
      <w:tr>
        <w:trPr>
          <w:cantSplit/>
        </w:trPr>
        <w:tc>
          <w:tcPr>
            <w:tcW w:w="1740" w:type="dxa"/>
          </w:tcPr>
          <w:p>
            <w:pPr>
              <w:pStyle w:val="TableText"/>
            </w:pPr>
            <w:r>
              <w:rPr>
                <w:sz w:val="18"/>
                <w:szCs w:val="18"/>
              </w:rPr>
              <w:t xml:space="preserve">Annuelle</w:t>
            </w:r>
          </w:p>
        </w:tc>
        <w:tc>
          <w:tcPr>
            <w:tcW w:w="4015" w:type="dxa"/>
          </w:tcPr>
          <w:p>
            <w:pPr>
              <w:pStyle w:val="TableText"/>
            </w:pPr>
            <w:r>
              <w:rPr>
                <w:sz w:val="18"/>
                <w:szCs w:val="18"/>
              </w:rPr>
              <w:t xml:space="preserve">Certificat HTTPS, test de restauration</w:t>
            </w:r>
          </w:p>
        </w:tc>
        <w:tc>
          <w:tcPr>
            <w:tcW w:w="3881" w:type="dxa"/>
          </w:tcPr>
          <w:p>
            <w:pPr>
              <w:pStyle w:val="TableText"/>
            </w:pPr>
            <w:r>
              <w:rPr>
                <w:sz w:val="18"/>
                <w:szCs w:val="18"/>
              </w:rPr>
              <w:t xml:space="preserve">Renouveler avant expiration ; restaurer sur un serveur de test</w:t>
            </w:r>
          </w:p>
        </w:tc>
      </w:tr>
    </w:tbl>
    <w:p>
      <w:pPr>
        <w:spacing w:after="80"/>
      </w:pPr>
    </w:p>
    <w:p>
      <w:pPr>
        <w:pStyle w:val="Heading2"/>
      </w:pPr>
      <w:bookmarkStart w:id="55" w:name="_Toc00055"/>
      <w:r>
        <w:rPr/>
        <w:t xml:space="preserve">7.5 Supervision</w:t>
      </w:r>
      <w:bookmarkEnd w:id="55"/>
    </w:p>
    <w:p>
      <w:pPr/>
      <w:r>
        <w:rPr/>
        <w:t xml:space="preserve">FreeLM peut être supervisé par l'outil de l'entreprise (Centreon, Zabbix, SCOM, PRTG…) avec les sondes suivantes :</w:t>
      </w:r>
    </w:p>
    <w:p>
      <w:pPr>
        <w:pStyle w:val="Caption"/>
        <w:keepNext/>
      </w:pPr>
      <w:r>
        <w:rPr/>
        <w:t xml:space="preserve">Tableau 16 – Sondes de supervision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78"/>
        <w:gridCol w:w="4130"/>
        <w:gridCol w:w="3029"/>
      </w:tblGrid>
      <w:tr>
        <w:trPr>
          <w:tblHeader/>
          <w:cantSplit/>
        </w:trPr>
        <w:tc>
          <w:tcPr>
            <w:tcW w:w="2478" w:type="dxa"/>
            <w:shd w:val="clear" w:color="auto" w:fill="2A78D6"/>
          </w:tcPr>
          <w:p>
            <w:pPr>
              <w:pStyle w:val="TableText"/>
            </w:pPr>
            <w:r>
              <w:rPr>
                <w:b/>
                <w:color w:val="FFFFFF"/>
                <w:sz w:val="18"/>
                <w:szCs w:val="18"/>
              </w:rPr>
              <w:t xml:space="preserve">Sonde</w:t>
            </w:r>
          </w:p>
        </w:tc>
        <w:tc>
          <w:tcPr>
            <w:tcW w:w="4130" w:type="dxa"/>
            <w:shd w:val="clear" w:color="auto" w:fill="2A78D6"/>
          </w:tcPr>
          <w:p>
            <w:pPr>
              <w:pStyle w:val="TableText"/>
            </w:pPr>
            <w:r>
              <w:rPr>
                <w:b/>
                <w:color w:val="FFFFFF"/>
                <w:sz w:val="18"/>
                <w:szCs w:val="18"/>
              </w:rPr>
              <w:t xml:space="preserve">Méthode</w:t>
            </w:r>
          </w:p>
        </w:tc>
        <w:tc>
          <w:tcPr>
            <w:tcW w:w="3029" w:type="dxa"/>
            <w:shd w:val="clear" w:color="auto" w:fill="2A78D6"/>
          </w:tcPr>
          <w:p>
            <w:pPr>
              <w:pStyle w:val="TableText"/>
            </w:pPr>
            <w:r>
              <w:rPr>
                <w:b/>
                <w:color w:val="FFFFFF"/>
                <w:sz w:val="18"/>
                <w:szCs w:val="18"/>
              </w:rPr>
              <w:t xml:space="preserve">Seuil d'alerte</w:t>
            </w:r>
          </w:p>
        </w:tc>
      </w:tr>
      <w:tr>
        <w:trPr>
          <w:cantSplit/>
        </w:trPr>
        <w:tc>
          <w:tcPr>
            <w:tcW w:w="2478" w:type="dxa"/>
          </w:tcPr>
          <w:p>
            <w:pPr>
              <w:pStyle w:val="TableText"/>
            </w:pPr>
            <w:r>
              <w:rPr>
                <w:sz w:val="18"/>
                <w:szCs w:val="18"/>
              </w:rPr>
              <w:t xml:space="preserve">Fraîcheur de la collecte</w:t>
            </w:r>
          </w:p>
        </w:tc>
        <w:tc>
          <w:tcPr>
            <w:tcW w:w="4130" w:type="dxa"/>
          </w:tcPr>
          <w:p>
            <w:pPr>
              <w:pStyle w:val="TableText"/>
            </w:pPr>
            <w:r>
              <w:rPr>
                <w:sz w:val="18"/>
                <w:szCs w:val="18"/>
              </w:rPr>
              <w:t xml:space="preserve">Requête SQL « dernière collecte OK par serveur » (annexe C)</w:t>
            </w:r>
          </w:p>
        </w:tc>
        <w:tc>
          <w:tcPr>
            <w:tcW w:w="3029" w:type="dxa"/>
          </w:tcPr>
          <w:p>
            <w:pPr>
              <w:pStyle w:val="TableText"/>
            </w:pPr>
            <w:r>
              <w:rPr>
                <w:sz w:val="18"/>
                <w:szCs w:val="18"/>
              </w:rPr>
              <w:t xml:space="preserve">Aucune collecte OK depuis 30 min</w:t>
            </w:r>
          </w:p>
        </w:tc>
      </w:tr>
      <w:tr>
        <w:trPr>
          <w:cantSplit/>
        </w:trPr>
        <w:tc>
          <w:tcPr>
            <w:tcW w:w="2478" w:type="dxa"/>
            <w:shd w:val="clear" w:color="auto" w:fill="F4F7FC"/>
          </w:tcPr>
          <w:p>
            <w:pPr>
              <w:pStyle w:val="TableText"/>
            </w:pPr>
            <w:r>
              <w:rPr>
                <w:sz w:val="18"/>
                <w:szCs w:val="18"/>
              </w:rPr>
              <w:t xml:space="preserve">Échecs de collecte</w:t>
            </w:r>
          </w:p>
        </w:tc>
        <w:tc>
          <w:tcPr>
            <w:tcW w:w="4130" w:type="dxa"/>
            <w:shd w:val="clear" w:color="auto" w:fill="F4F7FC"/>
          </w:tcPr>
          <w:p>
            <w:pPr>
              <w:pStyle w:val="TableText"/>
            </w:pPr>
            <w:r>
              <w:rPr>
                <w:sz w:val="18"/>
                <w:szCs w:val="18"/>
              </w:rPr>
              <w:t xml:space="preserve">Requête SQL sur </w:t>
            </w:r>
            <w:r>
              <w:rPr>
                <w:rFonts w:ascii="Consolas" w:hAnsi="Consolas" w:cs="Consolas"/>
                <w:color w:val="1C5CAB"/>
                <w:sz w:val="18"/>
                <w:szCs w:val="18"/>
                <w:shd w:val="clear" w:color="auto" w:fill="EEF3FA"/>
              </w:rPr>
              <w:t xml:space="preserve">collection_run.status = 'ERROR'</w:t>
            </w:r>
          </w:p>
        </w:tc>
        <w:tc>
          <w:tcPr>
            <w:tcW w:w="3029" w:type="dxa"/>
            <w:shd w:val="clear" w:color="auto" w:fill="F4F7FC"/>
          </w:tcPr>
          <w:p>
            <w:pPr>
              <w:pStyle w:val="TableText"/>
            </w:pPr>
            <w:r>
              <w:rPr>
                <w:sz w:val="18"/>
                <w:szCs w:val="18"/>
              </w:rPr>
              <w:t xml:space="preserve">3 échecs consécutifs sur un serveur</w:t>
            </w:r>
          </w:p>
        </w:tc>
      </w:tr>
      <w:tr>
        <w:trPr>
          <w:cantSplit/>
        </w:trPr>
        <w:tc>
          <w:tcPr>
            <w:tcW w:w="2478" w:type="dxa"/>
          </w:tcPr>
          <w:p>
            <w:pPr>
              <w:pStyle w:val="TableText"/>
            </w:pPr>
            <w:r>
              <w:rPr>
                <w:sz w:val="18"/>
                <w:szCs w:val="18"/>
              </w:rPr>
              <w:t xml:space="preserve">Tâche de collecte</w:t>
            </w:r>
          </w:p>
        </w:tc>
        <w:tc>
          <w:tcPr>
            <w:tcW w:w="4130" w:type="dxa"/>
          </w:tcPr>
          <w:p>
            <w:pPr>
              <w:pStyle w:val="TableText"/>
            </w:pPr>
            <w:r>
              <w:rPr>
                <w:rFonts w:ascii="Consolas" w:hAnsi="Consolas" w:cs="Consolas"/>
                <w:color w:val="1C5CAB"/>
                <w:sz w:val="18"/>
                <w:szCs w:val="18"/>
                <w:shd w:val="clear" w:color="auto" w:fill="EEF3FA"/>
              </w:rPr>
              <w:t xml:space="preserve">Get-ScheduledTaskInfo</w:t>
            </w:r>
            <w:r>
              <w:rPr>
                <w:sz w:val="18"/>
                <w:szCs w:val="18"/>
              </w:rPr>
              <w:t xml:space="preserve"> : LastTaskResult</w:t>
            </w:r>
          </w:p>
        </w:tc>
        <w:tc>
          <w:tcPr>
            <w:tcW w:w="3029" w:type="dxa"/>
          </w:tcPr>
          <w:p>
            <w:pPr>
              <w:pStyle w:val="TableText"/>
            </w:pPr>
            <w:r>
              <w:rPr>
                <w:sz w:val="18"/>
                <w:szCs w:val="18"/>
              </w:rPr>
              <w:t xml:space="preserve">≠ 0 (2 = au moins un serveur en échec)</w:t>
            </w:r>
          </w:p>
        </w:tc>
      </w:tr>
      <w:tr>
        <w:trPr>
          <w:cantSplit/>
        </w:trPr>
        <w:tc>
          <w:tcPr>
            <w:tcW w:w="2478" w:type="dxa"/>
            <w:shd w:val="clear" w:color="auto" w:fill="F4F7FC"/>
          </w:tcPr>
          <w:p>
            <w:pPr>
              <w:pStyle w:val="TableText"/>
            </w:pPr>
            <w:r>
              <w:rPr>
                <w:sz w:val="18"/>
                <w:szCs w:val="18"/>
              </w:rPr>
              <w:t xml:space="preserve">Interface web</w:t>
            </w:r>
          </w:p>
        </w:tc>
        <w:tc>
          <w:tcPr>
            <w:tcW w:w="4130" w:type="dxa"/>
            <w:shd w:val="clear" w:color="auto" w:fill="F4F7FC"/>
          </w:tcPr>
          <w:p>
            <w:pPr>
              <w:pStyle w:val="TableText"/>
            </w:pPr>
            <w:r>
              <w:rPr>
                <w:sz w:val="18"/>
                <w:szCs w:val="18"/>
              </w:rPr>
              <w:t xml:space="preserve">Requête HTTPS sur </w:t>
            </w:r>
            <w:r>
              <w:rPr>
                <w:rFonts w:ascii="Consolas" w:hAnsi="Consolas" w:cs="Consolas"/>
                <w:color w:val="1C5CAB"/>
                <w:sz w:val="18"/>
                <w:szCs w:val="18"/>
                <w:shd w:val="clear" w:color="auto" w:fill="EEF3FA"/>
              </w:rPr>
              <w:t xml:space="preserve">https://freelm…:8765/login.html</w:t>
            </w:r>
          </w:p>
        </w:tc>
        <w:tc>
          <w:tcPr>
            <w:tcW w:w="3029" w:type="dxa"/>
            <w:shd w:val="clear" w:color="auto" w:fill="F4F7FC"/>
          </w:tcPr>
          <w:p>
            <w:pPr>
              <w:pStyle w:val="TableText"/>
            </w:pPr>
            <w:r>
              <w:rPr>
                <w:sz w:val="18"/>
                <w:szCs w:val="18"/>
              </w:rPr>
              <w:t xml:space="preserve">Code ≠ 200 ou certificat &lt; 30 j</w:t>
            </w:r>
          </w:p>
        </w:tc>
      </w:tr>
      <w:tr>
        <w:trPr>
          <w:cantSplit/>
        </w:trPr>
        <w:tc>
          <w:tcPr>
            <w:tcW w:w="2478" w:type="dxa"/>
          </w:tcPr>
          <w:p>
            <w:pPr>
              <w:pStyle w:val="TableText"/>
            </w:pPr>
            <w:r>
              <w:rPr>
                <w:sz w:val="18"/>
                <w:szCs w:val="18"/>
              </w:rPr>
              <w:t xml:space="preserve">Journal</w:t>
            </w:r>
          </w:p>
        </w:tc>
        <w:tc>
          <w:tcPr>
            <w:tcW w:w="4130" w:type="dxa"/>
          </w:tcPr>
          <w:p>
            <w:pPr>
              <w:pStyle w:val="TableText"/>
            </w:pPr>
            <w:r>
              <w:rPr>
                <w:sz w:val="18"/>
                <w:szCs w:val="18"/>
              </w:rPr>
              <w:t xml:space="preserve">Recherche de « ERROR » dans </w:t>
            </w:r>
            <w:r>
              <w:rPr>
                <w:rFonts w:ascii="Consolas" w:hAnsi="Consolas" w:cs="Consolas"/>
                <w:color w:val="1C5CAB"/>
                <w:sz w:val="18"/>
                <w:szCs w:val="18"/>
                <w:shd w:val="clear" w:color="auto" w:fill="EEF3FA"/>
              </w:rPr>
              <w:t xml:space="preserve">freelm.log</w:t>
            </w:r>
          </w:p>
        </w:tc>
        <w:tc>
          <w:tcPr>
            <w:tcW w:w="3029" w:type="dxa"/>
          </w:tcPr>
          <w:p>
            <w:pPr>
              <w:pStyle w:val="TableText"/>
            </w:pPr>
            <w:r>
              <w:rPr>
                <w:sz w:val="18"/>
                <w:szCs w:val="18"/>
              </w:rPr>
              <w:t xml:space="preserve">Toute occurrence nouvelle</w:t>
            </w:r>
          </w:p>
        </w:tc>
      </w:tr>
      <w:tr>
        <w:trPr>
          <w:cantSplit/>
        </w:trPr>
        <w:tc>
          <w:tcPr>
            <w:tcW w:w="2478" w:type="dxa"/>
            <w:shd w:val="clear" w:color="auto" w:fill="F4F7FC"/>
          </w:tcPr>
          <w:p>
            <w:pPr>
              <w:pStyle w:val="TableText"/>
            </w:pPr>
            <w:r>
              <w:rPr>
                <w:sz w:val="18"/>
                <w:szCs w:val="18"/>
              </w:rPr>
              <w:t xml:space="preserve">Espace disque</w:t>
            </w:r>
          </w:p>
        </w:tc>
        <w:tc>
          <w:tcPr>
            <w:tcW w:w="4130" w:type="dxa"/>
            <w:shd w:val="clear" w:color="auto" w:fill="F4F7FC"/>
          </w:tcPr>
          <w:p>
            <w:pPr>
              <w:pStyle w:val="TableText"/>
            </w:pPr>
            <w:r>
              <w:rPr>
                <w:sz w:val="18"/>
                <w:szCs w:val="18"/>
              </w:rPr>
              <w:t xml:space="preserve">Supervision système</w:t>
            </w:r>
          </w:p>
        </w:tc>
        <w:tc>
          <w:tcPr>
            <w:tcW w:w="3029" w:type="dxa"/>
            <w:shd w:val="clear" w:color="auto" w:fill="F4F7FC"/>
          </w:tcPr>
          <w:p>
            <w:pPr>
              <w:pStyle w:val="TableText"/>
            </w:pPr>
            <w:r>
              <w:rPr>
                <w:sz w:val="18"/>
                <w:szCs w:val="18"/>
              </w:rPr>
              <w:t xml:space="preserve">&lt; 10 % libre</w:t>
            </w:r>
          </w:p>
        </w:tc>
      </w:tr>
    </w:tbl>
    <w:p>
      <w:pPr>
        <w:spacing w:after="80"/>
      </w:pPr>
    </w:p>
    <w:p>
      <w:pPr>
        <w:pStyle w:val="Code"/>
      </w:pPr>
      <w:r>
        <w:t xml:space="preserve">Get-ScheduledTask -TaskPath "\FreeLM\" | Get-ScheduledTaskInfo |</w:t>
      </w:r>
    </w:p>
    <w:p>
      <w:pPr>
        <w:pStyle w:val="Code"/>
      </w:pPr>
      <w:r>
        <w:t xml:space="preserve">  Select-Object TaskName, LastRunTime, LastTaskResult, NextRunTime | Format-Table -AutoSize</w:t>
      </w:r>
    </w:p>
    <w:p>
      <w:pPr>
        <w:pStyle w:val="Heading2"/>
      </w:pPr>
      <w:bookmarkStart w:id="56" w:name="_Toc00056"/>
      <w:r>
        <w:rPr/>
        <w:t xml:space="preserve">7.6 Journaux</w:t>
      </w:r>
      <w:bookmarkEnd w:id="56"/>
    </w:p>
    <w:p>
      <w:pPr/>
      <w:r>
        <w:rPr/>
        <w:t xml:space="preserve">Toutes les commandes écrivent dans le fichier défini par </w:t>
      </w:r>
      <w:r>
        <w:rPr>
          <w:rFonts w:ascii="Consolas" w:hAnsi="Consolas" w:cs="Consolas"/>
          <w:color w:val="1C5CAB"/>
          <w:sz w:val="18"/>
          <w:szCs w:val="18"/>
          <w:shd w:val="clear" w:color="auto" w:fill="EEF3FA"/>
        </w:rPr>
        <w:t xml:space="preserve">logging.file</w:t>
      </w:r>
      <w:r>
        <w:rPr/>
        <w:t xml:space="preserve"> (par défaut </w:t>
      </w:r>
      <w:r>
        <w:rPr>
          <w:rFonts w:ascii="Consolas" w:hAnsi="Consolas" w:cs="Consolas"/>
          <w:color w:val="1C5CAB"/>
          <w:sz w:val="18"/>
          <w:szCs w:val="18"/>
          <w:shd w:val="clear" w:color="auto" w:fill="EEF3FA"/>
        </w:rPr>
        <w:t xml:space="preserve">C:\FreeLM\logs\freelm.log</w:t>
      </w:r>
      <w:r>
        <w:rPr/>
        <w:t xml:space="preserve">), avec une rotation automatique à 5 Mo et 5 fichiers conservés (</w:t>
      </w:r>
      <w:r>
        <w:rPr>
          <w:rFonts w:ascii="Consolas" w:hAnsi="Consolas" w:cs="Consolas"/>
          <w:color w:val="1C5CAB"/>
          <w:sz w:val="18"/>
          <w:szCs w:val="18"/>
          <w:shd w:val="clear" w:color="auto" w:fill="EEF3FA"/>
        </w:rPr>
        <w:t xml:space="preserve">freelm.log.1</w:t>
      </w:r>
      <w:r>
        <w:rPr/>
        <w:t xml:space="preserve"> à </w:t>
      </w:r>
      <w:r>
        <w:rPr>
          <w:rFonts w:ascii="Consolas" w:hAnsi="Consolas" w:cs="Consolas"/>
          <w:color w:val="1C5CAB"/>
          <w:sz w:val="18"/>
          <w:szCs w:val="18"/>
          <w:shd w:val="clear" w:color="auto" w:fill="EEF3FA"/>
        </w:rPr>
        <w:t xml:space="preserve">.5</w:t>
      </w:r>
      <w:r>
        <w:rPr/>
        <w:t xml:space="preserve">). Format :</w:t>
      </w:r>
    </w:p>
    <w:p>
      <w:pPr>
        <w:pStyle w:val="Code"/>
      </w:pPr>
      <w:r>
        <w:t xml:space="preserve">2026-09-27 14:30:02,118 INFO    freelm.service - AUTODESK/lmstat : 12 features, 9 jetons utilisés</w:t>
      </w:r>
    </w:p>
    <w:p>
      <w:pPr>
        <w:pStyle w:val="Code"/>
      </w:pPr>
      <w:r>
        <w:t xml:space="preserve">2026-09-27 14:35:01,904 ERROR   freelm.service - ANSYS/lmstat : Serveur 1055@licsrv2 injoignable : ...</w:t>
      </w:r>
    </w:p>
    <w:p>
      <w:pPr>
        <w:pStyle w:val="Code"/>
      </w:pPr>
      <w:r>
        <w:t xml:space="preserve">2026-09-27 14:36:12,510 INFO    freelm.audit - Connexion : jdupont depuis 10.1.2.30</w:t>
      </w:r>
    </w:p>
    <w:p>
      <w:pPr>
        <w:pStyle w:val="Code"/>
      </w:pPr>
      <w:r>
        <w:t xml:space="preserve">2026-09-27 14:37:40,033 INFO    freelm.audit - Export timeseries (xlsx) par jdupont depuis 10.1.2.30 — ...</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029"/>
        <w:gridCol w:w="6608"/>
      </w:tblGrid>
      <w:tr>
        <w:trPr>
          <w:tblHeader/>
          <w:cantSplit/>
        </w:trPr>
        <w:tc>
          <w:tcPr>
            <w:tcW w:w="3029" w:type="dxa"/>
            <w:shd w:val="clear" w:color="auto" w:fill="2A78D6"/>
          </w:tcPr>
          <w:p>
            <w:pPr>
              <w:pStyle w:val="TableText"/>
            </w:pPr>
            <w:r>
              <w:rPr>
                <w:b/>
                <w:color w:val="FFFFFF"/>
                <w:sz w:val="18"/>
                <w:szCs w:val="18"/>
              </w:rPr>
              <w:t xml:space="preserve">Journal (logger)</w:t>
            </w:r>
          </w:p>
        </w:tc>
        <w:tc>
          <w:tcPr>
            <w:tcW w:w="6608" w:type="dxa"/>
            <w:shd w:val="clear" w:color="auto" w:fill="2A78D6"/>
          </w:tcPr>
          <w:p>
            <w:pPr>
              <w:pStyle w:val="TableText"/>
            </w:pPr>
            <w:r>
              <w:rPr>
                <w:b/>
                <w:color w:val="FFFFFF"/>
                <w:sz w:val="18"/>
                <w:szCs w:val="18"/>
              </w:rPr>
              <w:t xml:space="preserve">Contenu</w:t>
            </w:r>
          </w:p>
        </w:tc>
      </w:tr>
      <w:tr>
        <w:trPr>
          <w:cantSplit/>
        </w:trPr>
        <w:tc>
          <w:tcPr>
            <w:tcW w:w="3029" w:type="dxa"/>
          </w:tcPr>
          <w:p>
            <w:pPr>
              <w:pStyle w:val="TableText"/>
            </w:pPr>
            <w:r>
              <w:rPr>
                <w:sz w:val="18"/>
                <w:szCs w:val="18"/>
              </w:rPr>
              <w:t xml:space="preserve">freelm.service, freelm.cli</w:t>
            </w:r>
          </w:p>
        </w:tc>
        <w:tc>
          <w:tcPr>
            <w:tcW w:w="6608" w:type="dxa"/>
          </w:tcPr>
          <w:p>
            <w:pPr>
              <w:pStyle w:val="TableText"/>
            </w:pPr>
            <w:r>
              <w:rPr>
                <w:sz w:val="18"/>
                <w:szCs w:val="18"/>
              </w:rPr>
              <w:t xml:space="preserve">Collectes, commandes, erreurs techniques</w:t>
            </w:r>
          </w:p>
        </w:tc>
      </w:tr>
      <w:tr>
        <w:trPr>
          <w:cantSplit/>
        </w:trPr>
        <w:tc>
          <w:tcPr>
            <w:tcW w:w="3029" w:type="dxa"/>
            <w:shd w:val="clear" w:color="auto" w:fill="F4F7FC"/>
          </w:tcPr>
          <w:p>
            <w:pPr>
              <w:pStyle w:val="TableText"/>
            </w:pPr>
            <w:r>
              <w:rPr>
                <w:sz w:val="18"/>
                <w:szCs w:val="18"/>
              </w:rPr>
              <w:t xml:space="preserve">freelm.collectors.*</w:t>
            </w:r>
          </w:p>
        </w:tc>
        <w:tc>
          <w:tcPr>
            <w:tcW w:w="6608" w:type="dxa"/>
            <w:shd w:val="clear" w:color="auto" w:fill="F4F7FC"/>
          </w:tcPr>
          <w:p>
            <w:pPr>
              <w:pStyle w:val="TableText"/>
            </w:pPr>
            <w:r>
              <w:rPr>
                <w:sz w:val="18"/>
                <w:szCs w:val="18"/>
              </w:rPr>
              <w:t xml:space="preserve">Détail des parsers lmstat et log (en DEBUG)</w:t>
            </w:r>
          </w:p>
        </w:tc>
      </w:tr>
      <w:tr>
        <w:trPr>
          <w:cantSplit/>
        </w:trPr>
        <w:tc>
          <w:tcPr>
            <w:tcW w:w="3029" w:type="dxa"/>
          </w:tcPr>
          <w:p>
            <w:pPr>
              <w:pStyle w:val="TableText"/>
            </w:pPr>
            <w:r>
              <w:rPr>
                <w:sz w:val="18"/>
                <w:szCs w:val="18"/>
              </w:rPr>
              <w:t xml:space="preserve">freelm.web.*</w:t>
            </w:r>
          </w:p>
        </w:tc>
        <w:tc>
          <w:tcPr>
            <w:tcW w:w="6608" w:type="dxa"/>
          </w:tcPr>
          <w:p>
            <w:pPr>
              <w:pStyle w:val="TableText"/>
            </w:pPr>
            <w:r>
              <w:rPr>
                <w:sz w:val="18"/>
                <w:szCs w:val="18"/>
              </w:rPr>
              <w:t xml:space="preserve">Démarrage de l'interface, requêtes refusées (Host, connexions)</w:t>
            </w:r>
          </w:p>
        </w:tc>
      </w:tr>
      <w:tr>
        <w:trPr>
          <w:cantSplit/>
        </w:trPr>
        <w:tc>
          <w:tcPr>
            <w:tcW w:w="3029" w:type="dxa"/>
            <w:shd w:val="clear" w:color="auto" w:fill="F4F7FC"/>
          </w:tcPr>
          <w:p>
            <w:pPr>
              <w:pStyle w:val="TableText"/>
            </w:pPr>
            <w:r>
              <w:rPr>
                <w:sz w:val="18"/>
                <w:szCs w:val="18"/>
              </w:rPr>
              <w:t xml:space="preserve">freelm.audit</w:t>
            </w:r>
          </w:p>
        </w:tc>
        <w:tc>
          <w:tcPr>
            <w:tcW w:w="6608" w:type="dxa"/>
            <w:shd w:val="clear" w:color="auto" w:fill="F4F7FC"/>
          </w:tcPr>
          <w:p>
            <w:pPr>
              <w:pStyle w:val="TableText"/>
            </w:pPr>
            <w:r>
              <w:rPr>
                <w:sz w:val="18"/>
                <w:szCs w:val="18"/>
              </w:rPr>
              <w:t xml:space="preserve">Connexions, échecs, blocages, déconnexions, exports (utilisateur, IP, filtres)</w:t>
            </w:r>
          </w:p>
        </w:tc>
      </w:tr>
      <w:tr>
        <w:trPr>
          <w:cantSplit/>
        </w:trPr>
        <w:tc>
          <w:tcPr>
            <w:tcW w:w="3029" w:type="dxa"/>
          </w:tcPr>
          <w:p>
            <w:pPr>
              <w:pStyle w:val="TableText"/>
            </w:pPr>
            <w:r>
              <w:rPr>
                <w:sz w:val="18"/>
                <w:szCs w:val="18"/>
              </w:rPr>
              <w:t xml:space="preserve">freelm.mailer</w:t>
            </w:r>
          </w:p>
        </w:tc>
        <w:tc>
          <w:tcPr>
            <w:tcW w:w="6608" w:type="dxa"/>
          </w:tcPr>
          <w:p>
            <w:pPr>
              <w:pStyle w:val="TableText"/>
            </w:pPr>
            <w:r>
              <w:rPr>
                <w:sz w:val="18"/>
                <w:szCs w:val="18"/>
              </w:rPr>
              <w:t xml:space="preserve">Envois d'e-mails et erreurs SMTP</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 journal d'audit contient des données personnelles (identifiants, adresses IP). Sa durée de conservation et sa collecte par le SIEM sont à définir avec le RSSI et le DPO.</w:t>
            </w:r>
          </w:p>
        </w:tc>
      </w:tr>
    </w:tbl>
    <w:p>
      <w:pPr>
        <w:spacing w:after="60"/>
      </w:pPr>
    </w:p>
    <w:p>
      <w:pPr>
        <w:pStyle w:val="Heading2"/>
      </w:pPr>
      <w:bookmarkStart w:id="57" w:name="_Toc00057"/>
      <w:r>
        <w:rPr/>
        <w:t xml:space="preserve">7.7 Codes retour</w:t>
      </w:r>
      <w:bookmarkEnd w:id="57"/>
    </w:p>
    <w:p>
      <w:pPr>
        <w:pStyle w:val="Caption"/>
        <w:keepNext/>
      </w:pPr>
      <w:r>
        <w:rPr/>
        <w:t xml:space="preserve">Tableau 17 – Codes retour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963"/>
        <w:gridCol w:w="5920"/>
        <w:gridCol w:w="2753"/>
      </w:tblGrid>
      <w:tr>
        <w:trPr>
          <w:tblHeader/>
          <w:cantSplit/>
        </w:trPr>
        <w:tc>
          <w:tcPr>
            <w:tcW w:w="963" w:type="dxa"/>
            <w:shd w:val="clear" w:color="auto" w:fill="2A78D6"/>
          </w:tcPr>
          <w:p>
            <w:pPr>
              <w:pStyle w:val="TableText"/>
            </w:pPr>
            <w:r>
              <w:rPr>
                <w:b/>
                <w:color w:val="FFFFFF"/>
                <w:sz w:val="18"/>
                <w:szCs w:val="18"/>
              </w:rPr>
              <w:t xml:space="preserve">Code</w:t>
            </w:r>
          </w:p>
        </w:tc>
        <w:tc>
          <w:tcPr>
            <w:tcW w:w="5920" w:type="dxa"/>
            <w:shd w:val="clear" w:color="auto" w:fill="2A78D6"/>
          </w:tcPr>
          <w:p>
            <w:pPr>
              <w:pStyle w:val="TableText"/>
            </w:pPr>
            <w:r>
              <w:rPr>
                <w:b/>
                <w:color w:val="FFFFFF"/>
                <w:sz w:val="18"/>
                <w:szCs w:val="18"/>
              </w:rPr>
              <w:t xml:space="preserve">Signification</w:t>
            </w:r>
          </w:p>
        </w:tc>
        <w:tc>
          <w:tcPr>
            <w:tcW w:w="2753" w:type="dxa"/>
            <w:shd w:val="clear" w:color="auto" w:fill="2A78D6"/>
          </w:tcPr>
          <w:p>
            <w:pPr>
              <w:pStyle w:val="TableText"/>
            </w:pPr>
            <w:r>
              <w:rPr>
                <w:b/>
                <w:color w:val="FFFFFF"/>
                <w:sz w:val="18"/>
                <w:szCs w:val="18"/>
              </w:rPr>
              <w:t xml:space="preserve">Commandes</w:t>
            </w:r>
          </w:p>
        </w:tc>
      </w:tr>
      <w:tr>
        <w:trPr>
          <w:cantSplit/>
        </w:trPr>
        <w:tc>
          <w:tcPr>
            <w:tcW w:w="963" w:type="dxa"/>
          </w:tcPr>
          <w:p>
            <w:pPr>
              <w:pStyle w:val="TableText"/>
            </w:pPr>
            <w:r>
              <w:rPr>
                <w:sz w:val="18"/>
                <w:szCs w:val="18"/>
              </w:rPr>
              <w:t xml:space="preserve">0</w:t>
            </w:r>
          </w:p>
        </w:tc>
        <w:tc>
          <w:tcPr>
            <w:tcW w:w="5920" w:type="dxa"/>
          </w:tcPr>
          <w:p>
            <w:pPr>
              <w:pStyle w:val="TableText"/>
            </w:pPr>
            <w:r>
              <w:rPr>
                <w:sz w:val="18"/>
                <w:szCs w:val="18"/>
              </w:rPr>
              <w:t xml:space="preserve">Succès</w:t>
            </w:r>
          </w:p>
        </w:tc>
        <w:tc>
          <w:tcPr>
            <w:tcW w:w="2753" w:type="dxa"/>
          </w:tcPr>
          <w:p>
            <w:pPr>
              <w:pStyle w:val="TableText"/>
            </w:pPr>
            <w:r>
              <w:rPr>
                <w:sz w:val="18"/>
                <w:szCs w:val="18"/>
              </w:rPr>
              <w:t xml:space="preserve">Toutes</w:t>
            </w:r>
          </w:p>
        </w:tc>
      </w:tr>
      <w:tr>
        <w:trPr>
          <w:cantSplit/>
        </w:trPr>
        <w:tc>
          <w:tcPr>
            <w:tcW w:w="963" w:type="dxa"/>
            <w:shd w:val="clear" w:color="auto" w:fill="F4F7FC"/>
          </w:tcPr>
          <w:p>
            <w:pPr>
              <w:pStyle w:val="TableText"/>
            </w:pPr>
            <w:r>
              <w:rPr>
                <w:sz w:val="18"/>
                <w:szCs w:val="18"/>
              </w:rPr>
              <w:t xml:space="preserve">1</w:t>
            </w:r>
          </w:p>
        </w:tc>
        <w:tc>
          <w:tcPr>
            <w:tcW w:w="5920" w:type="dxa"/>
            <w:shd w:val="clear" w:color="auto" w:fill="F4F7FC"/>
          </w:tcPr>
          <w:p>
            <w:pPr>
              <w:pStyle w:val="TableText"/>
            </w:pPr>
            <w:r>
              <w:rPr>
                <w:sz w:val="18"/>
                <w:szCs w:val="18"/>
              </w:rPr>
              <w:t xml:space="preserve">Erreur de configuration ou erreur inattendue (détail dans le journal)</w:t>
            </w:r>
          </w:p>
        </w:tc>
        <w:tc>
          <w:tcPr>
            <w:tcW w:w="2753" w:type="dxa"/>
            <w:shd w:val="clear" w:color="auto" w:fill="F4F7FC"/>
          </w:tcPr>
          <w:p>
            <w:pPr>
              <w:pStyle w:val="TableText"/>
            </w:pPr>
            <w:r>
              <w:rPr>
                <w:sz w:val="18"/>
                <w:szCs w:val="18"/>
              </w:rPr>
              <w:t xml:space="preserve">Toutes</w:t>
            </w:r>
          </w:p>
        </w:tc>
      </w:tr>
      <w:tr>
        <w:trPr>
          <w:cantSplit/>
        </w:trPr>
        <w:tc>
          <w:tcPr>
            <w:tcW w:w="963" w:type="dxa"/>
          </w:tcPr>
          <w:p>
            <w:pPr>
              <w:pStyle w:val="TableText"/>
            </w:pPr>
            <w:r>
              <w:rPr>
                <w:sz w:val="18"/>
                <w:szCs w:val="18"/>
              </w:rPr>
              <w:t xml:space="preserve">2</w:t>
            </w:r>
          </w:p>
        </w:tc>
        <w:tc>
          <w:tcPr>
            <w:tcW w:w="5920" w:type="dxa"/>
          </w:tcPr>
          <w:p>
            <w:pPr>
              <w:pStyle w:val="TableText"/>
            </w:pPr>
            <w:r>
              <w:rPr>
                <w:sz w:val="18"/>
                <w:szCs w:val="18"/>
              </w:rPr>
              <w:t xml:space="preserve">Exécution partielle : au moins un serveur ou un envoi en échec</w:t>
            </w:r>
          </w:p>
        </w:tc>
        <w:tc>
          <w:tcPr>
            <w:tcW w:w="2753" w:type="dxa"/>
          </w:tcPr>
          <w:p>
            <w:pPr>
              <w:pStyle w:val="TableText"/>
            </w:pPr>
            <w:r>
              <w:rPr>
                <w:rFonts w:ascii="Consolas" w:hAnsi="Consolas" w:cs="Consolas"/>
                <w:color w:val="1C5CAB"/>
                <w:sz w:val="18"/>
                <w:szCs w:val="18"/>
                <w:shd w:val="clear" w:color="auto" w:fill="EEF3FA"/>
              </w:rPr>
              <w:t xml:space="preserve">collect</w:t>
            </w:r>
            <w:r>
              <w:rPr>
                <w:sz w:val="18"/>
                <w:szCs w:val="18"/>
              </w:rPr>
              <w:t xml:space="preserve">, </w:t>
            </w:r>
            <w:r>
              <w:rPr>
                <w:rFonts w:ascii="Consolas" w:hAnsi="Consolas" w:cs="Consolas"/>
                <w:color w:val="1C5CAB"/>
                <w:sz w:val="18"/>
                <w:szCs w:val="18"/>
                <w:shd w:val="clear" w:color="auto" w:fill="EEF3FA"/>
              </w:rPr>
              <w:t xml:space="preserve">send-report</w:t>
            </w:r>
          </w:p>
        </w:tc>
      </w:tr>
    </w:tbl>
    <w:p>
      <w:pPr>
        <w:spacing w:after="80"/>
      </w:pPr>
    </w:p>
    <w:p>
      <w:pPr>
        <w:pStyle w:val="Heading1"/>
      </w:pPr>
      <w:bookmarkStart w:id="58" w:name="_Toc00058"/>
      <w:r>
        <w:rPr/>
        <w:t xml:space="preserve">8. Utilisation de l'interface web</w:t>
      </w:r>
      <w:bookmarkEnd w:id="58"/>
    </w:p>
    <w:p>
      <w:pPr/>
      <w:r>
        <w:rPr/>
        <w:t xml:space="preserve">Ce chapitre présente l'interface telle que la voient les utilisateurs. Il sert au support N1 pour guider un utilisateur et vérifier le bon fonctionnement de l'application.</w:t>
      </w:r>
    </w:p>
    <w:p>
      <w:pPr>
        <w:pStyle w:val="Heading2"/>
      </w:pPr>
      <w:bookmarkStart w:id="59" w:name="_Toc00059"/>
      <w:r>
        <w:rPr/>
        <w:t xml:space="preserve">8.1 Accès et connexion</w:t>
      </w:r>
      <w:bookmarkEnd w:id="59"/>
    </w:p>
    <w:p>
      <w:pPr/>
      <w:r>
        <w:rPr/>
        <w:t xml:space="preserve">L'interface est accessible à l'adresse communiquée par l'exploitation (par exemple </w:t>
      </w:r>
      <w:r>
        <w:rPr>
          <w:rFonts w:ascii="Consolas" w:hAnsi="Consolas" w:cs="Consolas"/>
          <w:color w:val="1C5CAB"/>
          <w:sz w:val="18"/>
          <w:szCs w:val="18"/>
          <w:shd w:val="clear" w:color="auto" w:fill="EEF3FA"/>
        </w:rPr>
        <w:t xml:space="preserve">https://freelm.entreprise.local:8765</w:t>
      </w:r>
      <w:r>
        <w:rPr/>
        <w:t xml:space="preserve">). En mode </w:t>
      </w:r>
      <w:r>
        <w:rPr>
          <w:rFonts w:ascii="Consolas" w:hAnsi="Consolas" w:cs="Consolas"/>
          <w:color w:val="1C5CAB"/>
          <w:sz w:val="18"/>
          <w:szCs w:val="18"/>
          <w:shd w:val="clear" w:color="auto" w:fill="EEF3FA"/>
        </w:rPr>
        <w:t xml:space="preserve">ldap</w:t>
      </w:r>
      <w:r>
        <w:rPr/>
        <w:t xml:space="preserve">, l'utilisateur saisit ses identifiants Windows (</w:t>
      </w:r>
      <w:r>
        <w:rPr>
          <w:rFonts w:ascii="Consolas" w:hAnsi="Consolas" w:cs="Consolas"/>
          <w:color w:val="1C5CAB"/>
          <w:sz w:val="18"/>
          <w:szCs w:val="18"/>
          <w:shd w:val="clear" w:color="auto" w:fill="EEF3FA"/>
        </w:rPr>
        <w:t xml:space="preserve">jdupont</w:t>
      </w:r>
      <w:r>
        <w:rPr/>
        <w:t xml:space="preserve">, </w:t>
      </w:r>
      <w:r>
        <w:rPr>
          <w:rFonts w:ascii="Consolas" w:hAnsi="Consolas" w:cs="Consolas"/>
          <w:color w:val="1C5CAB"/>
          <w:sz w:val="18"/>
          <w:szCs w:val="18"/>
          <w:shd w:val="clear" w:color="auto" w:fill="EEF3FA"/>
        </w:rPr>
        <w:t xml:space="preserve">DOMAINE\jdupont</w:t>
      </w:r>
      <w:r>
        <w:rPr/>
        <w:t xml:space="preserve"> ou </w:t>
      </w:r>
      <w:r>
        <w:rPr>
          <w:rFonts w:ascii="Consolas" w:hAnsi="Consolas" w:cs="Consolas"/>
          <w:color w:val="1C5CAB"/>
          <w:sz w:val="18"/>
          <w:szCs w:val="18"/>
          <w:shd w:val="clear" w:color="auto" w:fill="EEF3FA"/>
        </w:rPr>
        <w:t xml:space="preserve">jdupont@entreprise.local</w:t>
      </w:r>
      <w:r>
        <w:rPr/>
        <w:t xml:space="preserve">).</w:t>
      </w:r>
    </w:p>
    <w:p>
      <w:pPr>
        <w:pStyle w:val="Figure"/>
        <w:keepNext/>
      </w:pPr>
      <w:r>
        <w:drawing>
          <wp:inline distT="0" distB="0" distL="0" distR="0">
            <wp:extent cx="4320000" cy="2764800"/>
            <wp:docPr id="6" name="Image 6" descr="Page de connexion"/>
            <wp:cNvGraphicFramePr>
              <a:graphicFrameLocks noChangeAspect="1"/>
            </wp:cNvGraphicFramePr>
            <a:graphic>
              <a:graphicData uri="http://schemas.openxmlformats.org/drawingml/2006/picture">
                <pic:pic>
                  <pic:nvPicPr>
                    <pic:cNvPr id="6" name="login.png"/>
                    <pic:cNvPicPr/>
                  </pic:nvPicPr>
                  <pic:blipFill>
                    <a:blip r:embed="rIdImg6"/>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0" w:name="_Fig00060"/>
      <w:r>
        <w:rPr/>
        <w:t xml:space="preserve">Figure </w:t>
      </w:r>
      <w:fldSimple w:instr=" SEQ Figure \* ARABIC ">
        <w:r>
          <w:t>5</w:t>
        </w:r>
      </w:fldSimple>
      <w:r>
        <w:rPr/>
        <w:t xml:space="preserve"> – Page de connexion</w:t>
      </w:r>
      <w:bookmarkEnd w:id="60"/>
    </w:p>
    <w:p>
      <w:pPr/>
      <w:r>
        <w:rPr/>
        <w:t xml:space="preserve">En cas d'erreur, un message unique s'affiche, sans préciser la cause (compte inconnu, mauvais mot de passe ou hors du groupe autorisé) ; la cause exacte est consignée dans le journal d'audit. Après 5 échecs, le compte est bloqué 15 minutes sur FreeLM (le compte AD n'est pas affecté).</w:t>
      </w:r>
    </w:p>
    <w:p>
      <w:pPr>
        <w:pStyle w:val="Figure"/>
        <w:keepNext/>
      </w:pPr>
      <w:r>
        <w:drawing>
          <wp:inline distT="0" distB="0" distL="0" distR="0">
            <wp:extent cx="4320000" cy="2764800"/>
            <wp:docPr id="7" name="Image 7" descr="Message d'erreur de connexion"/>
            <wp:cNvGraphicFramePr>
              <a:graphicFrameLocks noChangeAspect="1"/>
            </wp:cNvGraphicFramePr>
            <a:graphic>
              <a:graphicData uri="http://schemas.openxmlformats.org/drawingml/2006/picture">
                <pic:pic>
                  <pic:nvPicPr>
                    <pic:cNvPr id="7" name="login_error.png"/>
                    <pic:cNvPicPr/>
                  </pic:nvPicPr>
                  <pic:blipFill>
                    <a:blip r:embed="rIdImg7"/>
                    <a:stretch>
                      <a:fillRect/>
                    </a:stretch>
                  </pic:blipFill>
                  <pic:spPr>
                    <a:xfrm>
                      <a:off x="0" y="0"/>
                      <a:ext cx="4320000" cy="2764800"/>
                    </a:xfrm>
                    <a:prstGeom prst="rect">
                      <a:avLst/>
                    </a:prstGeom>
                    <a:ln w="9525">
                      <a:solidFill>
                        <a:srgbClr val="D9D8D2"/>
                      </a:solidFill>
                    </a:ln>
                  </pic:spPr>
                </pic:pic>
              </a:graphicData>
            </a:graphic>
          </wp:inline>
        </w:drawing>
      </w:r>
    </w:p>
    <w:p>
      <w:pPr>
        <w:pStyle w:val="Caption"/>
      </w:pPr>
      <w:bookmarkStart w:id="61" w:name="_Fig00061"/>
      <w:r>
        <w:rPr/>
        <w:t xml:space="preserve">Figure </w:t>
      </w:r>
      <w:fldSimple w:instr=" SEQ Figure \* ARABIC ">
        <w:r>
          <w:t>6</w:t>
        </w:r>
      </w:fldSimple>
      <w:r>
        <w:rPr/>
        <w:t xml:space="preserve"> – Message d'erreur de connexion</w:t>
      </w:r>
      <w:bookmarkEnd w:id="61"/>
    </w:p>
    <w:p>
      <w:pPr/>
      <w:r>
        <w:rPr/>
        <w:t xml:space="preserve">Une fois connecté, le nom de l'utilisateur et le bouton « Se déconnecter » apparaissent en haut à droite, à côté du badge d'état des collectes. La session dure 8 heures.</w:t>
      </w:r>
    </w:p>
    <w:p>
      <w:pPr>
        <w:pStyle w:val="Figure"/>
        <w:keepNext/>
      </w:pPr>
      <w:r>
        <w:drawing>
          <wp:inline distT="0" distB="0" distL="0" distR="0">
            <wp:extent cx="5940000" cy="382711"/>
            <wp:docPr id="8" name="Image 8" descr="En-tête : badge d'état des collectes et utilisateur connecté"/>
            <wp:cNvGraphicFramePr>
              <a:graphicFrameLocks noChangeAspect="1"/>
            </wp:cNvGraphicFramePr>
            <a:graphic>
              <a:graphicData uri="http://schemas.openxmlformats.org/drawingml/2006/picture">
                <pic:pic>
                  <pic:nvPicPr>
                    <pic:cNvPr id="8" name="user_badge.png"/>
                    <pic:cNvPicPr/>
                  </pic:nvPicPr>
                  <pic:blipFill>
                    <a:blip r:embed="rIdImg8"/>
                    <a:stretch>
                      <a:fillRect/>
                    </a:stretch>
                  </pic:blipFill>
                  <pic:spPr>
                    <a:xfrm>
                      <a:off x="0" y="0"/>
                      <a:ext cx="5940000" cy="382711"/>
                    </a:xfrm>
                    <a:prstGeom prst="rect">
                      <a:avLst/>
                    </a:prstGeom>
                    <a:ln w="9525">
                      <a:solidFill>
                        <a:srgbClr val="D9D8D2"/>
                      </a:solidFill>
                    </a:ln>
                  </pic:spPr>
                </pic:pic>
              </a:graphicData>
            </a:graphic>
          </wp:inline>
        </w:drawing>
      </w:r>
    </w:p>
    <w:p>
      <w:pPr>
        <w:pStyle w:val="Caption"/>
      </w:pPr>
      <w:bookmarkStart w:id="62" w:name="_Fig00062"/>
      <w:r>
        <w:rPr/>
        <w:t xml:space="preserve">Figure </w:t>
      </w:r>
      <w:fldSimple w:instr=" SEQ Figure \* ARABIC ">
        <w:r>
          <w:t>7</w:t>
        </w:r>
      </w:fldSimple>
      <w:r>
        <w:rPr/>
        <w:t xml:space="preserve"> – En-tête : badge d'état des collectes et utilisateur connecté</w:t>
      </w:r>
      <w:bookmarkEnd w:id="62"/>
    </w:p>
    <w:p>
      <w:pPr>
        <w:pStyle w:val="Heading2"/>
      </w:pPr>
      <w:bookmarkStart w:id="63" w:name="_Toc00063"/>
      <w:r>
        <w:rPr/>
        <w:t xml:space="preserve">8.2 Navigation et filtres</w:t>
      </w:r>
      <w:bookmarkEnd w:id="63"/>
    </w:p>
    <w:p>
      <w:pPr/>
      <w:r>
        <w:rPr/>
        <w:t xml:space="preserve">La barre latérale regroupe les vues en quatre familles : </w:t>
      </w:r>
      <w:r>
        <w:rPr>
          <w:b/>
        </w:rPr>
        <w:t xml:space="preserve">Pilotage</w:t>
      </w:r>
      <w:r>
        <w:rPr/>
        <w:t xml:space="preserve"> (tableau de bord, en direct), </w:t>
      </w:r>
      <w:r>
        <w:rPr>
          <w:b/>
        </w:rPr>
        <w:t xml:space="preserve">Analyse</w:t>
      </w:r>
      <w:r>
        <w:rPr/>
        <w:t xml:space="preserve">, </w:t>
      </w:r>
      <w:r>
        <w:rPr>
          <w:b/>
        </w:rPr>
        <w:t xml:space="preserve">Optimisation</w:t>
      </w:r>
      <w:r>
        <w:rPr/>
        <w:t xml:space="preserve"> et </w:t>
      </w:r>
      <w:r>
        <w:rPr>
          <w:b/>
        </w:rPr>
        <w:t xml:space="preserve">Données</w:t>
      </w:r>
      <w:r>
        <w:rPr/>
        <w:t xml:space="preserve">. En bas, elle indique la plage de données disponible et le choix du thème.</w:t>
      </w:r>
    </w:p>
    <w:tbl>
      <w:tblPr>
        <w:tblW w:w="9638" w:type="dxa"/>
        <w:tblLayout w:type="fixed"/>
      </w:tblPr>
      <w:tblGrid>
        <w:gridCol w:w="9638"/>
      </w:tblGrid>
      <w:tr>
        <w:trPr>
          <w:cantSplit/>
        </w:trPr>
        <w:tc>
          <w:tcPr>
            <w:tcW w:w="9638" w:type="dxa"/>
          </w:tcPr>
          <w:p>
            <w:pPr>
              <w:jc w:val="center"/>
            </w:pPr>
            <w:r>
              <w:drawing>
                <wp:inline distT="0" distB="0" distL="0" distR="0">
                  <wp:extent cx="1728000" cy="6270967"/>
                  <wp:docPr id="9" name="Image 9"/>
                  <wp:cNvGraphicFramePr>
                    <a:graphicFrameLocks noChangeAspect="1"/>
                  </wp:cNvGraphicFramePr>
                  <a:graphic>
                    <a:graphicData uri="http://schemas.openxmlformats.org/drawingml/2006/picture">
                      <pic:pic>
                        <pic:nvPicPr>
                          <pic:cNvPr id="9" name="sidebar.png"/>
                          <pic:cNvPicPr/>
                        </pic:nvPicPr>
                        <pic:blipFill>
                          <a:blip r:embed="rIdImg9"/>
                          <a:stretch>
                            <a:fillRect/>
                          </a:stretch>
                        </pic:blipFill>
                        <pic:spPr>
                          <a:xfrm>
                            <a:off x="0" y="0"/>
                            <a:ext cx="1728000" cy="6270967"/>
                          </a:xfrm>
                          <a:prstGeom prst="rect">
                            <a:avLst/>
                          </a:prstGeom>
                          <a:ln w="9525">
                            <a:solidFill>
                              <a:srgbClr val="D9D8D2"/>
                            </a:solidFill>
                          </a:ln>
                        </pic:spPr>
                      </pic:pic>
                    </a:graphicData>
                  </a:graphic>
                </wp:inline>
              </w:drawing>
            </w:r>
          </w:p>
        </w:tc>
      </w:tr>
    </w:tbl>
    <w:p>
      <w:pPr>
        <w:pStyle w:val="Caption"/>
      </w:pPr>
      <w:bookmarkStart w:id="64" w:name="_Fig00064"/>
      <w:r>
        <w:rPr/>
        <w:t xml:space="preserve">Figure </w:t>
      </w:r>
      <w:fldSimple w:instr=" SEQ Figure \* ARABIC ">
        <w:r>
          <w:t>8</w:t>
        </w:r>
      </w:fldSimple>
      <w:r>
        <w:rPr/>
        <w:t xml:space="preserve"> – Barre latérale de navigation</w:t>
      </w:r>
      <w:bookmarkEnd w:id="64"/>
    </w:p>
    <w:p>
      <w:pPr/>
      <w:r>
        <w:rPr/>
        <w:t xml:space="preserve">La barre de filtres s'applique à toutes les vues : période (7 j, 30 j, 90 j, mois en cours, mois précédent, année, tout, ou dates libres), serveurs, produits, utilisateurs et services. Les boutons d'export sont à droite. L'adresse de la page conserve tous les filtres : un lien copié rouvre exactement la même vue.</w:t>
      </w:r>
    </w:p>
    <w:p>
      <w:pPr>
        <w:pStyle w:val="Figure"/>
        <w:keepNext/>
      </w:pPr>
      <w:r>
        <w:drawing>
          <wp:inline distT="0" distB="0" distL="0" distR="0">
            <wp:extent cx="5940000" cy="494335"/>
            <wp:docPr id="10" name="Image 10" descr="Barre de filtres et boutons d'export"/>
            <wp:cNvGraphicFramePr>
              <a:graphicFrameLocks noChangeAspect="1"/>
            </wp:cNvGraphicFramePr>
            <a:graphic>
              <a:graphicData uri="http://schemas.openxmlformats.org/drawingml/2006/picture">
                <pic:pic>
                  <pic:nvPicPr>
                    <pic:cNvPr id="10" name="filterbar.png"/>
                    <pic:cNvPicPr/>
                  </pic:nvPicPr>
                  <pic:blipFill>
                    <a:blip r:embed="rIdImg10"/>
                    <a:stretch>
                      <a:fillRect/>
                    </a:stretch>
                  </pic:blipFill>
                  <pic:spPr>
                    <a:xfrm>
                      <a:off x="0" y="0"/>
                      <a:ext cx="5940000" cy="494335"/>
                    </a:xfrm>
                    <a:prstGeom prst="rect">
                      <a:avLst/>
                    </a:prstGeom>
                    <a:ln w="9525">
                      <a:solidFill>
                        <a:srgbClr val="D9D8D2"/>
                      </a:solidFill>
                    </a:ln>
                  </pic:spPr>
                </pic:pic>
              </a:graphicData>
            </a:graphic>
          </wp:inline>
        </w:drawing>
      </w:r>
    </w:p>
    <w:p>
      <w:pPr>
        <w:pStyle w:val="Caption"/>
      </w:pPr>
      <w:bookmarkStart w:id="65" w:name="_Fig00065"/>
      <w:r>
        <w:rPr/>
        <w:t xml:space="preserve">Figure </w:t>
      </w:r>
      <w:fldSimple w:instr=" SEQ Figure \* ARABIC ">
        <w:r>
          <w:t>9</w:t>
        </w:r>
      </w:fldSimple>
      <w:r>
        <w:rPr/>
        <w:t xml:space="preserve"> – Barre de filtres et boutons d'export</w:t>
      </w:r>
      <w:bookmarkEnd w:id="65"/>
    </w:p>
    <w:p>
      <w:pPr>
        <w:pStyle w:val="Figure"/>
        <w:keepNext/>
      </w:pPr>
      <w:r>
        <w:drawing>
          <wp:inline distT="0" distB="0" distL="0" distR="0">
            <wp:extent cx="5940000" cy="2790604"/>
            <wp:docPr id="11" name="Image 11" descr="Sélection multiple avec recherche (filtre Produits)"/>
            <wp:cNvGraphicFramePr>
              <a:graphicFrameLocks noChangeAspect="1"/>
            </wp:cNvGraphicFramePr>
            <a:graphic>
              <a:graphicData uri="http://schemas.openxmlformats.org/drawingml/2006/picture">
                <pic:pic>
                  <pic:nvPicPr>
                    <pic:cNvPr id="11" name="filter_open.png"/>
                    <pic:cNvPicPr/>
                  </pic:nvPicPr>
                  <pic:blipFill>
                    <a:blip r:embed="rIdImg11"/>
                    <a:stretch>
                      <a:fillRect/>
                    </a:stretch>
                  </pic:blipFill>
                  <pic:spPr>
                    <a:xfrm>
                      <a:off x="0" y="0"/>
                      <a:ext cx="5940000" cy="2790604"/>
                    </a:xfrm>
                    <a:prstGeom prst="rect">
                      <a:avLst/>
                    </a:prstGeom>
                    <a:ln w="9525">
                      <a:solidFill>
                        <a:srgbClr val="D9D8D2"/>
                      </a:solidFill>
                    </a:ln>
                  </pic:spPr>
                </pic:pic>
              </a:graphicData>
            </a:graphic>
          </wp:inline>
        </w:drawing>
      </w:r>
    </w:p>
    <w:p>
      <w:pPr>
        <w:pStyle w:val="Caption"/>
      </w:pPr>
      <w:bookmarkStart w:id="66" w:name="_Fig00066"/>
      <w:r>
        <w:rPr/>
        <w:t xml:space="preserve">Figure </w:t>
      </w:r>
      <w:fldSimple w:instr=" SEQ Figure \* ARABIC ">
        <w:r>
          <w:t>10</w:t>
        </w:r>
      </w:fldSimple>
      <w:r>
        <w:rPr/>
        <w:t xml:space="preserve"> – Sélection multiple avec recherche (filtre Produits)</w:t>
      </w:r>
      <w:bookmarkEnd w:id="66"/>
    </w:p>
    <w:p>
      <w:pPr>
        <w:pStyle w:val="Heading2"/>
      </w:pPr>
      <w:bookmarkStart w:id="67" w:name="_Toc00067"/>
      <w:r>
        <w:rPr/>
        <w:t xml:space="preserve">8.3 Tableau de bord</w:t>
      </w:r>
      <w:bookmarkEnd w:id="67"/>
    </w:p>
    <w:p>
      <w:pPr/>
      <w:r>
        <w:rPr/>
        <w:t xml:space="preserve">Page d'accueil de l'application. Elle se lit de haut en bas : alertes, indicateurs clés, puis blocs de détail.</w:t>
      </w:r>
    </w:p>
    <w:p>
      <w:pPr>
        <w:pStyle w:val="Figure"/>
        <w:keepNext/>
      </w:pPr>
      <w:r>
        <w:drawing>
          <wp:inline distT="0" distB="0" distL="0" distR="0">
            <wp:extent cx="4860000" cy="7271100"/>
            <wp:docPr id="12" name="Image 12" descr="Tableau de bord complet"/>
            <wp:cNvGraphicFramePr>
              <a:graphicFrameLocks noChangeAspect="1"/>
            </wp:cNvGraphicFramePr>
            <a:graphic>
              <a:graphicData uri="http://schemas.openxmlformats.org/drawingml/2006/picture">
                <pic:pic>
                  <pic:nvPicPr>
                    <pic:cNvPr id="12" name="dashboard_full.png"/>
                    <pic:cNvPicPr/>
                  </pic:nvPicPr>
                  <pic:blipFill>
                    <a:blip r:embed="rIdImg12"/>
                    <a:stretch>
                      <a:fillRect/>
                    </a:stretch>
                  </pic:blipFill>
                  <pic:spPr>
                    <a:xfrm>
                      <a:off x="0" y="0"/>
                      <a:ext cx="4860000" cy="7271100"/>
                    </a:xfrm>
                    <a:prstGeom prst="rect">
                      <a:avLst/>
                    </a:prstGeom>
                    <a:ln w="9525">
                      <a:solidFill>
                        <a:srgbClr val="D9D8D2"/>
                      </a:solidFill>
                    </a:ln>
                  </pic:spPr>
                </pic:pic>
              </a:graphicData>
            </a:graphic>
          </wp:inline>
        </w:drawing>
      </w:r>
    </w:p>
    <w:p>
      <w:pPr>
        <w:pStyle w:val="Caption"/>
      </w:pPr>
      <w:bookmarkStart w:id="68" w:name="_Fig00068"/>
      <w:r>
        <w:rPr/>
        <w:t xml:space="preserve">Figure </w:t>
      </w:r>
      <w:fldSimple w:instr=" SEQ Figure \* ARABIC ">
        <w:r>
          <w:t>11</w:t>
        </w:r>
      </w:fldSimple>
      <w:r>
        <w:rPr/>
        <w:t xml:space="preserve"> – Tableau de bord complet</w:t>
      </w:r>
      <w:bookmarkEnd w:id="68"/>
    </w:p>
    <w:p>
      <w:pPr>
        <w:pStyle w:val="Heading3"/>
      </w:pPr>
      <w:bookmarkStart w:id="69" w:name="_Toc00069"/>
      <w:r>
        <w:rPr/>
        <w:t xml:space="preserve">Alertes</w:t>
      </w:r>
      <w:bookmarkEnd w:id="69"/>
    </w:p>
    <w:p>
      <w:pPr/>
      <w:r>
        <w:rPr/>
        <w:t xml:space="preserve">Les alertes sont classées par gravité ; le lien « Voir » ouvre la vue concernée.</w:t>
      </w:r>
    </w:p>
    <w:p>
      <w:pPr>
        <w:pStyle w:val="Figure"/>
        <w:keepNext/>
      </w:pPr>
      <w:r>
        <w:drawing>
          <wp:inline distT="0" distB="0" distL="0" distR="0">
            <wp:extent cx="5940000" cy="1317676"/>
            <wp:docPr id="13" name="Image 13" descr="Bandeau d'alertes"/>
            <wp:cNvGraphicFramePr>
              <a:graphicFrameLocks noChangeAspect="1"/>
            </wp:cNvGraphicFramePr>
            <a:graphic>
              <a:graphicData uri="http://schemas.openxmlformats.org/drawingml/2006/picture">
                <pic:pic>
                  <pic:nvPicPr>
                    <pic:cNvPr id="13" name="alerts.png"/>
                    <pic:cNvPicPr/>
                  </pic:nvPicPr>
                  <pic:blipFill>
                    <a:blip r:embed="rIdImg13"/>
                    <a:stretch>
                      <a:fillRect/>
                    </a:stretch>
                  </pic:blipFill>
                  <pic:spPr>
                    <a:xfrm>
                      <a:off x="0" y="0"/>
                      <a:ext cx="5940000" cy="1317676"/>
                    </a:xfrm>
                    <a:prstGeom prst="rect">
                      <a:avLst/>
                    </a:prstGeom>
                    <a:ln w="9525">
                      <a:solidFill>
                        <a:srgbClr val="D9D8D2"/>
                      </a:solidFill>
                    </a:ln>
                  </pic:spPr>
                </pic:pic>
              </a:graphicData>
            </a:graphic>
          </wp:inline>
        </w:drawing>
      </w:r>
    </w:p>
    <w:p>
      <w:pPr>
        <w:pStyle w:val="Caption"/>
      </w:pPr>
      <w:bookmarkStart w:id="70" w:name="_Fig00070"/>
      <w:r>
        <w:rPr/>
        <w:t xml:space="preserve">Figure </w:t>
      </w:r>
      <w:fldSimple w:instr=" SEQ Figure \* ARABIC ">
        <w:r>
          <w:t>12</w:t>
        </w:r>
      </w:fldSimple>
      <w:r>
        <w:rPr/>
        <w:t xml:space="preserve"> – Bandeau d'alertes</w:t>
      </w:r>
      <w:bookmarkEnd w:id="70"/>
    </w:p>
    <w:p>
      <w:pPr>
        <w:pStyle w:val="Caption"/>
        <w:keepNext/>
      </w:pPr>
      <w:r>
        <w:rPr/>
        <w:t xml:space="preserve">Tableau 18 – Règles des alertes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3579"/>
        <w:gridCol w:w="4681"/>
      </w:tblGrid>
      <w:tr>
        <w:trPr>
          <w:tblHeader/>
          <w:cantSplit/>
        </w:trPr>
        <w:tc>
          <w:tcPr>
            <w:tcW w:w="1376" w:type="dxa"/>
            <w:shd w:val="clear" w:color="auto" w:fill="2A78D6"/>
          </w:tcPr>
          <w:p>
            <w:pPr>
              <w:pStyle w:val="TableText"/>
            </w:pPr>
            <w:r>
              <w:rPr>
                <w:b/>
                <w:color w:val="FFFFFF"/>
                <w:sz w:val="18"/>
                <w:szCs w:val="18"/>
              </w:rPr>
              <w:t xml:space="preserve">Gravité</w:t>
            </w:r>
          </w:p>
        </w:tc>
        <w:tc>
          <w:tcPr>
            <w:tcW w:w="3579" w:type="dxa"/>
            <w:shd w:val="clear" w:color="auto" w:fill="2A78D6"/>
          </w:tcPr>
          <w:p>
            <w:pPr>
              <w:pStyle w:val="TableText"/>
            </w:pPr>
            <w:r>
              <w:rPr>
                <w:b/>
                <w:color w:val="FFFFFF"/>
                <w:sz w:val="18"/>
                <w:szCs w:val="18"/>
              </w:rPr>
              <w:t xml:space="preserve">Alerte</w:t>
            </w:r>
          </w:p>
        </w:tc>
        <w:tc>
          <w:tcPr>
            <w:tcW w:w="4681" w:type="dxa"/>
            <w:shd w:val="clear" w:color="auto" w:fill="2A78D6"/>
          </w:tcPr>
          <w:p>
            <w:pPr>
              <w:pStyle w:val="TableText"/>
            </w:pPr>
            <w:r>
              <w:rPr>
                <w:b/>
                <w:color w:val="FFFFFF"/>
                <w:sz w:val="18"/>
                <w:szCs w:val="18"/>
              </w:rPr>
              <w:t xml:space="preserve">Règle de déclenchement</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Collecte en échec : &lt;serveur&gt;</w:t>
            </w:r>
          </w:p>
        </w:tc>
        <w:tc>
          <w:tcPr>
            <w:tcW w:w="4681" w:type="dxa"/>
          </w:tcPr>
          <w:p>
            <w:pPr>
              <w:pStyle w:val="TableText"/>
            </w:pPr>
            <w:r>
              <w:rPr>
                <w:sz w:val="18"/>
                <w:szCs w:val="18"/>
              </w:rPr>
              <w:t xml:space="preserve">Dernière collecte d'un serveur en erreur</w:t>
            </w:r>
          </w:p>
        </w:tc>
      </w:tr>
      <w:tr>
        <w:trPr>
          <w:cantSplit/>
        </w:trPr>
        <w:tc>
          <w:tcPr>
            <w:tcW w:w="1376" w:type="dxa"/>
            <w:shd w:val="clear" w:color="auto" w:fill="F4F7FC"/>
          </w:tcPr>
          <w:p>
            <w:pPr>
              <w:pStyle w:val="TableText"/>
            </w:pPr>
            <w:r>
              <w:rPr>
                <w:sz w:val="18"/>
                <w:szCs w:val="18"/>
              </w:rPr>
              <w:t xml:space="preserve">Critique</w:t>
            </w:r>
          </w:p>
        </w:tc>
        <w:tc>
          <w:tcPr>
            <w:tcW w:w="3579" w:type="dxa"/>
            <w:shd w:val="clear" w:color="auto" w:fill="F4F7FC"/>
          </w:tcPr>
          <w:p>
            <w:pPr>
              <w:pStyle w:val="TableText"/>
            </w:pPr>
            <w:r>
              <w:rPr>
                <w:sz w:val="18"/>
                <w:szCs w:val="18"/>
              </w:rPr>
              <w:t xml:space="preserve">Collecte arrêtée</w:t>
            </w:r>
          </w:p>
        </w:tc>
        <w:tc>
          <w:tcPr>
            <w:tcW w:w="4681" w:type="dxa"/>
            <w:shd w:val="clear" w:color="auto" w:fill="F4F7FC"/>
          </w:tcPr>
          <w:p>
            <w:pPr>
              <w:pStyle w:val="TableText"/>
            </w:pPr>
            <w:r>
              <w:rPr>
                <w:sz w:val="18"/>
                <w:szCs w:val="18"/>
              </w:rPr>
              <w:t xml:space="preserve">Aucune collecte depuis plus de 60 minutes</w:t>
            </w:r>
          </w:p>
        </w:tc>
      </w:tr>
      <w:tr>
        <w:trPr>
          <w:cantSplit/>
        </w:trPr>
        <w:tc>
          <w:tcPr>
            <w:tcW w:w="1376" w:type="dxa"/>
          </w:tcPr>
          <w:p>
            <w:pPr>
              <w:pStyle w:val="TableText"/>
            </w:pPr>
            <w:r>
              <w:rPr>
                <w:sz w:val="18"/>
                <w:szCs w:val="18"/>
              </w:rPr>
              <w:t xml:space="preserve">Critique</w:t>
            </w:r>
          </w:p>
        </w:tc>
        <w:tc>
          <w:tcPr>
            <w:tcW w:w="3579" w:type="dxa"/>
          </w:tcPr>
          <w:p>
            <w:pPr>
              <w:pStyle w:val="TableText"/>
            </w:pPr>
            <w:r>
              <w:rPr>
                <w:sz w:val="18"/>
                <w:szCs w:val="18"/>
              </w:rPr>
              <w:t xml:space="preserve">Licence expirée / expiration dans N j</w:t>
            </w:r>
          </w:p>
        </w:tc>
        <w:tc>
          <w:tcPr>
            <w:tcW w:w="4681" w:type="dxa"/>
          </w:tcPr>
          <w:p>
            <w:pPr>
              <w:pStyle w:val="TableText"/>
            </w:pPr>
            <w:r>
              <w:rPr>
                <w:sz w:val="18"/>
                <w:szCs w:val="18"/>
              </w:rPr>
              <w:t xml:space="preserve">Date d'expiration dépassée ou à 7 jours ou moins</w:t>
            </w:r>
          </w:p>
        </w:tc>
      </w:tr>
      <w:tr>
        <w:trPr>
          <w:cantSplit/>
        </w:trPr>
        <w:tc>
          <w:tcPr>
            <w:tcW w:w="1376" w:type="dxa"/>
            <w:shd w:val="clear" w:color="auto" w:fill="F4F7FC"/>
          </w:tcPr>
          <w:p>
            <w:pPr>
              <w:pStyle w:val="TableText"/>
            </w:pPr>
            <w:r>
              <w:rPr>
                <w:sz w:val="18"/>
                <w:szCs w:val="18"/>
              </w:rPr>
              <w:t xml:space="preserve">Important</w:t>
            </w:r>
          </w:p>
        </w:tc>
        <w:tc>
          <w:tcPr>
            <w:tcW w:w="3579" w:type="dxa"/>
            <w:shd w:val="clear" w:color="auto" w:fill="F4F7FC"/>
          </w:tcPr>
          <w:p>
            <w:pPr>
              <w:pStyle w:val="TableText"/>
            </w:pPr>
            <w:r>
              <w:rPr>
                <w:sz w:val="18"/>
                <w:szCs w:val="18"/>
              </w:rPr>
              <w:t xml:space="preserve">N refus de licence sur la période</w:t>
            </w:r>
          </w:p>
        </w:tc>
        <w:tc>
          <w:tcPr>
            <w:tcW w:w="4681" w:type="dxa"/>
            <w:shd w:val="clear" w:color="auto" w:fill="F4F7FC"/>
          </w:tcPr>
          <w:p>
            <w:pPr>
              <w:pStyle w:val="TableText"/>
            </w:pPr>
            <w:r>
              <w:rPr>
                <w:sz w:val="18"/>
                <w:szCs w:val="18"/>
              </w:rPr>
              <w:t xml:space="preserve">Au moins un refus (DENIED) dans les logs</w:t>
            </w:r>
          </w:p>
        </w:tc>
      </w:tr>
      <w:tr>
        <w:trPr>
          <w:cantSplit/>
        </w:trPr>
        <w:tc>
          <w:tcPr>
            <w:tcW w:w="1376" w:type="dxa"/>
          </w:tcPr>
          <w:p>
            <w:pPr>
              <w:pStyle w:val="TableText"/>
            </w:pPr>
            <w:r>
              <w:rPr>
                <w:sz w:val="18"/>
                <w:szCs w:val="18"/>
              </w:rPr>
              <w:t xml:space="preserve">Attention</w:t>
            </w:r>
          </w:p>
        </w:tc>
        <w:tc>
          <w:tcPr>
            <w:tcW w:w="3579" w:type="dxa"/>
          </w:tcPr>
          <w:p>
            <w:pPr>
              <w:pStyle w:val="TableText"/>
            </w:pPr>
            <w:r>
              <w:rPr>
                <w:sz w:val="18"/>
                <w:szCs w:val="18"/>
              </w:rPr>
              <w:t xml:space="preserve">N licence(s) expirent dans les 30 jours</w:t>
            </w:r>
          </w:p>
        </w:tc>
        <w:tc>
          <w:tcPr>
            <w:tcW w:w="4681" w:type="dxa"/>
          </w:tcPr>
          <w:p>
            <w:pPr>
              <w:pStyle w:val="TableText"/>
            </w:pPr>
            <w:r>
              <w:rPr>
                <w:sz w:val="18"/>
                <w:szCs w:val="18"/>
              </w:rPr>
              <w:t xml:space="preserve">Expiration entre 8 et 30 jours (regroupées)</w:t>
            </w:r>
          </w:p>
        </w:tc>
      </w:tr>
      <w:tr>
        <w:trPr>
          <w:cantSplit/>
        </w:trPr>
        <w:tc>
          <w:tcPr>
            <w:tcW w:w="1376" w:type="dxa"/>
            <w:shd w:val="clear" w:color="auto" w:fill="F4F7FC"/>
          </w:tcPr>
          <w:p>
            <w:pPr>
              <w:pStyle w:val="TableText"/>
            </w:pPr>
            <w:r>
              <w:rPr>
                <w:sz w:val="18"/>
                <w:szCs w:val="18"/>
              </w:rPr>
              <w:t xml:space="preserve">Attention</w:t>
            </w:r>
          </w:p>
        </w:tc>
        <w:tc>
          <w:tcPr>
            <w:tcW w:w="3579" w:type="dxa"/>
            <w:shd w:val="clear" w:color="auto" w:fill="F4F7FC"/>
          </w:tcPr>
          <w:p>
            <w:pPr>
              <w:pStyle w:val="TableText"/>
            </w:pPr>
            <w:r>
              <w:rPr>
                <w:sz w:val="18"/>
                <w:szCs w:val="18"/>
              </w:rPr>
              <w:t xml:space="preserve">N produit(s) saturé(s) plus de 5 % du temps ouvré</w:t>
            </w:r>
          </w:p>
        </w:tc>
        <w:tc>
          <w:tcPr>
            <w:tcW w:w="4681" w:type="dxa"/>
            <w:shd w:val="clear" w:color="auto" w:fill="F4F7FC"/>
          </w:tcPr>
          <w:p>
            <w:pPr>
              <w:pStyle w:val="TableText"/>
            </w:pPr>
            <w:r>
              <w:rPr>
                <w:sz w:val="18"/>
                <w:szCs w:val="18"/>
              </w:rPr>
              <w:t xml:space="preserve">Heures saturées ≥ 5 % des heures ouvrées</w:t>
            </w:r>
          </w:p>
        </w:tc>
      </w:tr>
      <w:tr>
        <w:trPr>
          <w:cantSplit/>
        </w:trPr>
        <w:tc>
          <w:tcPr>
            <w:tcW w:w="1376" w:type="dxa"/>
          </w:tcPr>
          <w:p>
            <w:pPr>
              <w:pStyle w:val="TableText"/>
            </w:pPr>
            <w:r>
              <w:rPr>
                <w:sz w:val="18"/>
                <w:szCs w:val="18"/>
              </w:rPr>
              <w:t xml:space="preserve">Info</w:t>
            </w:r>
          </w:p>
        </w:tc>
        <w:tc>
          <w:tcPr>
            <w:tcW w:w="3579" w:type="dxa"/>
          </w:tcPr>
          <w:p>
            <w:pPr>
              <w:pStyle w:val="TableText"/>
            </w:pPr>
            <w:r>
              <w:rPr>
                <w:sz w:val="18"/>
                <w:szCs w:val="18"/>
              </w:rPr>
              <w:t xml:space="preserve">N produit(s) sous-utilisé(s)</w:t>
            </w:r>
          </w:p>
        </w:tc>
        <w:tc>
          <w:tcPr>
            <w:tcW w:w="4681" w:type="dxa"/>
          </w:tcPr>
          <w:p>
            <w:pPr>
              <w:pStyle w:val="TableText"/>
            </w:pPr>
            <w:r>
              <w:rPr>
                <w:sz w:val="18"/>
                <w:szCs w:val="18"/>
              </w:rPr>
              <w:t xml:space="preserve">Au moins 2 jetons et pic d'utilisation &lt; 50 % du parc</w:t>
            </w:r>
          </w:p>
        </w:tc>
      </w:tr>
    </w:tbl>
    <w:p>
      <w:pPr>
        <w:spacing w:after="80"/>
      </w:pPr>
    </w:p>
    <w:p>
      <w:pPr>
        <w:pStyle w:val="Heading3"/>
      </w:pPr>
      <w:bookmarkStart w:id="71" w:name="_Toc00071"/>
      <w:r>
        <w:rPr/>
        <w:t xml:space="preserve">Indicateurs clés</w:t>
      </w:r>
      <w:bookmarkEnd w:id="71"/>
    </w:p>
    <w:p>
      <w:pPr/>
      <w:r>
        <w:rPr/>
        <w:t xml:space="preserve">Six cartes comparent la période choisie à la période précédente de même durée (vert = amélioration, rouge = dégradation), avec une micro-courbe de tendance journalière. Un clic ouvre le rapport détaillé.</w:t>
      </w:r>
    </w:p>
    <w:p>
      <w:pPr>
        <w:pStyle w:val="Figure"/>
        <w:keepNext/>
      </w:pPr>
      <w:r>
        <w:drawing>
          <wp:inline distT="0" distB="0" distL="0" distR="0">
            <wp:extent cx="5940000" cy="1037408"/>
            <wp:docPr id="14" name="Image 14" descr="Indicateurs clés"/>
            <wp:cNvGraphicFramePr>
              <a:graphicFrameLocks noChangeAspect="1"/>
            </wp:cNvGraphicFramePr>
            <a:graphic>
              <a:graphicData uri="http://schemas.openxmlformats.org/drawingml/2006/picture">
                <pic:pic>
                  <pic:nvPicPr>
                    <pic:cNvPr id="14" name="kpis.png"/>
                    <pic:cNvPicPr/>
                  </pic:nvPicPr>
                  <pic:blipFill>
                    <a:blip r:embed="rIdImg14"/>
                    <a:stretch>
                      <a:fillRect/>
                    </a:stretch>
                  </pic:blipFill>
                  <pic:spPr>
                    <a:xfrm>
                      <a:off x="0" y="0"/>
                      <a:ext cx="5940000" cy="1037408"/>
                    </a:xfrm>
                    <a:prstGeom prst="rect">
                      <a:avLst/>
                    </a:prstGeom>
                    <a:ln w="9525">
                      <a:solidFill>
                        <a:srgbClr val="D9D8D2"/>
                      </a:solidFill>
                    </a:ln>
                  </pic:spPr>
                </pic:pic>
              </a:graphicData>
            </a:graphic>
          </wp:inline>
        </w:drawing>
      </w:r>
    </w:p>
    <w:p>
      <w:pPr>
        <w:pStyle w:val="Caption"/>
      </w:pPr>
      <w:bookmarkStart w:id="72" w:name="_Fig00072"/>
      <w:r>
        <w:rPr/>
        <w:t xml:space="preserve">Figure </w:t>
      </w:r>
      <w:fldSimple w:instr=" SEQ Figure \* ARABIC ">
        <w:r>
          <w:t>13</w:t>
        </w:r>
      </w:fldSimple>
      <w:r>
        <w:rPr/>
        <w:t xml:space="preserve"> – Indicateurs clés</w:t>
      </w:r>
      <w:bookmarkEnd w:id="72"/>
    </w:p>
    <w:p>
      <w:pPr>
        <w:pStyle w:val="Caption"/>
        <w:keepNext/>
      </w:pPr>
      <w:r>
        <w:rPr/>
        <w:t xml:space="preserve">Tableau 19 – Définition des indicateurs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4681"/>
        <w:gridCol w:w="2202"/>
      </w:tblGrid>
      <w:tr>
        <w:trPr>
          <w:tblHeader/>
          <w:cantSplit/>
        </w:trPr>
        <w:tc>
          <w:tcPr>
            <w:tcW w:w="2753" w:type="dxa"/>
            <w:shd w:val="clear" w:color="auto" w:fill="2A78D6"/>
          </w:tcPr>
          <w:p>
            <w:pPr>
              <w:pStyle w:val="TableText"/>
            </w:pPr>
            <w:r>
              <w:rPr>
                <w:b/>
                <w:color w:val="FFFFFF"/>
                <w:sz w:val="18"/>
                <w:szCs w:val="18"/>
              </w:rPr>
              <w:t xml:space="preserve">Indicateur</w:t>
            </w:r>
          </w:p>
        </w:tc>
        <w:tc>
          <w:tcPr>
            <w:tcW w:w="4681" w:type="dxa"/>
            <w:shd w:val="clear" w:color="auto" w:fill="2A78D6"/>
          </w:tcPr>
          <w:p>
            <w:pPr>
              <w:pStyle w:val="TableText"/>
            </w:pPr>
            <w:r>
              <w:rPr>
                <w:b/>
                <w:color w:val="FFFFFF"/>
                <w:sz w:val="18"/>
                <w:szCs w:val="18"/>
              </w:rPr>
              <w:t xml:space="preserve">Définition</w:t>
            </w:r>
          </w:p>
        </w:tc>
        <w:tc>
          <w:tcPr>
            <w:tcW w:w="2202" w:type="dxa"/>
            <w:shd w:val="clear" w:color="auto" w:fill="2A78D6"/>
          </w:tcPr>
          <w:p>
            <w:pPr>
              <w:pStyle w:val="TableText"/>
            </w:pPr>
            <w:r>
              <w:rPr>
                <w:b/>
                <w:color w:val="FFFFFF"/>
                <w:sz w:val="18"/>
                <w:szCs w:val="18"/>
              </w:rPr>
              <w:t xml:space="preserve">Clic → vue</w:t>
            </w:r>
          </w:p>
        </w:tc>
      </w:tr>
      <w:tr>
        <w:trPr>
          <w:cantSplit/>
        </w:trPr>
        <w:tc>
          <w:tcPr>
            <w:tcW w:w="2753" w:type="dxa"/>
          </w:tcPr>
          <w:p>
            <w:pPr>
              <w:pStyle w:val="TableText"/>
            </w:pPr>
            <w:r>
              <w:rPr>
                <w:sz w:val="18"/>
                <w:szCs w:val="18"/>
              </w:rPr>
              <w:t xml:space="preserve">Taux d'occupation (heures ouvrées)</w:t>
            </w:r>
          </w:p>
        </w:tc>
        <w:tc>
          <w:tcPr>
            <w:tcW w:w="4681" w:type="dxa"/>
          </w:tcPr>
          <w:p>
            <w:pPr>
              <w:pStyle w:val="TableText"/>
            </w:pPr>
            <w:r>
              <w:rPr>
                <w:sz w:val="18"/>
                <w:szCs w:val="18"/>
              </w:rPr>
              <w:t xml:space="preserve">Jetons utilisés / émis pendant les heures ouvrées ; variation en points</w:t>
            </w:r>
          </w:p>
        </w:tc>
        <w:tc>
          <w:tcPr>
            <w:tcW w:w="2202" w:type="dxa"/>
          </w:tcPr>
          <w:p>
            <w:pPr>
              <w:pStyle w:val="TableText"/>
            </w:pPr>
            <w:r>
              <w:rPr>
                <w:sz w:val="18"/>
                <w:szCs w:val="18"/>
              </w:rPr>
              <w:t xml:space="preserve">Usage dans le temps (taux)</w:t>
            </w:r>
          </w:p>
        </w:tc>
      </w:tr>
      <w:tr>
        <w:trPr>
          <w:cantSplit/>
        </w:trPr>
        <w:tc>
          <w:tcPr>
            <w:tcW w:w="2753" w:type="dxa"/>
            <w:shd w:val="clear" w:color="auto" w:fill="F4F7FC"/>
          </w:tcPr>
          <w:p>
            <w:pPr>
              <w:pStyle w:val="TableText"/>
            </w:pPr>
            <w:r>
              <w:rPr>
                <w:sz w:val="18"/>
                <w:szCs w:val="18"/>
              </w:rPr>
              <w:t xml:space="preserve">Utilisateurs actifs</w:t>
            </w:r>
          </w:p>
        </w:tc>
        <w:tc>
          <w:tcPr>
            <w:tcW w:w="4681" w:type="dxa"/>
            <w:shd w:val="clear" w:color="auto" w:fill="F4F7FC"/>
          </w:tcPr>
          <w:p>
            <w:pPr>
              <w:pStyle w:val="TableText"/>
            </w:pPr>
            <w:r>
              <w:rPr>
                <w:sz w:val="18"/>
                <w:szCs w:val="18"/>
              </w:rPr>
              <w:t xml:space="preserve">Utilisateurs distincts ayant au moins une session</w:t>
            </w:r>
          </w:p>
        </w:tc>
        <w:tc>
          <w:tcPr>
            <w:tcW w:w="2202" w:type="dxa"/>
            <w:shd w:val="clear" w:color="auto" w:fill="F4F7FC"/>
          </w:tcPr>
          <w:p>
            <w:pPr>
              <w:pStyle w:val="TableText"/>
            </w:pPr>
            <w:r>
              <w:rPr>
                <w:sz w:val="18"/>
                <w:szCs w:val="18"/>
              </w:rPr>
              <w:t xml:space="preserve">Répartition par utilisateur</w:t>
            </w:r>
          </w:p>
        </w:tc>
      </w:tr>
      <w:tr>
        <w:trPr>
          <w:cantSplit/>
        </w:trPr>
        <w:tc>
          <w:tcPr>
            <w:tcW w:w="2753" w:type="dxa"/>
          </w:tcPr>
          <w:p>
            <w:pPr>
              <w:pStyle w:val="TableText"/>
            </w:pPr>
            <w:r>
              <w:rPr>
                <w:sz w:val="18"/>
                <w:szCs w:val="18"/>
              </w:rPr>
              <w:t xml:space="preserve">Heures d'utilisation</w:t>
            </w:r>
          </w:p>
        </w:tc>
        <w:tc>
          <w:tcPr>
            <w:tcW w:w="4681" w:type="dxa"/>
          </w:tcPr>
          <w:p>
            <w:pPr>
              <w:pStyle w:val="TableText"/>
            </w:pPr>
            <w:r>
              <w:rPr>
                <w:sz w:val="18"/>
                <w:szCs w:val="18"/>
              </w:rPr>
              <w:t xml:space="preserve">Somme des durées de session</w:t>
            </w:r>
          </w:p>
        </w:tc>
        <w:tc>
          <w:tcPr>
            <w:tcW w:w="2202" w:type="dxa"/>
          </w:tcPr>
          <w:p>
            <w:pPr>
              <w:pStyle w:val="TableText"/>
            </w:pPr>
            <w:r>
              <w:rPr>
                <w:sz w:val="18"/>
                <w:szCs w:val="18"/>
              </w:rPr>
              <w:t xml:space="preserve">Répartition par service</w:t>
            </w:r>
          </w:p>
        </w:tc>
      </w:tr>
      <w:tr>
        <w:trPr>
          <w:cantSplit/>
        </w:trPr>
        <w:tc>
          <w:tcPr>
            <w:tcW w:w="2753" w:type="dxa"/>
            <w:shd w:val="clear" w:color="auto" w:fill="F4F7FC"/>
          </w:tcPr>
          <w:p>
            <w:pPr>
              <w:pStyle w:val="TableText"/>
            </w:pPr>
            <w:r>
              <w:rPr>
                <w:sz w:val="18"/>
                <w:szCs w:val="18"/>
              </w:rPr>
              <w:t xml:space="preserve">Heures saturées</w:t>
            </w:r>
          </w:p>
        </w:tc>
        <w:tc>
          <w:tcPr>
            <w:tcW w:w="4681" w:type="dxa"/>
            <w:shd w:val="clear" w:color="auto" w:fill="F4F7FC"/>
          </w:tcPr>
          <w:p>
            <w:pPr>
              <w:pStyle w:val="TableText"/>
            </w:pPr>
            <w:r>
              <w:rPr>
                <w:sz w:val="18"/>
                <w:szCs w:val="18"/>
              </w:rPr>
              <w:t xml:space="preserve">Heures où tous les jetons d'un produit étaient utilisés</w:t>
            </w:r>
          </w:p>
        </w:tc>
        <w:tc>
          <w:tcPr>
            <w:tcW w:w="2202" w:type="dxa"/>
            <w:shd w:val="clear" w:color="auto" w:fill="F4F7FC"/>
          </w:tcPr>
          <w:p>
            <w:pPr>
              <w:pStyle w:val="TableText"/>
            </w:pPr>
            <w:r>
              <w:rPr>
                <w:sz w:val="18"/>
                <w:szCs w:val="18"/>
              </w:rPr>
              <w:t xml:space="preserve">Contention</w:t>
            </w:r>
          </w:p>
        </w:tc>
      </w:tr>
      <w:tr>
        <w:trPr>
          <w:cantSplit/>
        </w:trPr>
        <w:tc>
          <w:tcPr>
            <w:tcW w:w="2753" w:type="dxa"/>
          </w:tcPr>
          <w:p>
            <w:pPr>
              <w:pStyle w:val="TableText"/>
            </w:pPr>
            <w:r>
              <w:rPr>
                <w:sz w:val="18"/>
                <w:szCs w:val="18"/>
              </w:rPr>
              <w:t xml:space="preserve">Refus de licence</w:t>
            </w:r>
          </w:p>
        </w:tc>
        <w:tc>
          <w:tcPr>
            <w:tcW w:w="4681" w:type="dxa"/>
          </w:tcPr>
          <w:p>
            <w:pPr>
              <w:pStyle w:val="TableText"/>
            </w:pPr>
            <w:r>
              <w:rPr>
                <w:sz w:val="18"/>
                <w:szCs w:val="18"/>
              </w:rPr>
              <w:t xml:space="preserve">Demandes refusées (logs)</w:t>
            </w:r>
          </w:p>
        </w:tc>
        <w:tc>
          <w:tcPr>
            <w:tcW w:w="2202" w:type="dxa"/>
          </w:tcPr>
          <w:p>
            <w:pPr>
              <w:pStyle w:val="TableText"/>
            </w:pPr>
            <w:r>
              <w:rPr>
                <w:sz w:val="18"/>
                <w:szCs w:val="18"/>
              </w:rPr>
              <w:t xml:space="preserve">Refus</w:t>
            </w:r>
          </w:p>
        </w:tc>
      </w:tr>
      <w:tr>
        <w:trPr>
          <w:cantSplit/>
        </w:trPr>
        <w:tc>
          <w:tcPr>
            <w:tcW w:w="2753" w:type="dxa"/>
            <w:shd w:val="clear" w:color="auto" w:fill="F4F7FC"/>
          </w:tcPr>
          <w:p>
            <w:pPr>
              <w:pStyle w:val="TableText"/>
            </w:pPr>
            <w:r>
              <w:rPr>
                <w:sz w:val="18"/>
                <w:szCs w:val="18"/>
              </w:rPr>
              <w:t xml:space="preserve">Économies potentielles / an</w:t>
            </w:r>
          </w:p>
        </w:tc>
        <w:tc>
          <w:tcPr>
            <w:tcW w:w="4681" w:type="dxa"/>
            <w:shd w:val="clear" w:color="auto" w:fill="F4F7FC"/>
          </w:tcPr>
          <w:p>
            <w:pPr>
              <w:pStyle w:val="TableText"/>
            </w:pPr>
            <w:r>
              <w:rPr>
                <w:sz w:val="18"/>
                <w:szCs w:val="18"/>
              </w:rPr>
              <w:t xml:space="preserve">Jetons excédentaires × coût annuel (si </w:t>
            </w:r>
            <w:r>
              <w:rPr>
                <w:rFonts w:ascii="Consolas" w:hAnsi="Consolas" w:cs="Consolas"/>
                <w:color w:val="1C5CAB"/>
                <w:sz w:val="18"/>
                <w:szCs w:val="18"/>
                <w:shd w:val="clear" w:color="auto" w:fill="EEF3FA"/>
              </w:rPr>
              <w:t xml:space="preserve">annual_cost</w:t>
            </w:r>
            <w:r>
              <w:rPr>
                <w:sz w:val="18"/>
                <w:szCs w:val="18"/>
              </w:rPr>
              <w:t xml:space="preserve"> renseigné ; sinon « Jetons excédentaires »)</w:t>
            </w:r>
          </w:p>
        </w:tc>
        <w:tc>
          <w:tcPr>
            <w:tcW w:w="2202" w:type="dxa"/>
            <w:shd w:val="clear" w:color="auto" w:fill="F4F7FC"/>
          </w:tcPr>
          <w:p>
            <w:pPr>
              <w:pStyle w:val="TableText"/>
            </w:pPr>
            <w:r>
              <w:rPr>
                <w:sz w:val="18"/>
                <w:szCs w:val="18"/>
              </w:rPr>
              <w:t xml:space="preserve">Optimisation &amp; coûts</w:t>
            </w:r>
          </w:p>
        </w:tc>
      </w:tr>
    </w:tbl>
    <w:p>
      <w:pPr>
        <w:spacing w:after="80"/>
      </w:pPr>
    </w:p>
    <w:p>
      <w:pPr>
        <w:pStyle w:val="Heading3"/>
      </w:pPr>
      <w:bookmarkStart w:id="73" w:name="_Toc00073"/>
      <w:r>
        <w:rPr/>
        <w:t xml:space="preserve">Blocs de détail</w:t>
      </w:r>
      <w:bookmarkEnd w:id="73"/>
    </w:p>
    <w:p>
      <w:pPr>
        <w:pStyle w:val="ListParagraph"/>
        <w:numPr>
          <w:ilvl w:val="0"/>
          <w:numId w:val="7"/>
        </w:numPr>
      </w:pPr>
      <w:r>
        <w:rPr>
          <w:b/>
        </w:rPr>
        <w:t xml:space="preserve">Taux d'occupation</w:t>
      </w:r>
      <w:r>
        <w:rPr/>
        <w:t xml:space="preserve"> : moyenne des heures ouvrées (aire bleue) et pic du jour (pointillés) ;</w:t>
      </w:r>
    </w:p>
    <w:p>
      <w:pPr>
        <w:pStyle w:val="ListParagraph"/>
        <w:numPr>
          <w:ilvl w:val="0"/>
          <w:numId w:val="7"/>
        </w:numPr>
      </w:pPr>
      <w:r>
        <w:rPr>
          <w:b/>
        </w:rPr>
        <w:t xml:space="preserve">En direct</w:t>
      </w:r>
      <w:r>
        <w:rPr/>
        <w:t xml:space="preserve"> : jauge de jetons utilisés, utilisateurs connectés et heure du dernier sondage ;</w:t>
      </w:r>
    </w:p>
    <w:p>
      <w:pPr>
        <w:pStyle w:val="ListParagraph"/>
        <w:numPr>
          <w:ilvl w:val="0"/>
          <w:numId w:val="7"/>
        </w:numPr>
      </w:pPr>
      <w:r>
        <w:rPr>
          <w:b/>
        </w:rPr>
        <w:t xml:space="preserve">Occupation par produit</w:t>
      </w:r>
      <w:r>
        <w:rPr/>
        <w:t xml:space="preserve"> : barre = moyenne en heures ouvrées, trait = pic observé ;</w:t>
      </w:r>
    </w:p>
    <w:p>
      <w:pPr>
        <w:pStyle w:val="ListParagraph"/>
        <w:numPr>
          <w:ilvl w:val="0"/>
          <w:numId w:val="7"/>
        </w:numPr>
      </w:pPr>
      <w:r>
        <w:rPr>
          <w:b/>
        </w:rPr>
        <w:t xml:space="preserve">Utilisateurs les plus actifs</w:t>
      </w:r>
      <w:r>
        <w:rPr/>
        <w:t xml:space="preserve"> : heures d'utilisation sur la période ;</w:t>
      </w:r>
    </w:p>
    <w:p>
      <w:pPr>
        <w:pStyle w:val="ListParagraph"/>
        <w:numPr>
          <w:ilvl w:val="0"/>
          <w:numId w:val="7"/>
        </w:numPr>
      </w:pPr>
      <w:r>
        <w:rPr>
          <w:b/>
        </w:rPr>
        <w:t xml:space="preserve">Refus par jour</w:t>
      </w:r>
      <w:r>
        <w:rPr/>
        <w:t xml:space="preserve">, </w:t>
      </w:r>
      <w:r>
        <w:rPr>
          <w:b/>
        </w:rPr>
        <w:t xml:space="preserve">profil horaire</w:t>
      </w:r>
      <w:r>
        <w:rPr/>
        <w:t xml:space="preserve"> (jour × heure) ;</w:t>
      </w:r>
    </w:p>
    <w:p>
      <w:pPr>
        <w:pStyle w:val="ListParagraph"/>
        <w:numPr>
          <w:ilvl w:val="0"/>
          <w:numId w:val="7"/>
        </w:numPr>
      </w:pPr>
      <w:r>
        <w:rPr>
          <w:b/>
        </w:rPr>
        <w:t xml:space="preserve">Serveurs et échéances</w:t>
      </w:r>
      <w:r>
        <w:rPr/>
        <w:t xml:space="preserve"> : état de collecte de chaque serveur et prochaines expirations de licences.</w:t>
      </w:r>
    </w:p>
    <w:p>
      <w:pPr>
        <w:pStyle w:val="Figure"/>
        <w:keepNext/>
      </w:pPr>
      <w:r>
        <w:drawing>
          <wp:inline distT="0" distB="0" distL="0" distR="0">
            <wp:extent cx="2880000" cy="3230364"/>
            <wp:docPr id="15" name="Image 15" descr="Bloc « Serveurs et échéances »"/>
            <wp:cNvGraphicFramePr>
              <a:graphicFrameLocks noChangeAspect="1"/>
            </wp:cNvGraphicFramePr>
            <a:graphic>
              <a:graphicData uri="http://schemas.openxmlformats.org/drawingml/2006/picture">
                <pic:pic>
                  <pic:nvPicPr>
                    <pic:cNvPr id="15" name="servers.png"/>
                    <pic:cNvPicPr/>
                  </pic:nvPicPr>
                  <pic:blipFill>
                    <a:blip r:embed="rIdImg15"/>
                    <a:stretch>
                      <a:fillRect/>
                    </a:stretch>
                  </pic:blipFill>
                  <pic:spPr>
                    <a:xfrm>
                      <a:off x="0" y="0"/>
                      <a:ext cx="2880000" cy="3230364"/>
                    </a:xfrm>
                    <a:prstGeom prst="rect">
                      <a:avLst/>
                    </a:prstGeom>
                    <a:ln w="9525">
                      <a:solidFill>
                        <a:srgbClr val="D9D8D2"/>
                      </a:solidFill>
                    </a:ln>
                  </pic:spPr>
                </pic:pic>
              </a:graphicData>
            </a:graphic>
          </wp:inline>
        </w:drawing>
      </w:r>
    </w:p>
    <w:p>
      <w:pPr>
        <w:pStyle w:val="Caption"/>
      </w:pPr>
      <w:bookmarkStart w:id="74" w:name="_Fig00074"/>
      <w:r>
        <w:rPr/>
        <w:t xml:space="preserve">Figure </w:t>
      </w:r>
      <w:fldSimple w:instr=" SEQ Figure \* ARABIC ">
        <w:r>
          <w:t>14</w:t>
        </w:r>
      </w:fldSimple>
      <w:r>
        <w:rPr/>
        <w:t xml:space="preserve"> – Bloc « Serveurs et échéances »</w:t>
      </w:r>
      <w:bookmarkEnd w:id="74"/>
    </w:p>
    <w:p>
      <w:pPr>
        <w:pStyle w:val="Heading2"/>
      </w:pPr>
      <w:bookmarkStart w:id="75" w:name="_Toc00075"/>
      <w:r>
        <w:rPr/>
        <w:t xml:space="preserve">8.4 En direct</w:t>
      </w:r>
      <w:bookmarkEnd w:id="75"/>
    </w:p>
    <w:p>
      <w:pPr/>
      <w:r>
        <w:rPr/>
        <w:t xml:space="preserve">Une carte par produit indique les jetons utilisés et libres, la file d'attente éventuelle et la liste des utilisateurs connectés (poste, service, durée). La page s'actualise automatiquement chaque minute ; le point vert devient gris si le dernier sondage date de plus d'une heure.</w:t>
      </w:r>
    </w:p>
    <w:p>
      <w:pPr>
        <w:pStyle w:val="Figure"/>
        <w:keepNext/>
      </w:pPr>
      <w:r>
        <w:drawing>
          <wp:inline distT="0" distB="0" distL="0" distR="0">
            <wp:extent cx="5940000" cy="3712500"/>
            <wp:docPr id="16" name="Image 16" descr="Vue En direct"/>
            <wp:cNvGraphicFramePr>
              <a:graphicFrameLocks noChangeAspect="1"/>
            </wp:cNvGraphicFramePr>
            <a:graphic>
              <a:graphicData uri="http://schemas.openxmlformats.org/drawingml/2006/picture">
                <pic:pic>
                  <pic:nvPicPr>
                    <pic:cNvPr id="16" name="live.png"/>
                    <pic:cNvPicPr/>
                  </pic:nvPicPr>
                  <pic:blipFill>
                    <a:blip r:embed="rIdImg1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76" w:name="_Fig00076"/>
      <w:r>
        <w:rPr/>
        <w:t xml:space="preserve">Figure </w:t>
      </w:r>
      <w:fldSimple w:instr=" SEQ Figure \* ARABIC ">
        <w:r>
          <w:t>15</w:t>
        </w:r>
      </w:fldSimple>
      <w:r>
        <w:rPr/>
        <w:t xml:space="preserve"> – Vue En direct</w:t>
      </w:r>
      <w:bookmarkEnd w:id="76"/>
    </w:p>
    <w:p>
      <w:pPr>
        <w:pStyle w:val="Heading2"/>
      </w:pPr>
      <w:bookmarkStart w:id="77" w:name="_Toc00077"/>
      <w:r>
        <w:rPr/>
        <w:t xml:space="preserve">8.5 Rapports d'analyse</w:t>
      </w:r>
      <w:bookmarkEnd w:id="77"/>
    </w:p>
    <w:p>
      <w:pPr>
        <w:pStyle w:val="Caption"/>
        <w:keepNext/>
      </w:pPr>
      <w:r>
        <w:rPr/>
        <w:t xml:space="preserve">Tableau 20 – Rapports d'analyse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405"/>
        <w:gridCol w:w="3304"/>
      </w:tblGrid>
      <w:tr>
        <w:trPr>
          <w:tblHeader/>
          <w:cantSplit/>
        </w:trPr>
        <w:tc>
          <w:tcPr>
            <w:tcW w:w="1927" w:type="dxa"/>
            <w:shd w:val="clear" w:color="auto" w:fill="2A78D6"/>
          </w:tcPr>
          <w:p>
            <w:pPr>
              <w:pStyle w:val="TableText"/>
            </w:pPr>
            <w:r>
              <w:rPr>
                <w:b/>
                <w:color w:val="FFFFFF"/>
                <w:sz w:val="18"/>
                <w:szCs w:val="18"/>
              </w:rPr>
              <w:t xml:space="preserve">Vue</w:t>
            </w:r>
          </w:p>
        </w:tc>
        <w:tc>
          <w:tcPr>
            <w:tcW w:w="4405" w:type="dxa"/>
            <w:shd w:val="clear" w:color="auto" w:fill="2A78D6"/>
          </w:tcPr>
          <w:p>
            <w:pPr>
              <w:pStyle w:val="TableText"/>
            </w:pPr>
            <w:r>
              <w:rPr>
                <w:b/>
                <w:color w:val="FFFFFF"/>
                <w:sz w:val="18"/>
                <w:szCs w:val="18"/>
              </w:rPr>
              <w:t xml:space="preserve">Contenu</w:t>
            </w:r>
          </w:p>
        </w:tc>
        <w:tc>
          <w:tcPr>
            <w:tcW w:w="3304" w:type="dxa"/>
            <w:shd w:val="clear" w:color="auto" w:fill="2A78D6"/>
          </w:tcPr>
          <w:p>
            <w:pPr>
              <w:pStyle w:val="TableText"/>
            </w:pPr>
            <w:r>
              <w:rPr>
                <w:b/>
                <w:color w:val="FFFFFF"/>
                <w:sz w:val="18"/>
                <w:szCs w:val="18"/>
              </w:rPr>
              <w:t xml:space="preserve">Options</w:t>
            </w:r>
          </w:p>
        </w:tc>
      </w:tr>
      <w:tr>
        <w:trPr>
          <w:cantSplit/>
        </w:trPr>
        <w:tc>
          <w:tcPr>
            <w:tcW w:w="1927" w:type="dxa"/>
          </w:tcPr>
          <w:p>
            <w:pPr>
              <w:pStyle w:val="TableText"/>
            </w:pPr>
            <w:r>
              <w:rPr>
                <w:sz w:val="18"/>
                <w:szCs w:val="18"/>
              </w:rPr>
              <w:t xml:space="preserve">Synthèse</w:t>
            </w:r>
          </w:p>
        </w:tc>
        <w:tc>
          <w:tcPr>
            <w:tcW w:w="4405" w:type="dxa"/>
          </w:tcPr>
          <w:p>
            <w:pPr>
              <w:pStyle w:val="TableText"/>
            </w:pPr>
            <w:r>
              <w:rPr>
                <w:sz w:val="18"/>
                <w:szCs w:val="18"/>
              </w:rPr>
              <w:t xml:space="preserve">Par produit : jetons, pic, moyenne, taux (moyen, au pic, heures ouvrées), heures saturées, refus</w:t>
            </w:r>
          </w:p>
        </w:tc>
        <w:tc>
          <w:tcPr>
            <w:tcW w:w="3304" w:type="dxa"/>
          </w:tcPr>
          <w:p>
            <w:pPr>
              <w:pStyle w:val="TableText"/>
            </w:pPr>
            <w:r>
              <w:rPr>
                <w:sz w:val="18"/>
                <w:szCs w:val="18"/>
              </w:rPr>
              <w:t xml:space="preserve">—</w:t>
            </w:r>
          </w:p>
        </w:tc>
      </w:tr>
      <w:tr>
        <w:trPr>
          <w:cantSplit/>
        </w:trPr>
        <w:tc>
          <w:tcPr>
            <w:tcW w:w="1927" w:type="dxa"/>
            <w:shd w:val="clear" w:color="auto" w:fill="F4F7FC"/>
          </w:tcPr>
          <w:p>
            <w:pPr>
              <w:pStyle w:val="TableText"/>
            </w:pPr>
            <w:r>
              <w:rPr>
                <w:sz w:val="18"/>
                <w:szCs w:val="18"/>
              </w:rPr>
              <w:t xml:space="preserve">Usage dans le temps</w:t>
            </w:r>
          </w:p>
        </w:tc>
        <w:tc>
          <w:tcPr>
            <w:tcW w:w="4405" w:type="dxa"/>
            <w:shd w:val="clear" w:color="auto" w:fill="F4F7FC"/>
          </w:tcPr>
          <w:p>
            <w:pPr>
              <w:pStyle w:val="TableText"/>
            </w:pPr>
            <w:r>
              <w:rPr>
                <w:sz w:val="18"/>
                <w:szCs w:val="18"/>
              </w:rPr>
              <w:t xml:space="preserve">Courbes par produit</w:t>
            </w:r>
          </w:p>
        </w:tc>
        <w:tc>
          <w:tcPr>
            <w:tcW w:w="3304" w:type="dxa"/>
            <w:shd w:val="clear" w:color="auto" w:fill="F4F7FC"/>
          </w:tcPr>
          <w:p>
            <w:pPr>
              <w:pStyle w:val="TableText"/>
            </w:pPr>
            <w:r>
              <w:rPr>
                <w:sz w:val="18"/>
                <w:szCs w:val="18"/>
              </w:rPr>
              <w:t xml:space="preserve">Pas : heure, jour, semaine, mois ; mesure : pic, moyenne, taux</w:t>
            </w:r>
          </w:p>
        </w:tc>
      </w:tr>
      <w:tr>
        <w:trPr>
          <w:cantSplit/>
        </w:trPr>
        <w:tc>
          <w:tcPr>
            <w:tcW w:w="1927" w:type="dxa"/>
          </w:tcPr>
          <w:p>
            <w:pPr>
              <w:pStyle w:val="TableText"/>
            </w:pPr>
            <w:r>
              <w:rPr>
                <w:sz w:val="18"/>
                <w:szCs w:val="18"/>
              </w:rPr>
              <w:t xml:space="preserve">Répartition</w:t>
            </w:r>
          </w:p>
        </w:tc>
        <w:tc>
          <w:tcPr>
            <w:tcW w:w="4405" w:type="dxa"/>
          </w:tcPr>
          <w:p>
            <w:pPr>
              <w:pStyle w:val="TableText"/>
            </w:pPr>
            <w:r>
              <w:rPr>
                <w:sz w:val="18"/>
                <w:szCs w:val="18"/>
              </w:rPr>
              <w:t xml:space="preserve">Heures d'utilisation et coût par dimension</w:t>
            </w:r>
          </w:p>
        </w:tc>
        <w:tc>
          <w:tcPr>
            <w:tcW w:w="3304" w:type="dxa"/>
          </w:tcPr>
          <w:p>
            <w:pPr>
              <w:pStyle w:val="TableText"/>
            </w:pPr>
            <w:r>
              <w:rPr>
                <w:sz w:val="18"/>
                <w:szCs w:val="18"/>
              </w:rPr>
              <w:t xml:space="preserve">Par utilisateur, poste, service, produit, serveur, éditeur</w:t>
            </w:r>
          </w:p>
        </w:tc>
      </w:tr>
      <w:tr>
        <w:trPr>
          <w:cantSplit/>
        </w:trPr>
        <w:tc>
          <w:tcPr>
            <w:tcW w:w="1927" w:type="dxa"/>
            <w:shd w:val="clear" w:color="auto" w:fill="F4F7FC"/>
          </w:tcPr>
          <w:p>
            <w:pPr>
              <w:pStyle w:val="TableText"/>
            </w:pPr>
            <w:r>
              <w:rPr>
                <w:sz w:val="18"/>
                <w:szCs w:val="18"/>
              </w:rPr>
              <w:t xml:space="preserve">Croisement</w:t>
            </w:r>
          </w:p>
        </w:tc>
        <w:tc>
          <w:tcPr>
            <w:tcW w:w="4405" w:type="dxa"/>
            <w:shd w:val="clear" w:color="auto" w:fill="F4F7FC"/>
          </w:tcPr>
          <w:p>
            <w:pPr>
              <w:pStyle w:val="TableText"/>
            </w:pPr>
            <w:r>
              <w:rPr>
                <w:sz w:val="18"/>
                <w:szCs w:val="18"/>
              </w:rPr>
              <w:t xml:space="preserve">Tableau croisé dimension × produit (heures)</w:t>
            </w:r>
          </w:p>
        </w:tc>
        <w:tc>
          <w:tcPr>
            <w:tcW w:w="3304" w:type="dxa"/>
            <w:shd w:val="clear" w:color="auto" w:fill="F4F7FC"/>
          </w:tcPr>
          <w:p>
            <w:pPr>
              <w:pStyle w:val="TableText"/>
            </w:pPr>
            <w:r>
              <w:rPr>
                <w:sz w:val="18"/>
                <w:szCs w:val="18"/>
              </w:rPr>
              <w:t xml:space="preserve">Par utilisateur, poste ou service</w:t>
            </w:r>
          </w:p>
        </w:tc>
      </w:tr>
      <w:tr>
        <w:trPr>
          <w:cantSplit/>
        </w:trPr>
        <w:tc>
          <w:tcPr>
            <w:tcW w:w="1927" w:type="dxa"/>
          </w:tcPr>
          <w:p>
            <w:pPr>
              <w:pStyle w:val="TableText"/>
            </w:pPr>
            <w:r>
              <w:rPr>
                <w:sz w:val="18"/>
                <w:szCs w:val="18"/>
              </w:rPr>
              <w:t xml:space="preserve">Profil horaire</w:t>
            </w:r>
          </w:p>
        </w:tc>
        <w:tc>
          <w:tcPr>
            <w:tcW w:w="4405" w:type="dxa"/>
          </w:tcPr>
          <w:p>
            <w:pPr>
              <w:pStyle w:val="TableText"/>
            </w:pPr>
            <w:r>
              <w:rPr>
                <w:sz w:val="18"/>
                <w:szCs w:val="18"/>
              </w:rPr>
              <w:t xml:space="preserve">Carte de chaleur heure × jour de semaine</w:t>
            </w:r>
          </w:p>
        </w:tc>
        <w:tc>
          <w:tcPr>
            <w:tcW w:w="3304" w:type="dxa"/>
          </w:tcPr>
          <w:p>
            <w:pPr>
              <w:pStyle w:val="TableText"/>
            </w:pPr>
            <w:r>
              <w:rPr>
                <w:sz w:val="18"/>
                <w:szCs w:val="18"/>
              </w:rPr>
              <w:t xml:space="preserve">—</w:t>
            </w:r>
          </w:p>
        </w:tc>
      </w:tr>
    </w:tbl>
    <w:p>
      <w:pPr>
        <w:spacing w:after="80"/>
      </w:pPr>
    </w:p>
    <w:p>
      <w:pPr>
        <w:pStyle w:val="Figure"/>
        <w:keepNext/>
      </w:pPr>
      <w:r>
        <w:drawing>
          <wp:inline distT="0" distB="0" distL="0" distR="0">
            <wp:extent cx="5940000" cy="3712500"/>
            <wp:docPr id="17" name="Image 17" descr="Synthèse par produit"/>
            <wp:cNvGraphicFramePr>
              <a:graphicFrameLocks noChangeAspect="1"/>
            </wp:cNvGraphicFramePr>
            <a:graphic>
              <a:graphicData uri="http://schemas.openxmlformats.org/drawingml/2006/picture">
                <pic:pic>
                  <pic:nvPicPr>
                    <pic:cNvPr id="17" name="summary.png"/>
                    <pic:cNvPicPr/>
                  </pic:nvPicPr>
                  <pic:blipFill>
                    <a:blip r:embed="rIdImg1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78" w:name="_Fig00078"/>
      <w:r>
        <w:rPr/>
        <w:t xml:space="preserve">Figure </w:t>
      </w:r>
      <w:fldSimple w:instr=" SEQ Figure \* ARABIC ">
        <w:r>
          <w:t>16</w:t>
        </w:r>
      </w:fldSimple>
      <w:r>
        <w:rPr/>
        <w:t xml:space="preserve"> – Synthèse par produit</w:t>
      </w:r>
      <w:bookmarkEnd w:id="78"/>
    </w:p>
    <w:p>
      <w:pPr>
        <w:pStyle w:val="Figure"/>
        <w:keepNext/>
      </w:pPr>
      <w:r>
        <w:drawing>
          <wp:inline distT="0" distB="0" distL="0" distR="0">
            <wp:extent cx="5940000" cy="3712500"/>
            <wp:docPr id="18" name="Image 18" descr="Usage dans le temps (taux d'occupation journalier)"/>
            <wp:cNvGraphicFramePr>
              <a:graphicFrameLocks noChangeAspect="1"/>
            </wp:cNvGraphicFramePr>
            <a:graphic>
              <a:graphicData uri="http://schemas.openxmlformats.org/drawingml/2006/picture">
                <pic:pic>
                  <pic:nvPicPr>
                    <pic:cNvPr id="18" name="timeseries.png"/>
                    <pic:cNvPicPr/>
                  </pic:nvPicPr>
                  <pic:blipFill>
                    <a:blip r:embed="rIdImg1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79" w:name="_Fig00079"/>
      <w:r>
        <w:rPr/>
        <w:t xml:space="preserve">Figure </w:t>
      </w:r>
      <w:fldSimple w:instr=" SEQ Figure \* ARABIC ">
        <w:r>
          <w:t>17</w:t>
        </w:r>
      </w:fldSimple>
      <w:r>
        <w:rPr/>
        <w:t xml:space="preserve"> – Usage dans le temps (taux d'occupation journalier)</w:t>
      </w:r>
      <w:bookmarkEnd w:id="79"/>
    </w:p>
    <w:p>
      <w:pPr>
        <w:pStyle w:val="Figure"/>
        <w:keepNext/>
      </w:pPr>
      <w:r>
        <w:drawing>
          <wp:inline distT="0" distB="0" distL="0" distR="0">
            <wp:extent cx="5940000" cy="3712500"/>
            <wp:docPr id="19" name="Image 19" descr="Répartition par service (refacturation)"/>
            <wp:cNvGraphicFramePr>
              <a:graphicFrameLocks noChangeAspect="1"/>
            </wp:cNvGraphicFramePr>
            <a:graphic>
              <a:graphicData uri="http://schemas.openxmlformats.org/drawingml/2006/picture">
                <pic:pic>
                  <pic:nvPicPr>
                    <pic:cNvPr id="19" name="breakdown.png"/>
                    <pic:cNvPicPr/>
                  </pic:nvPicPr>
                  <pic:blipFill>
                    <a:blip r:embed="rIdImg1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0" w:name="_Fig00080"/>
      <w:r>
        <w:rPr/>
        <w:t xml:space="preserve">Figure </w:t>
      </w:r>
      <w:fldSimple w:instr=" SEQ Figure \* ARABIC ">
        <w:r>
          <w:t>18</w:t>
        </w:r>
      </w:fldSimple>
      <w:r>
        <w:rPr/>
        <w:t xml:space="preserve"> – Répartition par service (refacturation)</w:t>
      </w:r>
      <w:bookmarkEnd w:id="80"/>
    </w:p>
    <w:p>
      <w:pPr>
        <w:pStyle w:val="Figure"/>
        <w:keepNext/>
      </w:pPr>
      <w:r>
        <w:drawing>
          <wp:inline distT="0" distB="0" distL="0" distR="0">
            <wp:extent cx="5940000" cy="3712500"/>
            <wp:docPr id="20" name="Image 20" descr="Croisement service × produit"/>
            <wp:cNvGraphicFramePr>
              <a:graphicFrameLocks noChangeAspect="1"/>
            </wp:cNvGraphicFramePr>
            <a:graphic>
              <a:graphicData uri="http://schemas.openxmlformats.org/drawingml/2006/picture">
                <pic:pic>
                  <pic:nvPicPr>
                    <pic:cNvPr id="20" name="matrix.png"/>
                    <pic:cNvPicPr/>
                  </pic:nvPicPr>
                  <pic:blipFill>
                    <a:blip r:embed="rIdImg20"/>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1" w:name="_Fig00081"/>
      <w:r>
        <w:rPr/>
        <w:t xml:space="preserve">Figure </w:t>
      </w:r>
      <w:fldSimple w:instr=" SEQ Figure \* ARABIC ">
        <w:r>
          <w:t>19</w:t>
        </w:r>
      </w:fldSimple>
      <w:r>
        <w:rPr/>
        <w:t xml:space="preserve"> – Croisement service × produit</w:t>
      </w:r>
      <w:bookmarkEnd w:id="81"/>
    </w:p>
    <w:p>
      <w:pPr>
        <w:pStyle w:val="Figure"/>
        <w:keepNext/>
      </w:pPr>
      <w:r>
        <w:drawing>
          <wp:inline distT="0" distB="0" distL="0" distR="0">
            <wp:extent cx="5940000" cy="3712500"/>
            <wp:docPr id="21" name="Image 21" descr="Profil horaire"/>
            <wp:cNvGraphicFramePr>
              <a:graphicFrameLocks noChangeAspect="1"/>
            </wp:cNvGraphicFramePr>
            <a:graphic>
              <a:graphicData uri="http://schemas.openxmlformats.org/drawingml/2006/picture">
                <pic:pic>
                  <pic:nvPicPr>
                    <pic:cNvPr id="21" name="heatmap.png"/>
                    <pic:cNvPicPr/>
                  </pic:nvPicPr>
                  <pic:blipFill>
                    <a:blip r:embed="rIdImg21"/>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2" w:name="_Fig00082"/>
      <w:r>
        <w:rPr/>
        <w:t xml:space="preserve">Figure </w:t>
      </w:r>
      <w:fldSimple w:instr=" SEQ Figure \* ARABIC ">
        <w:r>
          <w:t>20</w:t>
        </w:r>
      </w:fldSimple>
      <w:r>
        <w:rPr/>
        <w:t xml:space="preserve"> – Profil horaire</w:t>
      </w:r>
      <w:bookmarkEnd w:id="82"/>
    </w:p>
    <w:p>
      <w:pPr>
        <w:pStyle w:val="Heading2"/>
      </w:pPr>
      <w:bookmarkStart w:id="83" w:name="_Toc00083"/>
      <w:r>
        <w:rPr/>
        <w:t xml:space="preserve">8.6 Optimisation</w:t>
      </w:r>
      <w:bookmarkEnd w:id="83"/>
    </w:p>
    <w:p>
      <w:pPr/>
      <w:r>
        <w:rPr>
          <w:b/>
        </w:rPr>
        <w:t xml:space="preserve">Efficacité</w:t>
      </w:r>
      <w:r>
        <w:rPr/>
        <w:t xml:space="preserve"> : pour chaque produit, part du temps ouvré où au moins N jetons sont utilisés. Le nombre recommandé couvre 95 % du temps ouvré (</w:t>
      </w:r>
      <w:r>
        <w:rPr>
          <w:rFonts w:ascii="Consolas" w:hAnsi="Consolas" w:cs="Consolas"/>
          <w:color w:val="1C5CAB"/>
          <w:sz w:val="18"/>
          <w:szCs w:val="18"/>
          <w:shd w:val="clear" w:color="auto" w:fill="EEF3FA"/>
        </w:rPr>
        <w:t xml:space="preserve">target_coverage</w:t>
      </w:r>
      <w:r>
        <w:rPr/>
        <w:t xml:space="preserve">) : au-delà, les pics restent ponctuels. Avec plusieurs produits, l'axe est exprimé en part du parc ; en filtrant un seul produit, il l'est en nombre de jetons.</w:t>
      </w:r>
    </w:p>
    <w:p>
      <w:pPr>
        <w:pStyle w:val="Figure"/>
        <w:keepNext/>
      </w:pPr>
      <w:r>
        <w:drawing>
          <wp:inline distT="0" distB="0" distL="0" distR="0">
            <wp:extent cx="5940000" cy="3712500"/>
            <wp:docPr id="22" name="Image 22" descr="Efficacité des jetons (comparaison des produits)"/>
            <wp:cNvGraphicFramePr>
              <a:graphicFrameLocks noChangeAspect="1"/>
            </wp:cNvGraphicFramePr>
            <a:graphic>
              <a:graphicData uri="http://schemas.openxmlformats.org/drawingml/2006/picture">
                <pic:pic>
                  <pic:nvPicPr>
                    <pic:cNvPr id="22" name="efficiency.png"/>
                    <pic:cNvPicPr/>
                  </pic:nvPicPr>
                  <pic:blipFill>
                    <a:blip r:embed="rIdImg22"/>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4" w:name="_Fig00084"/>
      <w:r>
        <w:rPr/>
        <w:t xml:space="preserve">Figure </w:t>
      </w:r>
      <w:fldSimple w:instr=" SEQ Figure \* ARABIC ">
        <w:r>
          <w:t>21</w:t>
        </w:r>
      </w:fldSimple>
      <w:r>
        <w:rPr/>
        <w:t xml:space="preserve"> – Efficacité des jetons (comparaison des produits)</w:t>
      </w:r>
      <w:bookmarkEnd w:id="84"/>
    </w:p>
    <w:p>
      <w:pPr>
        <w:pStyle w:val="Figure"/>
        <w:keepNext/>
      </w:pPr>
      <w:r>
        <w:drawing>
          <wp:inline distT="0" distB="0" distL="0" distR="0">
            <wp:extent cx="5940000" cy="3712500"/>
            <wp:docPr id="23" name="Image 23" descr="Efficacité d'un produit (MATLAB) en nombre de jetons"/>
            <wp:cNvGraphicFramePr>
              <a:graphicFrameLocks noChangeAspect="1"/>
            </wp:cNvGraphicFramePr>
            <a:graphic>
              <a:graphicData uri="http://schemas.openxmlformats.org/drawingml/2006/picture">
                <pic:pic>
                  <pic:nvPicPr>
                    <pic:cNvPr id="23" name="efficiency_one.png"/>
                    <pic:cNvPicPr/>
                  </pic:nvPicPr>
                  <pic:blipFill>
                    <a:blip r:embed="rIdImg23"/>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5" w:name="_Fig00085"/>
      <w:r>
        <w:rPr/>
        <w:t xml:space="preserve">Figure </w:t>
      </w:r>
      <w:fldSimple w:instr=" SEQ Figure \* ARABIC ">
        <w:r>
          <w:t>22</w:t>
        </w:r>
      </w:fldSimple>
      <w:r>
        <w:rPr/>
        <w:t xml:space="preserve"> – Efficacité d'un produit (MATLAB) en nombre de jetons</w:t>
      </w:r>
      <w:bookmarkEnd w:id="85"/>
    </w:p>
    <w:p>
      <w:pPr/>
      <w:r>
        <w:rPr>
          <w:b/>
        </w:rPr>
        <w:t xml:space="preserve">Optimisation &amp; coûts</w:t>
      </w:r>
      <w:r>
        <w:rPr/>
        <w:t xml:space="preserve"> : coût annuel du parc, économies potentielles, coût par heure d'usage et recommandation par produit (réduire, adapté, pénurie). Un produit avec refus ou saturations fréquentes n'est jamais proposé à la baisse.</w:t>
      </w:r>
    </w:p>
    <w:p>
      <w:pPr>
        <w:pStyle w:val="Figure"/>
        <w:keepNext/>
      </w:pPr>
      <w:r>
        <w:drawing>
          <wp:inline distT="0" distB="0" distL="0" distR="0">
            <wp:extent cx="5940000" cy="3712500"/>
            <wp:docPr id="24" name="Image 24" descr="Optimisation et coûts"/>
            <wp:cNvGraphicFramePr>
              <a:graphicFrameLocks noChangeAspect="1"/>
            </wp:cNvGraphicFramePr>
            <a:graphic>
              <a:graphicData uri="http://schemas.openxmlformats.org/drawingml/2006/picture">
                <pic:pic>
                  <pic:nvPicPr>
                    <pic:cNvPr id="24" name="optimization.png"/>
                    <pic:cNvPicPr/>
                  </pic:nvPicPr>
                  <pic:blipFill>
                    <a:blip r:embed="rIdImg24"/>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6" w:name="_Fig00086"/>
      <w:r>
        <w:rPr/>
        <w:t xml:space="preserve">Figure </w:t>
      </w:r>
      <w:fldSimple w:instr=" SEQ Figure \* ARABIC ">
        <w:r>
          <w:t>23</w:t>
        </w:r>
      </w:fldSimple>
      <w:r>
        <w:rPr/>
        <w:t xml:space="preserve"> – Optimisation et coûts</w:t>
      </w:r>
      <w:bookmarkEnd w:id="86"/>
    </w:p>
    <w:p>
      <w:pPr/>
      <w:r>
        <w:rPr>
          <w:b/>
        </w:rPr>
        <w:t xml:space="preserve">Contention</w:t>
      </w:r>
      <w:r>
        <w:rPr/>
        <w:t xml:space="preserve"> liste les jours avec saturation ou refus ; </w:t>
      </w:r>
      <w:r>
        <w:rPr>
          <w:b/>
        </w:rPr>
        <w:t xml:space="preserve">Refus</w:t>
      </w:r>
      <w:r>
        <w:rPr/>
        <w:t xml:space="preserve"> détaille chaque demande refusée (utilisateur, poste, produit, motif).</w:t>
      </w:r>
    </w:p>
    <w:p>
      <w:pPr>
        <w:pStyle w:val="Figure"/>
        <w:keepNext/>
      </w:pPr>
      <w:r>
        <w:drawing>
          <wp:inline distT="0" distB="0" distL="0" distR="0">
            <wp:extent cx="5940000" cy="3712500"/>
            <wp:docPr id="25" name="Image 25" descr="Contention"/>
            <wp:cNvGraphicFramePr>
              <a:graphicFrameLocks noChangeAspect="1"/>
            </wp:cNvGraphicFramePr>
            <a:graphic>
              <a:graphicData uri="http://schemas.openxmlformats.org/drawingml/2006/picture">
                <pic:pic>
                  <pic:nvPicPr>
                    <pic:cNvPr id="25" name="contention.png"/>
                    <pic:cNvPicPr/>
                  </pic:nvPicPr>
                  <pic:blipFill>
                    <a:blip r:embed="rIdImg25"/>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7" w:name="_Fig00087"/>
      <w:r>
        <w:rPr/>
        <w:t xml:space="preserve">Figure </w:t>
      </w:r>
      <w:fldSimple w:instr=" SEQ Figure \* ARABIC ">
        <w:r>
          <w:t>24</w:t>
        </w:r>
      </w:fldSimple>
      <w:r>
        <w:rPr/>
        <w:t xml:space="preserve"> – Contention</w:t>
      </w:r>
      <w:bookmarkEnd w:id="87"/>
    </w:p>
    <w:p>
      <w:pPr>
        <w:pStyle w:val="Figure"/>
        <w:keepNext/>
      </w:pPr>
      <w:r>
        <w:drawing>
          <wp:inline distT="0" distB="0" distL="0" distR="0">
            <wp:extent cx="5940000" cy="3712500"/>
            <wp:docPr id="26" name="Image 26" descr="Refus de licence"/>
            <wp:cNvGraphicFramePr>
              <a:graphicFrameLocks noChangeAspect="1"/>
            </wp:cNvGraphicFramePr>
            <a:graphic>
              <a:graphicData uri="http://schemas.openxmlformats.org/drawingml/2006/picture">
                <pic:pic>
                  <pic:nvPicPr>
                    <pic:cNvPr id="26" name="denials.png"/>
                    <pic:cNvPicPr/>
                  </pic:nvPicPr>
                  <pic:blipFill>
                    <a:blip r:embed="rIdImg26"/>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88" w:name="_Fig00088"/>
      <w:r>
        <w:rPr/>
        <w:t xml:space="preserve">Figure </w:t>
      </w:r>
      <w:fldSimple w:instr=" SEQ Figure \* ARABIC ">
        <w:r>
          <w:t>25</w:t>
        </w:r>
      </w:fldSimple>
      <w:r>
        <w:rPr/>
        <w:t xml:space="preserve"> – Refus de licence</w:t>
      </w:r>
      <w:bookmarkEnd w:id="88"/>
    </w:p>
    <w:p>
      <w:pPr>
        <w:pStyle w:val="Heading2"/>
      </w:pPr>
      <w:bookmarkStart w:id="89" w:name="_Toc00089"/>
      <w:r>
        <w:rPr/>
        <w:t xml:space="preserve">8.7 Données</w:t>
      </w:r>
      <w:bookmarkEnd w:id="89"/>
    </w:p>
    <w:p>
      <w:pPr/>
      <w:r>
        <w:rPr>
          <w:b/>
        </w:rPr>
        <w:t xml:space="preserve">Sessions</w:t>
      </w:r>
      <w:r>
        <w:rPr/>
        <w:t xml:space="preserve"> donne les données brutes (une ligne par session) ; </w:t>
      </w:r>
      <w:r>
        <w:rPr>
          <w:b/>
        </w:rPr>
        <w:t xml:space="preserve">Collectes</w:t>
      </w:r>
      <w:r>
        <w:rPr/>
        <w:t xml:space="preserve"> est le journal technique des collectes, utile au support pour diagnostiquer un serveur en échec.</w:t>
      </w:r>
    </w:p>
    <w:p>
      <w:pPr>
        <w:pStyle w:val="Figure"/>
        <w:keepNext/>
      </w:pPr>
      <w:r>
        <w:drawing>
          <wp:inline distT="0" distB="0" distL="0" distR="0">
            <wp:extent cx="5940000" cy="3712500"/>
            <wp:docPr id="27" name="Image 27" descr="Sessions"/>
            <wp:cNvGraphicFramePr>
              <a:graphicFrameLocks noChangeAspect="1"/>
            </wp:cNvGraphicFramePr>
            <a:graphic>
              <a:graphicData uri="http://schemas.openxmlformats.org/drawingml/2006/picture">
                <pic:pic>
                  <pic:nvPicPr>
                    <pic:cNvPr id="27" name="sessions.png"/>
                    <pic:cNvPicPr/>
                  </pic:nvPicPr>
                  <pic:blipFill>
                    <a:blip r:embed="rIdImg27"/>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0" w:name="_Fig00090"/>
      <w:r>
        <w:rPr/>
        <w:t xml:space="preserve">Figure </w:t>
      </w:r>
      <w:fldSimple w:instr=" SEQ Figure \* ARABIC ">
        <w:r>
          <w:t>26</w:t>
        </w:r>
      </w:fldSimple>
      <w:r>
        <w:rPr/>
        <w:t xml:space="preserve"> – Sessions</w:t>
      </w:r>
      <w:bookmarkEnd w:id="90"/>
    </w:p>
    <w:p>
      <w:pPr>
        <w:pStyle w:val="Figure"/>
        <w:keepNext/>
      </w:pPr>
      <w:r>
        <w:drawing>
          <wp:inline distT="0" distB="0" distL="0" distR="0">
            <wp:extent cx="5940000" cy="3712500"/>
            <wp:docPr id="28" name="Image 28" descr="Journal des collectes"/>
            <wp:cNvGraphicFramePr>
              <a:graphicFrameLocks noChangeAspect="1"/>
            </wp:cNvGraphicFramePr>
            <a:graphic>
              <a:graphicData uri="http://schemas.openxmlformats.org/drawingml/2006/picture">
                <pic:pic>
                  <pic:nvPicPr>
                    <pic:cNvPr id="28" name="collections.png"/>
                    <pic:cNvPicPr/>
                  </pic:nvPicPr>
                  <pic:blipFill>
                    <a:blip r:embed="rIdImg28"/>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1" w:name="_Fig00091"/>
      <w:r>
        <w:rPr/>
        <w:t xml:space="preserve">Figure </w:t>
      </w:r>
      <w:fldSimple w:instr=" SEQ Figure \* ARABIC ">
        <w:r>
          <w:t>27</w:t>
        </w:r>
      </w:fldSimple>
      <w:r>
        <w:rPr/>
        <w:t xml:space="preserve"> – Journal des collectes</w:t>
      </w:r>
      <w:bookmarkEnd w:id="91"/>
    </w:p>
    <w:p>
      <w:pPr>
        <w:pStyle w:val="Heading2"/>
      </w:pPr>
      <w:bookmarkStart w:id="92" w:name="_Toc00092"/>
      <w:r>
        <w:rPr/>
        <w:t xml:space="preserve">8.8 Exports</w:t>
      </w:r>
      <w:bookmarkEnd w:id="92"/>
    </w:p>
    <w:p>
      <w:pPr>
        <w:pStyle w:val="Caption"/>
        <w:keepNext/>
      </w:pPr>
      <w:r>
        <w:rPr/>
        <w:t xml:space="preserve">Tableau 21 – Exports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4956"/>
        <w:gridCol w:w="2753"/>
      </w:tblGrid>
      <w:tr>
        <w:trPr>
          <w:tblHeader/>
          <w:cantSplit/>
        </w:trPr>
        <w:tc>
          <w:tcPr>
            <w:tcW w:w="1927" w:type="dxa"/>
            <w:shd w:val="clear" w:color="auto" w:fill="2A78D6"/>
          </w:tcPr>
          <w:p>
            <w:pPr>
              <w:pStyle w:val="TableText"/>
            </w:pPr>
            <w:r>
              <w:rPr>
                <w:b/>
                <w:color w:val="FFFFFF"/>
                <w:sz w:val="18"/>
                <w:szCs w:val="18"/>
              </w:rPr>
              <w:t xml:space="preserve">Bouton</w:t>
            </w:r>
          </w:p>
        </w:tc>
        <w:tc>
          <w:tcPr>
            <w:tcW w:w="4956" w:type="dxa"/>
            <w:shd w:val="clear" w:color="auto" w:fill="2A78D6"/>
          </w:tcPr>
          <w:p>
            <w:pPr>
              <w:pStyle w:val="TableText"/>
            </w:pPr>
            <w:r>
              <w:rPr>
                <w:b/>
                <w:color w:val="FFFFFF"/>
                <w:sz w:val="18"/>
                <w:szCs w:val="18"/>
              </w:rPr>
              <w:t xml:space="preserve">Contenu</w:t>
            </w:r>
          </w:p>
        </w:tc>
        <w:tc>
          <w:tcPr>
            <w:tcW w:w="2753" w:type="dxa"/>
            <w:shd w:val="clear" w:color="auto" w:fill="2A78D6"/>
          </w:tcPr>
          <w:p>
            <w:pPr>
              <w:pStyle w:val="TableText"/>
            </w:pPr>
            <w:r>
              <w:rPr>
                <w:b/>
                <w:color w:val="FFFFFF"/>
                <w:sz w:val="18"/>
                <w:szCs w:val="18"/>
              </w:rPr>
              <w:t xml:space="preserve">Usage</w:t>
            </w:r>
          </w:p>
        </w:tc>
      </w:tr>
      <w:tr>
        <w:trPr>
          <w:cantSplit/>
        </w:trPr>
        <w:tc>
          <w:tcPr>
            <w:tcW w:w="1927" w:type="dxa"/>
          </w:tcPr>
          <w:p>
            <w:pPr>
              <w:pStyle w:val="TableText"/>
            </w:pPr>
            <w:r>
              <w:rPr>
                <w:sz w:val="18"/>
                <w:szCs w:val="18"/>
              </w:rPr>
              <w:t xml:space="preserve">Excel</w:t>
            </w:r>
          </w:p>
        </w:tc>
        <w:tc>
          <w:tcPr>
            <w:tcW w:w="4956" w:type="dxa"/>
          </w:tcPr>
          <w:p>
            <w:pPr>
              <w:pStyle w:val="TableText"/>
            </w:pPr>
            <w:r>
              <w:rPr>
                <w:sz w:val="18"/>
                <w:szCs w:val="18"/>
              </w:rPr>
              <w:t xml:space="preserve">La vue affichée, avec graphique natif</w:t>
            </w:r>
          </w:p>
        </w:tc>
        <w:tc>
          <w:tcPr>
            <w:tcW w:w="2753" w:type="dxa"/>
          </w:tcPr>
          <w:p>
            <w:pPr>
              <w:pStyle w:val="TableText"/>
            </w:pPr>
            <w:r>
              <w:rPr>
                <w:sz w:val="18"/>
                <w:szCs w:val="18"/>
              </w:rPr>
              <w:t xml:space="preserve">Présentation, retraitement</w:t>
            </w:r>
          </w:p>
        </w:tc>
      </w:tr>
      <w:tr>
        <w:trPr>
          <w:cantSplit/>
        </w:trPr>
        <w:tc>
          <w:tcPr>
            <w:tcW w:w="1927" w:type="dxa"/>
            <w:shd w:val="clear" w:color="auto" w:fill="F4F7FC"/>
          </w:tcPr>
          <w:p>
            <w:pPr>
              <w:pStyle w:val="TableText"/>
            </w:pPr>
            <w:r>
              <w:rPr>
                <w:sz w:val="18"/>
                <w:szCs w:val="18"/>
              </w:rPr>
              <w:t xml:space="preserve">CSV</w:t>
            </w:r>
          </w:p>
        </w:tc>
        <w:tc>
          <w:tcPr>
            <w:tcW w:w="4956" w:type="dxa"/>
            <w:shd w:val="clear" w:color="auto" w:fill="F4F7FC"/>
          </w:tcPr>
          <w:p>
            <w:pPr>
              <w:pStyle w:val="TableText"/>
            </w:pPr>
            <w:r>
              <w:rPr>
                <w:sz w:val="18"/>
                <w:szCs w:val="18"/>
              </w:rPr>
              <w:t xml:space="preserve">La vue affichée, séparateur « ; », UTF-8 (ouverture directe dans Excel français)</w:t>
            </w:r>
          </w:p>
        </w:tc>
        <w:tc>
          <w:tcPr>
            <w:tcW w:w="2753" w:type="dxa"/>
            <w:shd w:val="clear" w:color="auto" w:fill="F4F7FC"/>
          </w:tcPr>
          <w:p>
            <w:pPr>
              <w:pStyle w:val="TableText"/>
            </w:pPr>
            <w:r>
              <w:rPr>
                <w:sz w:val="18"/>
                <w:szCs w:val="18"/>
              </w:rPr>
              <w:t xml:space="preserve">Import dans d'autres outils</w:t>
            </w:r>
          </w:p>
        </w:tc>
      </w:tr>
      <w:tr>
        <w:trPr>
          <w:cantSplit/>
        </w:trPr>
        <w:tc>
          <w:tcPr>
            <w:tcW w:w="1927" w:type="dxa"/>
          </w:tcPr>
          <w:p>
            <w:pPr>
              <w:pStyle w:val="TableText"/>
            </w:pPr>
            <w:r>
              <w:rPr>
                <w:sz w:val="18"/>
                <w:szCs w:val="18"/>
              </w:rPr>
              <w:t xml:space="preserve">JSON</w:t>
            </w:r>
          </w:p>
        </w:tc>
        <w:tc>
          <w:tcPr>
            <w:tcW w:w="4956" w:type="dxa"/>
          </w:tcPr>
          <w:p>
            <w:pPr>
              <w:pStyle w:val="TableText"/>
            </w:pPr>
            <w:r>
              <w:rPr>
                <w:sz w:val="18"/>
                <w:szCs w:val="18"/>
              </w:rPr>
              <w:t xml:space="preserve">La vue affichée</w:t>
            </w:r>
          </w:p>
        </w:tc>
        <w:tc>
          <w:tcPr>
            <w:tcW w:w="2753" w:type="dxa"/>
          </w:tcPr>
          <w:p>
            <w:pPr>
              <w:pStyle w:val="TableText"/>
            </w:pPr>
            <w:r>
              <w:rPr>
                <w:sz w:val="18"/>
                <w:szCs w:val="18"/>
              </w:rPr>
              <w:t xml:space="preserve">Intégration technique</w:t>
            </w:r>
          </w:p>
        </w:tc>
      </w:tr>
      <w:tr>
        <w:trPr>
          <w:cantSplit/>
        </w:trPr>
        <w:tc>
          <w:tcPr>
            <w:tcW w:w="1927" w:type="dxa"/>
            <w:shd w:val="clear" w:color="auto" w:fill="F4F7FC"/>
          </w:tcPr>
          <w:p>
            <w:pPr>
              <w:pStyle w:val="TableText"/>
            </w:pPr>
            <w:r>
              <w:rPr>
                <w:sz w:val="18"/>
                <w:szCs w:val="18"/>
              </w:rPr>
              <w:t xml:space="preserve">Rapport complet</w:t>
            </w:r>
          </w:p>
        </w:tc>
        <w:tc>
          <w:tcPr>
            <w:tcW w:w="4956" w:type="dxa"/>
            <w:shd w:val="clear" w:color="auto" w:fill="F4F7FC"/>
          </w:tcPr>
          <w:p>
            <w:pPr>
              <w:pStyle w:val="TableText"/>
            </w:pPr>
            <w:r>
              <w:rPr>
                <w:sz w:val="18"/>
                <w:szCs w:val="18"/>
              </w:rPr>
              <w:t xml:space="preserve">Classeur 8 onglets sur la période et les filtres serveurs / produits</w:t>
            </w:r>
          </w:p>
        </w:tc>
        <w:tc>
          <w:tcPr>
            <w:tcW w:w="2753" w:type="dxa"/>
            <w:shd w:val="clear" w:color="auto" w:fill="F4F7FC"/>
          </w:tcPr>
          <w:p>
            <w:pPr>
              <w:pStyle w:val="TableText"/>
            </w:pPr>
            <w:r>
              <w:rPr>
                <w:sz w:val="18"/>
                <w:szCs w:val="18"/>
              </w:rPr>
              <w:t xml:space="preserve">Rapport mensuel à la demande</w:t>
            </w:r>
          </w:p>
        </w:tc>
      </w:tr>
    </w:tbl>
    <w:p>
      <w:pPr>
        <w:spacing w:after="80"/>
      </w:pPr>
    </w:p>
    <w:p>
      <w:pPr/>
      <w:r>
        <w:rPr/>
        <w:t xml:space="preserve">Les exports contiennent toutes les lignes (le tableau à l'écran est paginé). Les cellules commençant par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w:t>
      </w:r>
      <w:r>
        <w:rPr>
          <w:rFonts w:ascii="Consolas" w:hAnsi="Consolas" w:cs="Consolas"/>
          <w:color w:val="1C5CAB"/>
          <w:sz w:val="18"/>
          <w:szCs w:val="18"/>
          <w:shd w:val="clear" w:color="auto" w:fill="EEF3FA"/>
        </w:rPr>
        <w:t xml:space="preserve">-</w:t>
      </w:r>
      <w:r>
        <w:rPr/>
        <w:t xml:space="preserve"> ou </w:t>
      </w:r>
      <w:r>
        <w:rPr>
          <w:rFonts w:ascii="Consolas" w:hAnsi="Consolas" w:cs="Consolas"/>
          <w:color w:val="1C5CAB"/>
          <w:sz w:val="18"/>
          <w:szCs w:val="18"/>
          <w:shd w:val="clear" w:color="auto" w:fill="EEF3FA"/>
        </w:rPr>
        <w:t xml:space="preserve">@</w:t>
      </w:r>
      <w:r>
        <w:rPr/>
        <w:t xml:space="preserve"> sont neutralisées pour empêcher l'injection de formules. Chaque export est tracé dans le journal d'audit.</w:t>
      </w:r>
    </w:p>
    <w:p>
      <w:pPr>
        <w:pStyle w:val="Heading2"/>
      </w:pPr>
      <w:bookmarkStart w:id="93" w:name="_Toc00093"/>
      <w:r>
        <w:rPr/>
        <w:t xml:space="preserve">8.9 Thème et affichage mobile</w:t>
      </w:r>
      <w:bookmarkEnd w:id="93"/>
    </w:p>
    <w:p>
      <w:pPr/>
      <w:r>
        <w:rPr/>
        <w:t xml:space="preserve">Le thème suit celui du système (Auto) ou peut être forcé en Clair / Sombre ; le choix est mémorisé. Sur téléphone, la barre latérale devient un menu escamotable.</w:t>
      </w:r>
    </w:p>
    <w:p>
      <w:pPr>
        <w:pStyle w:val="Figure"/>
        <w:keepNext/>
      </w:pPr>
      <w:r>
        <w:drawing>
          <wp:inline distT="0" distB="0" distL="0" distR="0">
            <wp:extent cx="5940000" cy="3712500"/>
            <wp:docPr id="29" name="Image 29" descr="Tableau de bord en thème sombre"/>
            <wp:cNvGraphicFramePr>
              <a:graphicFrameLocks noChangeAspect="1"/>
            </wp:cNvGraphicFramePr>
            <a:graphic>
              <a:graphicData uri="http://schemas.openxmlformats.org/drawingml/2006/picture">
                <pic:pic>
                  <pic:nvPicPr>
                    <pic:cNvPr id="29" name="dashboard_dark.png"/>
                    <pic:cNvPicPr/>
                  </pic:nvPicPr>
                  <pic:blipFill>
                    <a:blip r:embed="rIdImg29"/>
                    <a:stretch>
                      <a:fillRect/>
                    </a:stretch>
                  </pic:blipFill>
                  <pic:spPr>
                    <a:xfrm>
                      <a:off x="0" y="0"/>
                      <a:ext cx="5940000" cy="3712500"/>
                    </a:xfrm>
                    <a:prstGeom prst="rect">
                      <a:avLst/>
                    </a:prstGeom>
                    <a:ln w="9525">
                      <a:solidFill>
                        <a:srgbClr val="D9D8D2"/>
                      </a:solidFill>
                    </a:ln>
                  </pic:spPr>
                </pic:pic>
              </a:graphicData>
            </a:graphic>
          </wp:inline>
        </w:drawing>
      </w:r>
    </w:p>
    <w:p>
      <w:pPr>
        <w:pStyle w:val="Caption"/>
      </w:pPr>
      <w:bookmarkStart w:id="94" w:name="_Fig00094"/>
      <w:r>
        <w:rPr/>
        <w:t xml:space="preserve">Figure </w:t>
      </w:r>
      <w:fldSimple w:instr=" SEQ Figure \* ARABIC ">
        <w:r>
          <w:t>28</w:t>
        </w:r>
      </w:fldSimple>
      <w:r>
        <w:rPr/>
        <w:t xml:space="preserve"> – Tableau de bord en thème sombre</w:t>
      </w:r>
      <w:bookmarkEnd w:id="94"/>
    </w:p>
    <w:tbl>
      <w:tblPr>
        <w:tblW w:w="9638" w:type="dxa"/>
        <w:tblLayout w:type="fixed"/>
      </w:tblPr>
      <w:tblGrid>
        <w:gridCol w:w="4819"/>
        <w:gridCol w:w="4819"/>
      </w:tblGrid>
      <w:tr>
        <w:trPr>
          <w:cantSplit/>
        </w:trPr>
        <w:tc>
          <w:tcPr>
            <w:tcW w:w="4819" w:type="dxa"/>
          </w:tcPr>
          <w:p>
            <w:pPr>
              <w:jc w:val="center"/>
            </w:pPr>
            <w:r>
              <w:drawing>
                <wp:inline distT="0" distB="0" distL="0" distR="0">
                  <wp:extent cx="1872000" cy="4047049"/>
                  <wp:docPr id="30" name="Image 30"/>
                  <wp:cNvGraphicFramePr>
                    <a:graphicFrameLocks noChangeAspect="1"/>
                  </wp:cNvGraphicFramePr>
                  <a:graphic>
                    <a:graphicData uri="http://schemas.openxmlformats.org/drawingml/2006/picture">
                      <pic:pic>
                        <pic:nvPicPr>
                          <pic:cNvPr id="30" name="mobile_dashboard.png"/>
                          <pic:cNvPicPr/>
                        </pic:nvPicPr>
                        <pic:blipFill>
                          <a:blip r:embed="rIdImg30"/>
                          <a:stretch>
                            <a:fillRect/>
                          </a:stretch>
                        </pic:blipFill>
                        <pic:spPr>
                          <a:xfrm>
                            <a:off x="0" y="0"/>
                            <a:ext cx="1872000" cy="4047049"/>
                          </a:xfrm>
                          <a:prstGeom prst="rect">
                            <a:avLst/>
                          </a:prstGeom>
                          <a:ln w="9525">
                            <a:solidFill>
                              <a:srgbClr val="D9D8D2"/>
                            </a:solidFill>
                          </a:ln>
                        </pic:spPr>
                      </pic:pic>
                    </a:graphicData>
                  </a:graphic>
                </wp:inline>
              </w:drawing>
            </w:r>
          </w:p>
        </w:tc>
        <w:tc>
          <w:tcPr>
            <w:tcW w:w="4819" w:type="dxa"/>
          </w:tcPr>
          <w:p>
            <w:pPr>
              <w:jc w:val="center"/>
            </w:pPr>
            <w:r>
              <w:drawing>
                <wp:inline distT="0" distB="0" distL="0" distR="0">
                  <wp:extent cx="1872000" cy="4047049"/>
                  <wp:docPr id="31" name="Image 31"/>
                  <wp:cNvGraphicFramePr>
                    <a:graphicFrameLocks noChangeAspect="1"/>
                  </wp:cNvGraphicFramePr>
                  <a:graphic>
                    <a:graphicData uri="http://schemas.openxmlformats.org/drawingml/2006/picture">
                      <pic:pic>
                        <pic:nvPicPr>
                          <pic:cNvPr id="31" name="mobile_menu.png"/>
                          <pic:cNvPicPr/>
                        </pic:nvPicPr>
                        <pic:blipFill>
                          <a:blip r:embed="rIdImg31"/>
                          <a:stretch>
                            <a:fillRect/>
                          </a:stretch>
                        </pic:blipFill>
                        <pic:spPr>
                          <a:xfrm>
                            <a:off x="0" y="0"/>
                            <a:ext cx="1872000" cy="4047049"/>
                          </a:xfrm>
                          <a:prstGeom prst="rect">
                            <a:avLst/>
                          </a:prstGeom>
                          <a:ln w="9525">
                            <a:solidFill>
                              <a:srgbClr val="D9D8D2"/>
                            </a:solidFill>
                          </a:ln>
                        </pic:spPr>
                      </pic:pic>
                    </a:graphicData>
                  </a:graphic>
                </wp:inline>
              </w:drawing>
            </w:r>
          </w:p>
        </w:tc>
      </w:tr>
    </w:tbl>
    <w:p>
      <w:pPr>
        <w:pStyle w:val="Caption"/>
      </w:pPr>
      <w:bookmarkStart w:id="95" w:name="_Fig00095"/>
      <w:r>
        <w:rPr/>
        <w:t xml:space="preserve">Figure </w:t>
      </w:r>
      <w:fldSimple w:instr=" SEQ Figure \* ARABIC ">
        <w:r>
          <w:t>29</w:t>
        </w:r>
      </w:fldSimple>
      <w:r>
        <w:rPr/>
        <w:t xml:space="preserve"> – Affichage sur téléphone : tableau de bord et menu</w:t>
      </w:r>
      <w:bookmarkEnd w:id="95"/>
    </w:p>
    <w:p>
      <w:pPr>
        <w:pStyle w:val="Heading2"/>
      </w:pPr>
      <w:bookmarkStart w:id="96" w:name="_Toc00096"/>
      <w:r>
        <w:rPr/>
        <w:t xml:space="preserve">8.10 Rapport Excel mensuel</w:t>
      </w:r>
      <w:bookmarkEnd w:id="96"/>
    </w:p>
    <w:p>
      <w:pPr/>
      <w:r>
        <w:rPr/>
        <w:t xml:space="preserve">La tâche « FreeLM - Rapport mensuel » dépose le classeur du mois précédent dans </w:t>
      </w:r>
      <w:r>
        <w:rPr>
          <w:rFonts w:ascii="Consolas" w:hAnsi="Consolas" w:cs="Consolas"/>
          <w:color w:val="1C5CAB"/>
          <w:sz w:val="18"/>
          <w:szCs w:val="18"/>
          <w:shd w:val="clear" w:color="auto" w:fill="EEF3FA"/>
        </w:rPr>
        <w:t xml:space="preserve">reporting.output_dir</w:t>
      </w:r>
      <w:r>
        <w:rPr/>
        <w:t xml:space="preserve">. Il est également joint aux e-mails des abonnés.</w:t>
      </w:r>
    </w:p>
    <w:p>
      <w:pPr>
        <w:pStyle w:val="Caption"/>
        <w:keepNext/>
      </w:pPr>
      <w:r>
        <w:rPr/>
        <w:t xml:space="preserve">Tableau 22 – Onglets du rapport Excel</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065"/>
        <w:gridCol w:w="7572"/>
      </w:tblGrid>
      <w:tr>
        <w:trPr>
          <w:tblHeader/>
          <w:cantSplit/>
        </w:trPr>
        <w:tc>
          <w:tcPr>
            <w:tcW w:w="2065" w:type="dxa"/>
            <w:shd w:val="clear" w:color="auto" w:fill="2A78D6"/>
          </w:tcPr>
          <w:p>
            <w:pPr>
              <w:pStyle w:val="TableText"/>
            </w:pPr>
            <w:r>
              <w:rPr>
                <w:b/>
                <w:color w:val="FFFFFF"/>
                <w:sz w:val="18"/>
                <w:szCs w:val="18"/>
              </w:rPr>
              <w:t xml:space="preserve">Onglet</w:t>
            </w:r>
          </w:p>
        </w:tc>
        <w:tc>
          <w:tcPr>
            <w:tcW w:w="7572" w:type="dxa"/>
            <w:shd w:val="clear" w:color="auto" w:fill="2A78D6"/>
          </w:tcPr>
          <w:p>
            <w:pPr>
              <w:pStyle w:val="TableText"/>
            </w:pPr>
            <w:r>
              <w:rPr>
                <w:b/>
                <w:color w:val="FFFFFF"/>
                <w:sz w:val="18"/>
                <w:szCs w:val="18"/>
              </w:rPr>
              <w:t xml:space="preserve">Contenu</w:t>
            </w:r>
          </w:p>
        </w:tc>
      </w:tr>
      <w:tr>
        <w:trPr>
          <w:cantSplit/>
        </w:trPr>
        <w:tc>
          <w:tcPr>
            <w:tcW w:w="2065" w:type="dxa"/>
          </w:tcPr>
          <w:p>
            <w:pPr>
              <w:pStyle w:val="TableText"/>
            </w:pPr>
            <w:r>
              <w:rPr>
                <w:sz w:val="18"/>
                <w:szCs w:val="18"/>
              </w:rPr>
              <w:t xml:space="preserve">Synthèse</w:t>
            </w:r>
          </w:p>
        </w:tc>
        <w:tc>
          <w:tcPr>
            <w:tcW w:w="7572" w:type="dxa"/>
          </w:tcPr>
          <w:p>
            <w:pPr>
              <w:pStyle w:val="TableText"/>
            </w:pPr>
            <w:r>
              <w:rPr>
                <w:sz w:val="18"/>
                <w:szCs w:val="18"/>
              </w:rPr>
              <w:t xml:space="preserve">Par produit : jetons émis, pic, moyenne, taux, heures saturées, refus, utilisateurs, heures ; graphique</w:t>
            </w:r>
          </w:p>
        </w:tc>
      </w:tr>
      <w:tr>
        <w:trPr>
          <w:cantSplit/>
        </w:trPr>
        <w:tc>
          <w:tcPr>
            <w:tcW w:w="2065" w:type="dxa"/>
            <w:shd w:val="clear" w:color="auto" w:fill="F4F7FC"/>
          </w:tcPr>
          <w:p>
            <w:pPr>
              <w:pStyle w:val="TableText"/>
            </w:pPr>
            <w:r>
              <w:rPr>
                <w:sz w:val="18"/>
                <w:szCs w:val="18"/>
              </w:rPr>
              <w:t xml:space="preserve">Usage quotidien</w:t>
            </w:r>
          </w:p>
        </w:tc>
        <w:tc>
          <w:tcPr>
            <w:tcW w:w="7572" w:type="dxa"/>
            <w:shd w:val="clear" w:color="auto" w:fill="F4F7FC"/>
          </w:tcPr>
          <w:p>
            <w:pPr>
              <w:pStyle w:val="TableText"/>
            </w:pPr>
            <w:r>
              <w:rPr>
                <w:sz w:val="18"/>
                <w:szCs w:val="18"/>
              </w:rPr>
              <w:t xml:space="preserve">Date × produit (pic de jetons) et courbes des principaux produits</w:t>
            </w:r>
          </w:p>
        </w:tc>
      </w:tr>
      <w:tr>
        <w:trPr>
          <w:cantSplit/>
        </w:trPr>
        <w:tc>
          <w:tcPr>
            <w:tcW w:w="2065" w:type="dxa"/>
          </w:tcPr>
          <w:p>
            <w:pPr>
              <w:pStyle w:val="TableText"/>
            </w:pPr>
            <w:r>
              <w:rPr>
                <w:sz w:val="18"/>
                <w:szCs w:val="18"/>
              </w:rPr>
              <w:t xml:space="preserve">Utilisateurs</w:t>
            </w:r>
          </w:p>
        </w:tc>
        <w:tc>
          <w:tcPr>
            <w:tcW w:w="7572" w:type="dxa"/>
          </w:tcPr>
          <w:p>
            <w:pPr>
              <w:pStyle w:val="TableText"/>
            </w:pPr>
            <w:r>
              <w:rPr>
                <w:sz w:val="18"/>
                <w:szCs w:val="18"/>
              </w:rPr>
              <w:t xml:space="preserve">Utilisateur × produit (heures) et graphique</w:t>
            </w:r>
          </w:p>
        </w:tc>
      </w:tr>
      <w:tr>
        <w:trPr>
          <w:cantSplit/>
        </w:trPr>
        <w:tc>
          <w:tcPr>
            <w:tcW w:w="2065" w:type="dxa"/>
            <w:shd w:val="clear" w:color="auto" w:fill="F4F7FC"/>
          </w:tcPr>
          <w:p>
            <w:pPr>
              <w:pStyle w:val="TableText"/>
            </w:pPr>
            <w:r>
              <w:rPr>
                <w:sz w:val="18"/>
                <w:szCs w:val="18"/>
              </w:rPr>
              <w:t xml:space="preserve">Profil horaire</w:t>
            </w:r>
          </w:p>
        </w:tc>
        <w:tc>
          <w:tcPr>
            <w:tcW w:w="7572" w:type="dxa"/>
            <w:shd w:val="clear" w:color="auto" w:fill="F4F7FC"/>
          </w:tcPr>
          <w:p>
            <w:pPr>
              <w:pStyle w:val="TableText"/>
            </w:pPr>
            <w:r>
              <w:rPr>
                <w:sz w:val="18"/>
                <w:szCs w:val="18"/>
              </w:rPr>
              <w:t xml:space="preserve">Carte de chaleur heure × jour de semaine</w:t>
            </w:r>
          </w:p>
        </w:tc>
      </w:tr>
      <w:tr>
        <w:trPr>
          <w:cantSplit/>
        </w:trPr>
        <w:tc>
          <w:tcPr>
            <w:tcW w:w="2065" w:type="dxa"/>
          </w:tcPr>
          <w:p>
            <w:pPr>
              <w:pStyle w:val="TableText"/>
            </w:pPr>
            <w:r>
              <w:rPr>
                <w:sz w:val="18"/>
                <w:szCs w:val="18"/>
              </w:rPr>
              <w:t xml:space="preserve">Contention</w:t>
            </w:r>
          </w:p>
        </w:tc>
        <w:tc>
          <w:tcPr>
            <w:tcW w:w="7572" w:type="dxa"/>
          </w:tcPr>
          <w:p>
            <w:pPr>
              <w:pStyle w:val="TableText"/>
            </w:pPr>
            <w:r>
              <w:rPr>
                <w:sz w:val="18"/>
                <w:szCs w:val="18"/>
              </w:rPr>
              <w:t xml:space="preserve">Jours avec saturation et / ou refus</w:t>
            </w:r>
          </w:p>
        </w:tc>
      </w:tr>
      <w:tr>
        <w:trPr>
          <w:cantSplit/>
        </w:trPr>
        <w:tc>
          <w:tcPr>
            <w:tcW w:w="2065" w:type="dxa"/>
            <w:shd w:val="clear" w:color="auto" w:fill="F4F7FC"/>
          </w:tcPr>
          <w:p>
            <w:pPr>
              <w:pStyle w:val="TableText"/>
            </w:pPr>
            <w:r>
              <w:rPr>
                <w:sz w:val="18"/>
                <w:szCs w:val="18"/>
              </w:rPr>
              <w:t xml:space="preserve">Refus</w:t>
            </w:r>
          </w:p>
        </w:tc>
        <w:tc>
          <w:tcPr>
            <w:tcW w:w="7572" w:type="dxa"/>
            <w:shd w:val="clear" w:color="auto" w:fill="F4F7FC"/>
          </w:tcPr>
          <w:p>
            <w:pPr>
              <w:pStyle w:val="TableText"/>
            </w:pPr>
            <w:r>
              <w:rPr>
                <w:sz w:val="18"/>
                <w:szCs w:val="18"/>
              </w:rPr>
              <w:t xml:space="preserve">Détail des refus</w:t>
            </w:r>
          </w:p>
        </w:tc>
      </w:tr>
      <w:tr>
        <w:trPr>
          <w:cantSplit/>
        </w:trPr>
        <w:tc>
          <w:tcPr>
            <w:tcW w:w="2065" w:type="dxa"/>
          </w:tcPr>
          <w:p>
            <w:pPr>
              <w:pStyle w:val="TableText"/>
            </w:pPr>
            <w:r>
              <w:rPr>
                <w:sz w:val="18"/>
                <w:szCs w:val="18"/>
              </w:rPr>
              <w:t xml:space="preserve">Sessions</w:t>
            </w:r>
          </w:p>
        </w:tc>
        <w:tc>
          <w:tcPr>
            <w:tcW w:w="7572" w:type="dxa"/>
          </w:tcPr>
          <w:p>
            <w:pPr>
              <w:pStyle w:val="TableText"/>
            </w:pPr>
            <w:r>
              <w:rPr>
                <w:sz w:val="18"/>
                <w:szCs w:val="18"/>
              </w:rPr>
              <w:t xml:space="preserve">Données brutes sous forme de Tableau Excel (base de tableaux croisés dynamiques)</w:t>
            </w:r>
          </w:p>
        </w:tc>
      </w:tr>
      <w:tr>
        <w:trPr>
          <w:cantSplit/>
        </w:trPr>
        <w:tc>
          <w:tcPr>
            <w:tcW w:w="2065" w:type="dxa"/>
            <w:shd w:val="clear" w:color="auto" w:fill="F4F7FC"/>
          </w:tcPr>
          <w:p>
            <w:pPr>
              <w:pStyle w:val="TableText"/>
            </w:pPr>
            <w:r>
              <w:rPr>
                <w:sz w:val="18"/>
                <w:szCs w:val="18"/>
              </w:rPr>
              <w:t xml:space="preserve">À propos</w:t>
            </w:r>
          </w:p>
        </w:tc>
        <w:tc>
          <w:tcPr>
            <w:tcW w:w="7572" w:type="dxa"/>
            <w:shd w:val="clear" w:color="auto" w:fill="F4F7FC"/>
          </w:tcPr>
          <w:p>
            <w:pPr>
              <w:pStyle w:val="TableText"/>
            </w:pPr>
            <w:r>
              <w:rPr>
                <w:sz w:val="18"/>
                <w:szCs w:val="18"/>
              </w:rPr>
              <w:t xml:space="preserve">Période, filtres, définitions</w:t>
            </w:r>
          </w:p>
        </w:tc>
      </w:tr>
    </w:tbl>
    <w:p>
      <w:pPr>
        <w:spacing w:after="80"/>
      </w:pPr>
    </w:p>
    <w:p>
      <w:pPr>
        <w:pStyle w:val="Heading2"/>
      </w:pPr>
      <w:bookmarkStart w:id="97" w:name="_Toc00097"/>
      <w:r>
        <w:rPr/>
        <w:t xml:space="preserve">8.11 Rapport par e-mail</w:t>
      </w:r>
      <w:bookmarkEnd w:id="97"/>
    </w:p>
    <w:p>
      <w:pPr/>
      <w:r>
        <w:rPr/>
        <w:t xml:space="preserve">Chaque abonné reçoit un résumé HTML (indicateurs, produits en pénurie ou sous-utilisés, détail par produit, lien vers l'interface) et le classeur Excel en pièce jointe.</w:t>
      </w:r>
    </w:p>
    <w:p>
      <w:pPr>
        <w:pStyle w:val="Figure"/>
        <w:keepNext/>
      </w:pPr>
      <w:r>
        <w:drawing>
          <wp:inline distT="0" distB="0" distL="0" distR="0">
            <wp:extent cx="5040000" cy="4725000"/>
            <wp:docPr id="32" name="Image 32" descr="Rapport mensuel reçu par e-mail"/>
            <wp:cNvGraphicFramePr>
              <a:graphicFrameLocks noChangeAspect="1"/>
            </wp:cNvGraphicFramePr>
            <a:graphic>
              <a:graphicData uri="http://schemas.openxmlformats.org/drawingml/2006/picture">
                <pic:pic>
                  <pic:nvPicPr>
                    <pic:cNvPr id="32" name="email.png"/>
                    <pic:cNvPicPr/>
                  </pic:nvPicPr>
                  <pic:blipFill>
                    <a:blip r:embed="rIdImg32"/>
                    <a:stretch>
                      <a:fillRect/>
                    </a:stretch>
                  </pic:blipFill>
                  <pic:spPr>
                    <a:xfrm>
                      <a:off x="0" y="0"/>
                      <a:ext cx="5040000" cy="4725000"/>
                    </a:xfrm>
                    <a:prstGeom prst="rect">
                      <a:avLst/>
                    </a:prstGeom>
                    <a:ln w="9525">
                      <a:solidFill>
                        <a:srgbClr val="D9D8D2"/>
                      </a:solidFill>
                    </a:ln>
                  </pic:spPr>
                </pic:pic>
              </a:graphicData>
            </a:graphic>
          </wp:inline>
        </w:drawing>
      </w:r>
    </w:p>
    <w:p>
      <w:pPr>
        <w:pStyle w:val="Caption"/>
      </w:pPr>
      <w:bookmarkStart w:id="98" w:name="_Fig00098"/>
      <w:r>
        <w:rPr/>
        <w:t xml:space="preserve">Figure </w:t>
      </w:r>
      <w:fldSimple w:instr=" SEQ Figure \* ARABIC ">
        <w:r>
          <w:t>30</w:t>
        </w:r>
      </w:fldSimple>
      <w:r>
        <w:rPr/>
        <w:t xml:space="preserve"> – Rapport mensuel reçu par e-mail</w:t>
      </w:r>
      <w:bookmarkEnd w:id="98"/>
    </w:p>
    <w:p>
      <w:pPr>
        <w:pStyle w:val="Heading1"/>
      </w:pPr>
      <w:bookmarkStart w:id="99" w:name="_Toc00099"/>
      <w:r>
        <w:rPr/>
        <w:t xml:space="preserve">9. Sauvegarde, restauration et rétention</w:t>
      </w:r>
      <w:bookmarkEnd w:id="99"/>
    </w:p>
    <w:p>
      <w:pPr>
        <w:pStyle w:val="Heading2"/>
      </w:pPr>
      <w:bookmarkStart w:id="100" w:name="_Toc00100"/>
      <w:r>
        <w:rPr/>
        <w:t xml:space="preserve">9.1 Éléments à sauvegarder</w:t>
      </w:r>
      <w:bookmarkEnd w:id="100"/>
    </w:p>
    <w:p>
      <w:pPr>
        <w:pStyle w:val="Caption"/>
        <w:keepNext/>
      </w:pPr>
      <w:r>
        <w:rPr/>
        <w:t xml:space="preserve">Tableau 23 – Plan de sauvegarde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606"/>
        <w:gridCol w:w="1977"/>
        <w:gridCol w:w="2718"/>
        <w:gridCol w:w="1853"/>
        <w:gridCol w:w="1482"/>
      </w:tblGrid>
      <w:tr>
        <w:trPr>
          <w:tblHeader/>
          <w:cantSplit/>
        </w:trPr>
        <w:tc>
          <w:tcPr>
            <w:tcW w:w="1606" w:type="dxa"/>
            <w:shd w:val="clear" w:color="auto" w:fill="2A78D6"/>
          </w:tcPr>
          <w:p>
            <w:pPr>
              <w:pStyle w:val="TableText"/>
            </w:pPr>
            <w:r>
              <w:rPr>
                <w:b/>
                <w:color w:val="FFFFFF"/>
                <w:sz w:val="18"/>
                <w:szCs w:val="18"/>
              </w:rPr>
              <w:t xml:space="preserve">Élément</w:t>
            </w:r>
          </w:p>
        </w:tc>
        <w:tc>
          <w:tcPr>
            <w:tcW w:w="1977" w:type="dxa"/>
            <w:shd w:val="clear" w:color="auto" w:fill="2A78D6"/>
          </w:tcPr>
          <w:p>
            <w:pPr>
              <w:pStyle w:val="TableText"/>
            </w:pPr>
            <w:r>
              <w:rPr>
                <w:b/>
                <w:color w:val="FFFFFF"/>
                <w:sz w:val="18"/>
                <w:szCs w:val="18"/>
              </w:rPr>
              <w:t xml:space="preserve">Emplacement</w:t>
            </w:r>
          </w:p>
        </w:tc>
        <w:tc>
          <w:tcPr>
            <w:tcW w:w="2718" w:type="dxa"/>
            <w:shd w:val="clear" w:color="auto" w:fill="2A78D6"/>
          </w:tcPr>
          <w:p>
            <w:pPr>
              <w:pStyle w:val="TableText"/>
            </w:pPr>
            <w:r>
              <w:rPr>
                <w:b/>
                <w:color w:val="FFFFFF"/>
                <w:sz w:val="18"/>
                <w:szCs w:val="18"/>
              </w:rPr>
              <w:t xml:space="preserve">Méthode</w:t>
            </w:r>
          </w:p>
        </w:tc>
        <w:tc>
          <w:tcPr>
            <w:tcW w:w="1853" w:type="dxa"/>
            <w:shd w:val="clear" w:color="auto" w:fill="2A78D6"/>
          </w:tcPr>
          <w:p>
            <w:pPr>
              <w:pStyle w:val="TableText"/>
            </w:pPr>
            <w:r>
              <w:rPr>
                <w:b/>
                <w:color w:val="FFFFFF"/>
                <w:sz w:val="18"/>
                <w:szCs w:val="18"/>
              </w:rPr>
              <w:t xml:space="preserve">Fréquence</w:t>
            </w:r>
          </w:p>
        </w:tc>
        <w:tc>
          <w:tcPr>
            <w:tcW w:w="1482" w:type="dxa"/>
            <w:shd w:val="clear" w:color="auto" w:fill="2A78D6"/>
          </w:tcPr>
          <w:p>
            <w:pPr>
              <w:pStyle w:val="TableText"/>
            </w:pPr>
            <w:r>
              <w:rPr>
                <w:b/>
                <w:color w:val="FFFFFF"/>
                <w:sz w:val="18"/>
                <w:szCs w:val="18"/>
              </w:rPr>
              <w:t xml:space="preserve">Criticité</w:t>
            </w:r>
          </w:p>
        </w:tc>
      </w:tr>
      <w:tr>
        <w:trPr>
          <w:cantSplit/>
        </w:trPr>
        <w:tc>
          <w:tcPr>
            <w:tcW w:w="1606" w:type="dxa"/>
          </w:tcPr>
          <w:p>
            <w:pPr>
              <w:pStyle w:val="TableText"/>
            </w:pPr>
            <w:r>
              <w:rPr>
                <w:sz w:val="18"/>
                <w:szCs w:val="18"/>
              </w:rPr>
              <w:t xml:space="preserve">Base FreeLM</w:t>
            </w:r>
          </w:p>
        </w:tc>
        <w:tc>
          <w:tcPr>
            <w:tcW w:w="1977" w:type="dxa"/>
          </w:tcPr>
          <w:p>
            <w:pPr>
              <w:pStyle w:val="TableText"/>
            </w:pPr>
            <w:r>
              <w:rPr>
                <w:sz w:val="18"/>
                <w:szCs w:val="18"/>
              </w:rPr>
              <w:t xml:space="preserve">SQL Server</w:t>
            </w:r>
          </w:p>
        </w:tc>
        <w:tc>
          <w:tcPr>
            <w:tcW w:w="2718" w:type="dxa"/>
          </w:tcPr>
          <w:p>
            <w:pPr>
              <w:pStyle w:val="TableText"/>
            </w:pPr>
            <w:r>
              <w:rPr>
                <w:sz w:val="18"/>
                <w:szCs w:val="18"/>
              </w:rPr>
              <w:t xml:space="preserve">Sauvegarde complète SQL (modèle SIMPLE)</w:t>
            </w:r>
          </w:p>
        </w:tc>
        <w:tc>
          <w:tcPr>
            <w:tcW w:w="1853" w:type="dxa"/>
          </w:tcPr>
          <w:p>
            <w:pPr>
              <w:pStyle w:val="TableText"/>
            </w:pPr>
            <w:r>
              <w:rPr>
                <w:sz w:val="18"/>
                <w:szCs w:val="18"/>
              </w:rPr>
              <w:t xml:space="preserve">Quotidienne, rétention 30 jours</w:t>
            </w:r>
          </w:p>
        </w:tc>
        <w:tc>
          <w:tcPr>
            <w:tcW w:w="1482" w:type="dxa"/>
          </w:tcPr>
          <w:p>
            <w:pPr>
              <w:pStyle w:val="TableText"/>
            </w:pPr>
            <w:r>
              <w:rPr>
                <w:sz w:val="18"/>
                <w:szCs w:val="18"/>
              </w:rPr>
              <w:t xml:space="preserve">Haute (historique)</w:t>
            </w:r>
          </w:p>
        </w:tc>
      </w:tr>
      <w:tr>
        <w:trPr>
          <w:cantSplit/>
        </w:trPr>
        <w:tc>
          <w:tcPr>
            <w:tcW w:w="1606" w:type="dxa"/>
            <w:shd w:val="clear" w:color="auto" w:fill="F4F7FC"/>
          </w:tcPr>
          <w:p>
            <w:pPr>
              <w:pStyle w:val="TableText"/>
            </w:pPr>
            <w:r>
              <w:rPr>
                <w:sz w:val="18"/>
                <w:szCs w:val="18"/>
              </w:rPr>
              <w:t xml:space="preserve">Configuration</w:t>
            </w:r>
          </w:p>
        </w:tc>
        <w:tc>
          <w:tcPr>
            <w:tcW w:w="1977" w:type="dxa"/>
            <w:shd w:val="clear" w:color="auto" w:fill="F4F7FC"/>
          </w:tcPr>
          <w:p>
            <w:pPr>
              <w:pStyle w:val="TableText"/>
            </w:pPr>
            <w:r>
              <w:rPr>
                <w:sz w:val="18"/>
                <w:szCs w:val="18"/>
              </w:rPr>
              <w:t xml:space="preserve">C:\FreeLM\freelm.yaml</w:t>
            </w:r>
          </w:p>
        </w:tc>
        <w:tc>
          <w:tcPr>
            <w:tcW w:w="2718" w:type="dxa"/>
            <w:shd w:val="clear" w:color="auto" w:fill="F4F7FC"/>
          </w:tcPr>
          <w:p>
            <w:pPr>
              <w:pStyle w:val="TableText"/>
            </w:pPr>
            <w:r>
              <w:rPr>
                <w:sz w:val="18"/>
                <w:szCs w:val="18"/>
              </w:rPr>
              <w:t xml:space="preserve">Sauvegarde fichiers du serveur + copie dans le coffre de configuration</w:t>
            </w:r>
          </w:p>
        </w:tc>
        <w:tc>
          <w:tcPr>
            <w:tcW w:w="1853" w:type="dxa"/>
            <w:shd w:val="clear" w:color="auto" w:fill="F4F7FC"/>
          </w:tcPr>
          <w:p>
            <w:pPr>
              <w:pStyle w:val="TableText"/>
            </w:pPr>
            <w:r>
              <w:rPr>
                <w:sz w:val="18"/>
                <w:szCs w:val="18"/>
              </w:rPr>
              <w:t xml:space="preserve">À chaque modification</w:t>
            </w:r>
          </w:p>
        </w:tc>
        <w:tc>
          <w:tcPr>
            <w:tcW w:w="1482" w:type="dxa"/>
            <w:shd w:val="clear" w:color="auto" w:fill="F4F7FC"/>
          </w:tcPr>
          <w:p>
            <w:pPr>
              <w:pStyle w:val="TableText"/>
            </w:pPr>
            <w:r>
              <w:rPr>
                <w:sz w:val="18"/>
                <w:szCs w:val="18"/>
              </w:rPr>
              <w:t xml:space="preserve">Haute</w:t>
            </w:r>
          </w:p>
        </w:tc>
      </w:tr>
      <w:tr>
        <w:trPr>
          <w:cantSplit/>
        </w:trPr>
        <w:tc>
          <w:tcPr>
            <w:tcW w:w="1606" w:type="dxa"/>
          </w:tcPr>
          <w:p>
            <w:pPr>
              <w:pStyle w:val="TableText"/>
            </w:pPr>
            <w:r>
              <w:rPr>
                <w:sz w:val="18"/>
                <w:szCs w:val="18"/>
              </w:rPr>
              <w:t xml:space="preserve">Certificats et clés</w:t>
            </w:r>
          </w:p>
        </w:tc>
        <w:tc>
          <w:tcPr>
            <w:tcW w:w="1977" w:type="dxa"/>
          </w:tcPr>
          <w:p>
            <w:pPr>
              <w:pStyle w:val="TableText"/>
            </w:pPr>
            <w:r>
              <w:rPr>
                <w:sz w:val="18"/>
                <w:szCs w:val="18"/>
              </w:rPr>
              <w:t xml:space="preserve">C:\FreeLM\certs\</w:t>
            </w:r>
          </w:p>
        </w:tc>
        <w:tc>
          <w:tcPr>
            <w:tcW w:w="2718" w:type="dxa"/>
          </w:tcPr>
          <w:p>
            <w:pPr>
              <w:pStyle w:val="TableText"/>
            </w:pPr>
            <w:r>
              <w:rPr>
                <w:sz w:val="18"/>
                <w:szCs w:val="18"/>
              </w:rPr>
              <w:t xml:space="preserve">Coffre de secrets / PKI</w:t>
            </w:r>
          </w:p>
        </w:tc>
        <w:tc>
          <w:tcPr>
            <w:tcW w:w="1853" w:type="dxa"/>
          </w:tcPr>
          <w:p>
            <w:pPr>
              <w:pStyle w:val="TableText"/>
            </w:pPr>
            <w:r>
              <w:rPr>
                <w:sz w:val="18"/>
                <w:szCs w:val="18"/>
              </w:rPr>
              <w:t xml:space="preserve">À chaque renouvellement</w:t>
            </w:r>
          </w:p>
        </w:tc>
        <w:tc>
          <w:tcPr>
            <w:tcW w:w="1482" w:type="dxa"/>
          </w:tcPr>
          <w:p>
            <w:pPr>
              <w:pStyle w:val="TableText"/>
            </w:pPr>
            <w:r>
              <w:rPr>
                <w:sz w:val="18"/>
                <w:szCs w:val="18"/>
              </w:rPr>
              <w:t xml:space="preserve">Moyenne</w:t>
            </w:r>
          </w:p>
        </w:tc>
      </w:tr>
      <w:tr>
        <w:trPr>
          <w:cantSplit/>
        </w:trPr>
        <w:tc>
          <w:tcPr>
            <w:tcW w:w="1606" w:type="dxa"/>
            <w:shd w:val="clear" w:color="auto" w:fill="F4F7FC"/>
          </w:tcPr>
          <w:p>
            <w:pPr>
              <w:pStyle w:val="TableText"/>
            </w:pPr>
            <w:r>
              <w:rPr>
                <w:sz w:val="18"/>
                <w:szCs w:val="18"/>
              </w:rPr>
              <w:t xml:space="preserve">Rapports Excel</w:t>
            </w:r>
          </w:p>
        </w:tc>
        <w:tc>
          <w:tcPr>
            <w:tcW w:w="1977" w:type="dxa"/>
            <w:shd w:val="clear" w:color="auto" w:fill="F4F7FC"/>
          </w:tcPr>
          <w:p>
            <w:pPr>
              <w:pStyle w:val="TableText"/>
            </w:pPr>
            <w:r>
              <w:rPr>
                <w:sz w:val="18"/>
                <w:szCs w:val="18"/>
              </w:rPr>
              <w:t xml:space="preserve">C:\FreeLM\reports\</w:t>
            </w:r>
          </w:p>
        </w:tc>
        <w:tc>
          <w:tcPr>
            <w:tcW w:w="2718" w:type="dxa"/>
            <w:shd w:val="clear" w:color="auto" w:fill="F4F7FC"/>
          </w:tcPr>
          <w:p>
            <w:pPr>
              <w:pStyle w:val="TableText"/>
            </w:pPr>
            <w:r>
              <w:rPr>
                <w:sz w:val="18"/>
                <w:szCs w:val="18"/>
              </w:rPr>
              <w:t xml:space="preserve">Sauvegarde fichiers</w:t>
            </w:r>
          </w:p>
        </w:tc>
        <w:tc>
          <w:tcPr>
            <w:tcW w:w="1853" w:type="dxa"/>
            <w:shd w:val="clear" w:color="auto" w:fill="F4F7FC"/>
          </w:tcPr>
          <w:p>
            <w:pPr>
              <w:pStyle w:val="TableText"/>
            </w:pPr>
            <w:r>
              <w:rPr>
                <w:sz w:val="18"/>
                <w:szCs w:val="18"/>
              </w:rPr>
              <w:t xml:space="preserve">Mensuelle</w:t>
            </w:r>
          </w:p>
        </w:tc>
        <w:tc>
          <w:tcPr>
            <w:tcW w:w="1482" w:type="dxa"/>
            <w:shd w:val="clear" w:color="auto" w:fill="F4F7FC"/>
          </w:tcPr>
          <w:p>
            <w:pPr>
              <w:pStyle w:val="TableText"/>
            </w:pPr>
            <w:r>
              <w:rPr>
                <w:sz w:val="18"/>
                <w:szCs w:val="18"/>
              </w:rPr>
              <w:t xml:space="preserve">Faible (régénérables)</w:t>
            </w:r>
          </w:p>
        </w:tc>
      </w:tr>
      <w:tr>
        <w:trPr>
          <w:cantSplit/>
        </w:trPr>
        <w:tc>
          <w:tcPr>
            <w:tcW w:w="1606" w:type="dxa"/>
          </w:tcPr>
          <w:p>
            <w:pPr>
              <w:pStyle w:val="TableText"/>
            </w:pPr>
            <w:r>
              <w:rPr>
                <w:sz w:val="18"/>
                <w:szCs w:val="18"/>
              </w:rPr>
              <w:t xml:space="preserve">Journaux</w:t>
            </w:r>
          </w:p>
        </w:tc>
        <w:tc>
          <w:tcPr>
            <w:tcW w:w="1977" w:type="dxa"/>
          </w:tcPr>
          <w:p>
            <w:pPr>
              <w:pStyle w:val="TableText"/>
            </w:pPr>
            <w:r>
              <w:rPr>
                <w:sz w:val="18"/>
                <w:szCs w:val="18"/>
              </w:rPr>
              <w:t xml:space="preserve">C:\FreeLM\logs\</w:t>
            </w:r>
          </w:p>
        </w:tc>
        <w:tc>
          <w:tcPr>
            <w:tcW w:w="2718" w:type="dxa"/>
          </w:tcPr>
          <w:p>
            <w:pPr>
              <w:pStyle w:val="TableText"/>
            </w:pPr>
            <w:r>
              <w:rPr>
                <w:sz w:val="18"/>
                <w:szCs w:val="18"/>
              </w:rPr>
              <w:t xml:space="preserve">SIEM ou sauvegarde fichiers</w:t>
            </w:r>
          </w:p>
        </w:tc>
        <w:tc>
          <w:tcPr>
            <w:tcW w:w="1853" w:type="dxa"/>
          </w:tcPr>
          <w:p>
            <w:pPr>
              <w:pStyle w:val="TableText"/>
            </w:pPr>
            <w:r>
              <w:rPr>
                <w:sz w:val="18"/>
                <w:szCs w:val="18"/>
              </w:rPr>
              <w:t xml:space="preserve">Quotidienne</w:t>
            </w:r>
          </w:p>
        </w:tc>
        <w:tc>
          <w:tcPr>
            <w:tcW w:w="1482" w:type="dxa"/>
          </w:tcPr>
          <w:p>
            <w:pPr>
              <w:pStyle w:val="TableText"/>
            </w:pPr>
            <w:r>
              <w:rPr>
                <w:sz w:val="18"/>
                <w:szCs w:val="18"/>
              </w:rPr>
              <w:t xml:space="preserve">Moyenne (audit)</w:t>
            </w:r>
          </w:p>
        </w:tc>
      </w:tr>
      <w:tr>
        <w:trPr>
          <w:cantSplit/>
        </w:trPr>
        <w:tc>
          <w:tcPr>
            <w:tcW w:w="1606" w:type="dxa"/>
            <w:shd w:val="clear" w:color="auto" w:fill="F4F7FC"/>
          </w:tcPr>
          <w:p>
            <w:pPr>
              <w:pStyle w:val="TableText"/>
            </w:pPr>
            <w:r>
              <w:rPr>
                <w:sz w:val="18"/>
                <w:szCs w:val="18"/>
              </w:rPr>
              <w:t xml:space="preserve">Binaires</w:t>
            </w:r>
          </w:p>
        </w:tc>
        <w:tc>
          <w:tcPr>
            <w:tcW w:w="1977" w:type="dxa"/>
            <w:shd w:val="clear" w:color="auto" w:fill="F4F7FC"/>
          </w:tcPr>
          <w:p>
            <w:pPr>
              <w:pStyle w:val="TableText"/>
            </w:pPr>
            <w:r>
              <w:rPr>
                <w:sz w:val="18"/>
                <w:szCs w:val="18"/>
              </w:rPr>
              <w:t xml:space="preserve">FreeLM.exe</w:t>
            </w:r>
          </w:p>
        </w:tc>
        <w:tc>
          <w:tcPr>
            <w:tcW w:w="2718" w:type="dxa"/>
            <w:shd w:val="clear" w:color="auto" w:fill="F4F7FC"/>
          </w:tcPr>
          <w:p>
            <w:pPr>
              <w:pStyle w:val="TableText"/>
            </w:pPr>
            <w:r>
              <w:rPr>
                <w:sz w:val="18"/>
                <w:szCs w:val="18"/>
              </w:rPr>
              <w:t xml:space="preserve">Release GitHub (reconstructible)</w:t>
            </w:r>
          </w:p>
        </w:tc>
        <w:tc>
          <w:tcPr>
            <w:tcW w:w="1853" w:type="dxa"/>
            <w:shd w:val="clear" w:color="auto" w:fill="F4F7FC"/>
          </w:tcPr>
          <w:p>
            <w:pPr>
              <w:pStyle w:val="TableText"/>
            </w:pPr>
            <w:r>
              <w:rPr>
                <w:sz w:val="18"/>
                <w:szCs w:val="18"/>
              </w:rPr>
              <w:t xml:space="preserve">—</w:t>
            </w:r>
          </w:p>
        </w:tc>
        <w:tc>
          <w:tcPr>
            <w:tcW w:w="1482" w:type="dxa"/>
            <w:shd w:val="clear" w:color="auto" w:fill="F4F7FC"/>
          </w:tcPr>
          <w:p>
            <w:pPr>
              <w:pStyle w:val="TableText"/>
            </w:pPr>
            <w:r>
              <w:rPr>
                <w:sz w:val="18"/>
                <w:szCs w:val="18"/>
              </w:rPr>
              <w:t xml:space="preserve">Faible</w:t>
            </w:r>
          </w:p>
        </w:tc>
      </w:tr>
    </w:tbl>
    <w:p>
      <w:pPr>
        <w:spacing w:after="80"/>
      </w:pPr>
    </w:p>
    <w:p>
      <w:pPr>
        <w:pStyle w:val="Heading2"/>
      </w:pPr>
      <w:bookmarkStart w:id="101" w:name="_Toc00101"/>
      <w:r>
        <w:rPr/>
        <w:t xml:space="preserve">9.2 Politique de rétention</w:t>
      </w:r>
      <w:bookmarkEnd w:id="101"/>
    </w:p>
    <w:p>
      <w:pPr>
        <w:pStyle w:val="Caption"/>
        <w:keepNext/>
      </w:pPr>
      <w:r>
        <w:rPr/>
        <w:t xml:space="preserve">Tableau 24 – Rétention des données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579"/>
        <w:gridCol w:w="1376"/>
        <w:gridCol w:w="2478"/>
        <w:gridCol w:w="2202"/>
      </w:tblGrid>
      <w:tr>
        <w:trPr>
          <w:tblHeader/>
          <w:cantSplit/>
        </w:trPr>
        <w:tc>
          <w:tcPr>
            <w:tcW w:w="3579" w:type="dxa"/>
            <w:shd w:val="clear" w:color="auto" w:fill="2A78D6"/>
          </w:tcPr>
          <w:p>
            <w:pPr>
              <w:pStyle w:val="TableText"/>
            </w:pPr>
            <w:r>
              <w:rPr>
                <w:b/>
                <w:color w:val="FFFFFF"/>
                <w:sz w:val="18"/>
                <w:szCs w:val="18"/>
              </w:rPr>
              <w:t xml:space="preserve">Donnée</w:t>
            </w:r>
          </w:p>
        </w:tc>
        <w:tc>
          <w:tcPr>
            <w:tcW w:w="1376" w:type="dxa"/>
            <w:shd w:val="clear" w:color="auto" w:fill="2A78D6"/>
          </w:tcPr>
          <w:p>
            <w:pPr>
              <w:pStyle w:val="TableText"/>
            </w:pPr>
            <w:r>
              <w:rPr>
                <w:b/>
                <w:color w:val="FFFFFF"/>
                <w:sz w:val="18"/>
                <w:szCs w:val="18"/>
              </w:rPr>
              <w:t xml:space="preserve">Durée</w:t>
            </w:r>
          </w:p>
        </w:tc>
        <w:tc>
          <w:tcPr>
            <w:tcW w:w="2478" w:type="dxa"/>
            <w:shd w:val="clear" w:color="auto" w:fill="2A78D6"/>
          </w:tcPr>
          <w:p>
            <w:pPr>
              <w:pStyle w:val="TableText"/>
            </w:pPr>
            <w:r>
              <w:rPr>
                <w:b/>
                <w:color w:val="FFFFFF"/>
                <w:sz w:val="18"/>
                <w:szCs w:val="18"/>
              </w:rPr>
              <w:t xml:space="preserve">Paramètre</w:t>
            </w:r>
          </w:p>
        </w:tc>
        <w:tc>
          <w:tcPr>
            <w:tcW w:w="2202" w:type="dxa"/>
            <w:shd w:val="clear" w:color="auto" w:fill="2A78D6"/>
          </w:tcPr>
          <w:p>
            <w:pPr>
              <w:pStyle w:val="TableText"/>
            </w:pPr>
            <w:r>
              <w:rPr>
                <w:b/>
                <w:color w:val="FFFFFF"/>
                <w:sz w:val="18"/>
                <w:szCs w:val="18"/>
              </w:rPr>
              <w:t xml:space="preserve">Mécanisme</w:t>
            </w:r>
          </w:p>
        </w:tc>
      </w:tr>
      <w:tr>
        <w:trPr>
          <w:cantSplit/>
        </w:trPr>
        <w:tc>
          <w:tcPr>
            <w:tcW w:w="3579" w:type="dxa"/>
          </w:tcPr>
          <w:p>
            <w:pPr>
              <w:pStyle w:val="TableText"/>
            </w:pPr>
            <w:r>
              <w:rPr>
                <w:sz w:val="18"/>
                <w:szCs w:val="18"/>
              </w:rPr>
              <w:t xml:space="preserve">Sondages bruts (usage_snapshot)</w:t>
            </w:r>
          </w:p>
        </w:tc>
        <w:tc>
          <w:tcPr>
            <w:tcW w:w="1376" w:type="dxa"/>
          </w:tcPr>
          <w:p>
            <w:pPr>
              <w:pStyle w:val="TableText"/>
            </w:pPr>
            <w:r>
              <w:rPr>
                <w:sz w:val="18"/>
                <w:szCs w:val="18"/>
              </w:rPr>
              <w:t xml:space="preserve">90 jours</w:t>
            </w:r>
          </w:p>
        </w:tc>
        <w:tc>
          <w:tcPr>
            <w:tcW w:w="2478" w:type="dxa"/>
          </w:tcPr>
          <w:p>
            <w:pPr>
              <w:pStyle w:val="TableText"/>
            </w:pPr>
            <w:r>
              <w:rPr>
                <w:rFonts w:ascii="Consolas" w:hAnsi="Consolas" w:cs="Consolas"/>
                <w:color w:val="1C5CAB"/>
                <w:sz w:val="18"/>
                <w:szCs w:val="18"/>
                <w:shd w:val="clear" w:color="auto" w:fill="EEF3FA"/>
              </w:rPr>
              <w:t xml:space="preserve">retention.snapshots_days</w:t>
            </w:r>
          </w:p>
        </w:tc>
        <w:tc>
          <w:tcPr>
            <w:tcW w:w="2202" w:type="dxa"/>
          </w:tcPr>
          <w:p>
            <w:pPr>
              <w:pStyle w:val="TableText"/>
            </w:pPr>
            <w:r>
              <w:rPr>
                <w:sz w:val="18"/>
                <w:szCs w:val="18"/>
              </w:rPr>
              <w:t xml:space="preserve">Tâche Purge (hebdomadaire)</w:t>
            </w:r>
          </w:p>
        </w:tc>
      </w:tr>
      <w:tr>
        <w:trPr>
          <w:cantSplit/>
        </w:trPr>
        <w:tc>
          <w:tcPr>
            <w:tcW w:w="3579" w:type="dxa"/>
            <w:shd w:val="clear" w:color="auto" w:fill="F4F7FC"/>
          </w:tcPr>
          <w:p>
            <w:pPr>
              <w:pStyle w:val="TableText"/>
            </w:pPr>
            <w:r>
              <w:rPr>
                <w:sz w:val="18"/>
                <w:szCs w:val="18"/>
              </w:rPr>
              <w:t xml:space="preserve">Refus et évènements (license_event)</w:t>
            </w:r>
          </w:p>
        </w:tc>
        <w:tc>
          <w:tcPr>
            <w:tcW w:w="1376" w:type="dxa"/>
            <w:shd w:val="clear" w:color="auto" w:fill="F4F7FC"/>
          </w:tcPr>
          <w:p>
            <w:pPr>
              <w:pStyle w:val="TableText"/>
            </w:pPr>
            <w:r>
              <w:rPr>
                <w:sz w:val="18"/>
                <w:szCs w:val="18"/>
              </w:rPr>
              <w:t xml:space="preserve">730 jours</w:t>
            </w:r>
          </w:p>
        </w:tc>
        <w:tc>
          <w:tcPr>
            <w:tcW w:w="2478" w:type="dxa"/>
            <w:shd w:val="clear" w:color="auto" w:fill="F4F7FC"/>
          </w:tcPr>
          <w:p>
            <w:pPr>
              <w:pStyle w:val="TableText"/>
            </w:pPr>
            <w:r>
              <w:rPr>
                <w:rFonts w:ascii="Consolas" w:hAnsi="Consolas" w:cs="Consolas"/>
                <w:color w:val="1C5CAB"/>
                <w:sz w:val="18"/>
                <w:szCs w:val="18"/>
                <w:shd w:val="clear" w:color="auto" w:fill="EEF3FA"/>
              </w:rPr>
              <w:t xml:space="preserve">retention.events_days</w:t>
            </w:r>
          </w:p>
        </w:tc>
        <w:tc>
          <w:tcPr>
            <w:tcW w:w="2202" w:type="dxa"/>
            <w:shd w:val="clear" w:color="auto" w:fill="F4F7FC"/>
          </w:tcPr>
          <w:p>
            <w:pPr>
              <w:pStyle w:val="TableText"/>
            </w:pPr>
            <w:r>
              <w:rPr>
                <w:sz w:val="18"/>
                <w:szCs w:val="18"/>
              </w:rPr>
              <w:t xml:space="preserve">Tâche Purge</w:t>
            </w:r>
          </w:p>
        </w:tc>
      </w:tr>
      <w:tr>
        <w:trPr>
          <w:cantSplit/>
        </w:trPr>
        <w:tc>
          <w:tcPr>
            <w:tcW w:w="3579" w:type="dxa"/>
          </w:tcPr>
          <w:p>
            <w:pPr>
              <w:pStyle w:val="TableText"/>
            </w:pPr>
            <w:r>
              <w:rPr>
                <w:sz w:val="18"/>
                <w:szCs w:val="18"/>
              </w:rPr>
              <w:t xml:space="preserve">Journal des collectes (collection_run)</w:t>
            </w:r>
          </w:p>
        </w:tc>
        <w:tc>
          <w:tcPr>
            <w:tcW w:w="1376" w:type="dxa"/>
          </w:tcPr>
          <w:p>
            <w:pPr>
              <w:pStyle w:val="TableText"/>
            </w:pPr>
            <w:r>
              <w:rPr>
                <w:sz w:val="18"/>
                <w:szCs w:val="18"/>
              </w:rPr>
              <w:t xml:space="preserve">730 jours</w:t>
            </w:r>
          </w:p>
        </w:tc>
        <w:tc>
          <w:tcPr>
            <w:tcW w:w="2478" w:type="dxa"/>
          </w:tcPr>
          <w:p>
            <w:pPr>
              <w:pStyle w:val="TableText"/>
            </w:pPr>
            <w:r>
              <w:rPr>
                <w:rFonts w:ascii="Consolas" w:hAnsi="Consolas" w:cs="Consolas"/>
                <w:color w:val="1C5CAB"/>
                <w:sz w:val="18"/>
                <w:szCs w:val="18"/>
                <w:shd w:val="clear" w:color="auto" w:fill="EEF3FA"/>
              </w:rPr>
              <w:t xml:space="preserve">retention.events_days</w:t>
            </w:r>
          </w:p>
        </w:tc>
        <w:tc>
          <w:tcPr>
            <w:tcW w:w="2202" w:type="dxa"/>
          </w:tcPr>
          <w:p>
            <w:pPr>
              <w:pStyle w:val="TableText"/>
            </w:pPr>
            <w:r>
              <w:rPr>
                <w:sz w:val="18"/>
                <w:szCs w:val="18"/>
              </w:rPr>
              <w:t xml:space="preserve">Tâche Purge</w:t>
            </w:r>
          </w:p>
        </w:tc>
      </w:tr>
      <w:tr>
        <w:trPr>
          <w:cantSplit/>
        </w:trPr>
        <w:tc>
          <w:tcPr>
            <w:tcW w:w="3579" w:type="dxa"/>
            <w:shd w:val="clear" w:color="auto" w:fill="F4F7FC"/>
          </w:tcPr>
          <w:p>
            <w:pPr>
              <w:pStyle w:val="TableText"/>
            </w:pPr>
            <w:r>
              <w:rPr>
                <w:sz w:val="18"/>
                <w:szCs w:val="18"/>
              </w:rPr>
              <w:t xml:space="preserve">Agrégats horaires, sessions, référentiels</w:t>
            </w:r>
          </w:p>
        </w:tc>
        <w:tc>
          <w:tcPr>
            <w:tcW w:w="1376" w:type="dxa"/>
            <w:shd w:val="clear" w:color="auto" w:fill="F4F7FC"/>
          </w:tcPr>
          <w:p>
            <w:pPr>
              <w:pStyle w:val="TableText"/>
            </w:pPr>
            <w:r>
              <w:rPr>
                <w:sz w:val="18"/>
                <w:szCs w:val="18"/>
              </w:rPr>
              <w:t xml:space="preserve">Sans limite</w:t>
            </w:r>
          </w:p>
        </w:tc>
        <w:tc>
          <w:tcPr>
            <w:tcW w:w="2478" w:type="dxa"/>
            <w:shd w:val="clear" w:color="auto" w:fill="F4F7FC"/>
          </w:tcPr>
          <w:p>
            <w:pPr>
              <w:pStyle w:val="TableText"/>
            </w:pPr>
            <w:r>
              <w:rPr>
                <w:sz w:val="18"/>
                <w:szCs w:val="18"/>
              </w:rPr>
              <w:t xml:space="preserve">—</w:t>
            </w:r>
          </w:p>
        </w:tc>
        <w:tc>
          <w:tcPr>
            <w:tcW w:w="2202" w:type="dxa"/>
            <w:shd w:val="clear" w:color="auto" w:fill="F4F7FC"/>
          </w:tcPr>
          <w:p>
            <w:pPr>
              <w:pStyle w:val="TableText"/>
            </w:pPr>
            <w:r>
              <w:rPr>
                <w:sz w:val="18"/>
                <w:szCs w:val="18"/>
              </w:rPr>
              <w:t xml:space="preserve">Base des rapports historiques</w:t>
            </w:r>
          </w:p>
        </w:tc>
      </w:tr>
      <w:tr>
        <w:trPr>
          <w:cantSplit/>
        </w:trPr>
        <w:tc>
          <w:tcPr>
            <w:tcW w:w="3579" w:type="dxa"/>
          </w:tcPr>
          <w:p>
            <w:pPr>
              <w:pStyle w:val="TableText"/>
            </w:pPr>
            <w:r>
              <w:rPr>
                <w:sz w:val="18"/>
                <w:szCs w:val="18"/>
              </w:rPr>
              <w:t xml:space="preserve">Journal fichier freelm.log</w:t>
            </w:r>
          </w:p>
        </w:tc>
        <w:tc>
          <w:tcPr>
            <w:tcW w:w="1376" w:type="dxa"/>
          </w:tcPr>
          <w:p>
            <w:pPr>
              <w:pStyle w:val="TableText"/>
            </w:pPr>
            <w:r>
              <w:rPr>
                <w:sz w:val="18"/>
                <w:szCs w:val="18"/>
              </w:rPr>
              <w:t xml:space="preserve">5 × 5 Mo</w:t>
            </w:r>
          </w:p>
        </w:tc>
        <w:tc>
          <w:tcPr>
            <w:tcW w:w="2478" w:type="dxa"/>
          </w:tcPr>
          <w:p>
            <w:pPr>
              <w:pStyle w:val="TableText"/>
            </w:pPr>
            <w:r>
              <w:rPr>
                <w:sz w:val="18"/>
                <w:szCs w:val="18"/>
              </w:rPr>
              <w:t xml:space="preserve">—</w:t>
            </w:r>
          </w:p>
        </w:tc>
        <w:tc>
          <w:tcPr>
            <w:tcW w:w="2202" w:type="dxa"/>
          </w:tcPr>
          <w:p>
            <w:pPr>
              <w:pStyle w:val="TableText"/>
            </w:pPr>
            <w:r>
              <w:rPr>
                <w:sz w:val="18"/>
                <w:szCs w:val="18"/>
              </w:rPr>
              <w:t xml:space="preserve">Rotation automatique</w:t>
            </w:r>
          </w:p>
        </w:tc>
      </w:tr>
    </w:tbl>
    <w:p>
      <w:pPr>
        <w:spacing w:after="80"/>
      </w:pPr>
    </w:p>
    <w:tbl>
      <w:tblPr>
        <w:tblW w:w="9638" w:type="dxa"/>
        <w:tblInd w:w="0" w:type="dxa"/>
        <w:tblBorders>
          <w:left w:val="single" w:sz="24" w:color="E0A100"/>
        </w:tblBorders>
        <w:tblCellMar>
          <w:top w:w="100" w:type="dxa"/>
          <w:left w:w="180" w:type="dxa"/>
          <w:bottom w:w="100" w:type="dxa"/>
          <w:right w:w="180" w:type="dxa"/>
        </w:tblCellMar>
      </w:tblPr>
      <w:tblGrid>
        <w:gridCol w:w="9638"/>
      </w:tblGrid>
      <w:tr>
        <w:tc>
          <w:tcPr>
            <w:tcW w:w="9638" w:type="dxa"/>
            <w:shd w:val="clear" w:color="auto" w:fill="FFF8E6"/>
          </w:tcPr>
          <w:p>
            <w:pPr>
              <w:spacing w:before="0" w:after="0"/>
            </w:pPr>
            <w:r>
              <w:rPr>
                <w:b/>
                <w:color w:val="E0A100"/>
              </w:rPr>
              <w:t xml:space="preserve">Attention — </w:t>
            </w:r>
            <w:r>
              <w:rPr/>
              <w:t xml:space="preserve">Les sessions contiennent des données nominatives conservées sans limite par défaut. Définir avec le DPO une durée adaptée (par exemple 3 ans) et, si nécessaire, une purge complémentaire (annexe C).</w:t>
            </w:r>
          </w:p>
        </w:tc>
      </w:tr>
    </w:tbl>
    <w:p>
      <w:pPr>
        <w:spacing w:after="60"/>
      </w:pPr>
    </w:p>
    <w:p>
      <w:pPr>
        <w:pStyle w:val="Heading2"/>
      </w:pPr>
      <w:bookmarkStart w:id="102" w:name="_Toc00102"/>
      <w:r>
        <w:rPr/>
        <w:t xml:space="preserve">9.3 Procédure de sauvegarde SQL</w:t>
      </w:r>
      <w:bookmarkEnd w:id="102"/>
    </w:p>
    <w:p>
      <w:pPr>
        <w:pStyle w:val="Code"/>
      </w:pPr>
      <w:r>
        <w:t xml:space="preserve">BACKUP DATABASE FreeLM TO DISK = N'\\srv-backup\sql\FreeLM_$(ESCAPE_SQUOTE(DATE)).bak'</w:t>
      </w:r>
    </w:p>
    <w:p>
      <w:pPr>
        <w:pStyle w:val="Code"/>
      </w:pPr>
      <w:r>
        <w:t xml:space="preserve">  WITH COMPRESSION, CHECKSUM, INIT;</w:t>
      </w:r>
    </w:p>
    <w:p>
      <w:pPr/>
      <w:r>
        <w:rPr/>
        <w:t xml:space="preserve">En pratique, intégrer la base au plan de maintenance ou à l'outil de sauvegarde de l'instance.</w:t>
      </w:r>
    </w:p>
    <w:p>
      <w:pPr>
        <w:pStyle w:val="Heading2"/>
      </w:pPr>
      <w:bookmarkStart w:id="103" w:name="_Toc00103"/>
      <w:r>
        <w:rPr/>
        <w:t xml:space="preserve">9.4 Procédure de restauration</w:t>
      </w:r>
      <w:bookmarkEnd w:id="103"/>
    </w:p>
    <w:p>
      <w:pPr>
        <w:pStyle w:val="ListParagraph"/>
        <w:numPr>
          <w:ilvl w:val="0"/>
          <w:numId w:val="8"/>
        </w:numPr>
      </w:pPr>
      <w:r>
        <w:rPr/>
        <w:t xml:space="preserve">Désactiver les tâches FreeLM (§ 7.2).</w:t>
      </w:r>
    </w:p>
    <w:p>
      <w:pPr>
        <w:pStyle w:val="ListParagraph"/>
        <w:numPr>
          <w:ilvl w:val="0"/>
          <w:numId w:val="8"/>
        </w:numPr>
      </w:pPr>
      <w:r>
        <w:rPr/>
        <w:t xml:space="preserve">Restaurer la base : </w:t>
      </w:r>
      <w:r>
        <w:rPr>
          <w:rFonts w:ascii="Consolas" w:hAnsi="Consolas" w:cs="Consolas"/>
          <w:color w:val="1C5CAB"/>
          <w:sz w:val="18"/>
          <w:szCs w:val="18"/>
          <w:shd w:val="clear" w:color="auto" w:fill="EEF3FA"/>
        </w:rPr>
        <w:t xml:space="preserve">RESTORE DATABASE FreeLM FROM DISK = N'…FreeLM_AAAAMMJJ.bak' WITH REPLACE;</w:t>
      </w:r>
    </w:p>
    <w:p>
      <w:pPr>
        <w:pStyle w:val="ListParagraph"/>
        <w:numPr>
          <w:ilvl w:val="0"/>
          <w:numId w:val="8"/>
        </w:numPr>
      </w:pPr>
      <w:r>
        <w:rPr/>
        <w:t xml:space="preserve">Recréer l'utilisateur du compte de service si l'instance est différente (script </w:t>
      </w:r>
      <w:r>
        <w:rPr>
          <w:rFonts w:ascii="Consolas" w:hAnsi="Consolas" w:cs="Consolas"/>
          <w:color w:val="1C5CAB"/>
          <w:sz w:val="18"/>
          <w:szCs w:val="18"/>
          <w:shd w:val="clear" w:color="auto" w:fill="EEF3FA"/>
        </w:rPr>
        <w:t xml:space="preserve">00_create_database.sql</w:t>
      </w:r>
      <w:r>
        <w:rPr/>
        <w:t xml:space="preserve">).</w:t>
      </w:r>
    </w:p>
    <w:p>
      <w:pPr>
        <w:pStyle w:val="ListParagraph"/>
        <w:numPr>
          <w:ilvl w:val="0"/>
          <w:numId w:val="8"/>
        </w:numPr>
      </w:pPr>
      <w:r>
        <w:rPr/>
        <w:t xml:space="preserve">Si la sauvegarde provient d'une version antérieure de FreeLM : attribuer db_ddladmin puis exécuter </w:t>
      </w:r>
      <w:r>
        <w:rPr>
          <w:rFonts w:ascii="Consolas" w:hAnsi="Consolas" w:cs="Consolas"/>
          <w:color w:val="1C5CAB"/>
          <w:sz w:val="18"/>
          <w:szCs w:val="18"/>
          <w:shd w:val="clear" w:color="auto" w:fill="EEF3FA"/>
        </w:rPr>
        <w:t xml:space="preserve">init-db</w:t>
      </w:r>
      <w:r>
        <w:rPr/>
        <w:t xml:space="preserve"> (mise à niveau du schéma), puis retirer le droit.</w:t>
      </w:r>
    </w:p>
    <w:p>
      <w:pPr>
        <w:pStyle w:val="ListParagraph"/>
        <w:numPr>
          <w:ilvl w:val="0"/>
          <w:numId w:val="8"/>
        </w:numPr>
      </w:pPr>
      <w:r>
        <w:rPr/>
        <w:t xml:space="preserve">Réactiver les tâches ; vérifier le badge « Collectes OK » et la vue Collectes.</w:t>
      </w:r>
    </w:p>
    <w:p>
      <w:pPr>
        <w:pStyle w:val="ListParagraph"/>
        <w:numPr>
          <w:ilvl w:val="0"/>
          <w:numId w:val="8"/>
        </w:numPr>
      </w:pPr>
      <w:r>
        <w:rPr/>
        <w:t xml:space="preserve">La période entre la sauvegarde et la restauration reste sans données lmstat ; les logs debug sont relus depuis l'offset sauvegardé.</w:t>
      </w:r>
    </w:p>
    <w:p>
      <w:pPr>
        <w:pStyle w:val="Heading2"/>
      </w:pPr>
      <w:bookmarkStart w:id="104" w:name="_Toc00104"/>
      <w:r>
        <w:rPr/>
        <w:t xml:space="preserve">9.5 Purge manuelle</w:t>
      </w:r>
      <w:bookmarkEnd w:id="104"/>
    </w:p>
    <w:p>
      <w:pPr>
        <w:pStyle w:val="Code"/>
      </w:pPr>
      <w:r>
        <w:t xml:space="preserve">.\FreeLM.exe -c freelm.yaml purge</w:t>
      </w:r>
    </w:p>
    <w:p>
      <w:pPr/>
      <w:r>
        <w:rPr/>
        <w:t xml:space="preserve">La commande affiche le nombre de lignes supprimées par table. Elle peut être lancée à tout moment.</w:t>
      </w:r>
    </w:p>
    <w:p>
      <w:pPr>
        <w:pStyle w:val="Heading1"/>
      </w:pPr>
      <w:bookmarkStart w:id="105" w:name="_Toc00105"/>
      <w:r>
        <w:rPr/>
        <w:t xml:space="preserve">10. Sécurité</w:t>
      </w:r>
      <w:bookmarkEnd w:id="105"/>
    </w:p>
    <w:p>
      <w:pPr>
        <w:pStyle w:val="Heading2"/>
      </w:pPr>
      <w:bookmarkStart w:id="106" w:name="_Toc00106"/>
      <w:r>
        <w:rPr/>
        <w:t xml:space="preserve">10.1 Principes</w:t>
      </w:r>
      <w:bookmarkEnd w:id="106"/>
    </w:p>
    <w:p>
      <w:pPr>
        <w:pStyle w:val="ListParagraph"/>
        <w:numPr>
          <w:ilvl w:val="0"/>
          <w:numId w:val="9"/>
        </w:numPr>
      </w:pPr>
      <w:r>
        <w:rPr>
          <w:b/>
        </w:rPr>
        <w:t xml:space="preserve">Lecture seule</w:t>
      </w:r>
      <w:r>
        <w:rPr/>
        <w:t xml:space="preserve"> : l'interface ne permet aucune modification ; la configuration se fait uniquement sur le serveur.</w:t>
      </w:r>
    </w:p>
    <w:p>
      <w:pPr>
        <w:pStyle w:val="ListParagraph"/>
        <w:numPr>
          <w:ilvl w:val="0"/>
          <w:numId w:val="9"/>
        </w:numPr>
      </w:pPr>
      <w:r>
        <w:rPr>
          <w:b/>
        </w:rPr>
        <w:t xml:space="preserve">Moindre privilège</w:t>
      </w:r>
      <w:r>
        <w:rPr/>
        <w:t xml:space="preserve"> : compte de service dédié non administrateur, droits SQL limités, db_ddladmin temporaire.</w:t>
      </w:r>
    </w:p>
    <w:p>
      <w:pPr>
        <w:pStyle w:val="ListParagraph"/>
        <w:numPr>
          <w:ilvl w:val="0"/>
          <w:numId w:val="9"/>
        </w:numPr>
      </w:pPr>
      <w:r>
        <w:rPr>
          <w:b/>
        </w:rPr>
        <w:t xml:space="preserve">Défense en profondeur</w:t>
      </w:r>
      <w:r>
        <w:rPr/>
        <w:t xml:space="preserve"> : écoute locale par défaut, HTTPS obligatoire pour la connexion AD sur le réseau, contrôle de l'en-tête Host, délais et plafond de connexions.</w:t>
      </w:r>
    </w:p>
    <w:p>
      <w:pPr>
        <w:pStyle w:val="ListParagraph"/>
        <w:numPr>
          <w:ilvl w:val="0"/>
          <w:numId w:val="9"/>
        </w:numPr>
      </w:pPr>
      <w:r>
        <w:rPr>
          <w:b/>
        </w:rPr>
        <w:t xml:space="preserve">Aucun secret dans la configuration</w:t>
      </w:r>
      <w:r>
        <w:rPr/>
        <w:t xml:space="preserve"> : mots de passe dans des variables d'environnement ; gMSA recommandé.</w:t>
      </w:r>
    </w:p>
    <w:p>
      <w:pPr>
        <w:pStyle w:val="Heading2"/>
      </w:pPr>
      <w:bookmarkStart w:id="107" w:name="_Toc00107"/>
      <w:r>
        <w:rPr/>
        <w:t xml:space="preserve">10.2 Authentification et habilitations</w:t>
      </w:r>
      <w:bookmarkEnd w:id="107"/>
    </w:p>
    <w:p>
      <w:pPr>
        <w:pStyle w:val="Caption"/>
        <w:keepNext/>
      </w:pPr>
      <w:r>
        <w:rPr/>
        <w:t xml:space="preserve">Tableau 25 – Modes d'authentification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39"/>
        <w:gridCol w:w="2478"/>
        <w:gridCol w:w="3442"/>
        <w:gridCol w:w="2478"/>
      </w:tblGrid>
      <w:tr>
        <w:trPr>
          <w:tblHeader/>
          <w:cantSplit/>
        </w:trPr>
        <w:tc>
          <w:tcPr>
            <w:tcW w:w="1239" w:type="dxa"/>
            <w:shd w:val="clear" w:color="auto" w:fill="2A78D6"/>
          </w:tcPr>
          <w:p>
            <w:pPr>
              <w:pStyle w:val="TableText"/>
            </w:pPr>
            <w:r>
              <w:rPr>
                <w:b/>
                <w:color w:val="FFFFFF"/>
                <w:sz w:val="18"/>
                <w:szCs w:val="18"/>
              </w:rPr>
              <w:t xml:space="preserve">Mode</w:t>
            </w:r>
          </w:p>
        </w:tc>
        <w:tc>
          <w:tcPr>
            <w:tcW w:w="2478" w:type="dxa"/>
            <w:shd w:val="clear" w:color="auto" w:fill="2A78D6"/>
          </w:tcPr>
          <w:p>
            <w:pPr>
              <w:pStyle w:val="TableText"/>
            </w:pPr>
            <w:r>
              <w:rPr>
                <w:b/>
                <w:color w:val="FFFFFF"/>
                <w:sz w:val="18"/>
                <w:szCs w:val="18"/>
              </w:rPr>
              <w:t xml:space="preserve">Expérience</w:t>
            </w:r>
          </w:p>
        </w:tc>
        <w:tc>
          <w:tcPr>
            <w:tcW w:w="3442" w:type="dxa"/>
            <w:shd w:val="clear" w:color="auto" w:fill="2A78D6"/>
          </w:tcPr>
          <w:p>
            <w:pPr>
              <w:pStyle w:val="TableText"/>
            </w:pPr>
            <w:r>
              <w:rPr>
                <w:b/>
                <w:color w:val="FFFFFF"/>
                <w:sz w:val="18"/>
                <w:szCs w:val="18"/>
              </w:rPr>
              <w:t xml:space="preserve">Mise en œuvre</w:t>
            </w:r>
          </w:p>
        </w:tc>
        <w:tc>
          <w:tcPr>
            <w:tcW w:w="2478" w:type="dxa"/>
            <w:shd w:val="clear" w:color="auto" w:fill="2A78D6"/>
          </w:tcPr>
          <w:p>
            <w:pPr>
              <w:pStyle w:val="TableText"/>
            </w:pPr>
            <w:r>
              <w:rPr>
                <w:b/>
                <w:color w:val="FFFFFF"/>
                <w:sz w:val="18"/>
                <w:szCs w:val="18"/>
              </w:rPr>
              <w:t xml:space="preserve">Usage</w:t>
            </w:r>
          </w:p>
        </w:tc>
      </w:tr>
      <w:tr>
        <w:trPr>
          <w:cantSplit/>
        </w:trPr>
        <w:tc>
          <w:tcPr>
            <w:tcW w:w="1239" w:type="dxa"/>
          </w:tcPr>
          <w:p>
            <w:pPr>
              <w:pStyle w:val="TableText"/>
            </w:pPr>
            <w:r>
              <w:rPr>
                <w:sz w:val="18"/>
                <w:szCs w:val="18"/>
              </w:rPr>
              <w:t xml:space="preserve">none</w:t>
            </w:r>
          </w:p>
        </w:tc>
        <w:tc>
          <w:tcPr>
            <w:tcW w:w="2478" w:type="dxa"/>
          </w:tcPr>
          <w:p>
            <w:pPr>
              <w:pStyle w:val="TableText"/>
            </w:pPr>
            <w:r>
              <w:rPr>
                <w:sz w:val="18"/>
                <w:szCs w:val="18"/>
              </w:rPr>
              <w:t xml:space="preserve">Aucune connexion</w:t>
            </w:r>
          </w:p>
        </w:tc>
        <w:tc>
          <w:tcPr>
            <w:tcW w:w="3442" w:type="dxa"/>
          </w:tcPr>
          <w:p>
            <w:pPr>
              <w:pStyle w:val="TableText"/>
            </w:pPr>
            <w:r>
              <w:rPr>
                <w:sz w:val="18"/>
                <w:szCs w:val="18"/>
              </w:rPr>
              <w:t xml:space="preserve">Écoute sur le poste local uniquement</w:t>
            </w:r>
          </w:p>
        </w:tc>
        <w:tc>
          <w:tcPr>
            <w:tcW w:w="2478" w:type="dxa"/>
          </w:tcPr>
          <w:p>
            <w:pPr>
              <w:pStyle w:val="TableText"/>
            </w:pPr>
            <w:r>
              <w:rPr>
                <w:sz w:val="18"/>
                <w:szCs w:val="18"/>
              </w:rPr>
              <w:t xml:space="preserve">Poste d'administration, essais</w:t>
            </w:r>
          </w:p>
        </w:tc>
      </w:tr>
      <w:tr>
        <w:trPr>
          <w:cantSplit/>
        </w:trPr>
        <w:tc>
          <w:tcPr>
            <w:tcW w:w="1239" w:type="dxa"/>
            <w:shd w:val="clear" w:color="auto" w:fill="F4F7FC"/>
          </w:tcPr>
          <w:p>
            <w:pPr>
              <w:pStyle w:val="TableText"/>
            </w:pPr>
            <w:r>
              <w:rPr>
                <w:sz w:val="18"/>
                <w:szCs w:val="18"/>
              </w:rPr>
              <w:t xml:space="preserve">ldap</w:t>
            </w:r>
          </w:p>
        </w:tc>
        <w:tc>
          <w:tcPr>
            <w:tcW w:w="2478" w:type="dxa"/>
            <w:shd w:val="clear" w:color="auto" w:fill="F4F7FC"/>
          </w:tcPr>
          <w:p>
            <w:pPr>
              <w:pStyle w:val="TableText"/>
            </w:pPr>
            <w:r>
              <w:rPr>
                <w:sz w:val="18"/>
                <w:szCs w:val="18"/>
              </w:rPr>
              <w:t xml:space="preserve">Identifiant et mot de passe Windows</w:t>
            </w:r>
          </w:p>
        </w:tc>
        <w:tc>
          <w:tcPr>
            <w:tcW w:w="3442" w:type="dxa"/>
            <w:shd w:val="clear" w:color="auto" w:fill="F4F7FC"/>
          </w:tcPr>
          <w:p>
            <w:pPr>
              <w:pStyle w:val="TableText"/>
            </w:pPr>
            <w:r>
              <w:rPr>
                <w:sz w:val="18"/>
                <w:szCs w:val="18"/>
              </w:rPr>
              <w:t xml:space="preserve">LDAPS vers les DC, HTTPS, groupe autorisé</w:t>
            </w:r>
          </w:p>
        </w:tc>
        <w:tc>
          <w:tcPr>
            <w:tcW w:w="2478" w:type="dxa"/>
            <w:shd w:val="clear" w:color="auto" w:fill="F4F7FC"/>
          </w:tcPr>
          <w:p>
            <w:pPr>
              <w:pStyle w:val="TableText"/>
            </w:pPr>
            <w:r>
              <w:rPr>
                <w:sz w:val="18"/>
                <w:szCs w:val="18"/>
              </w:rPr>
              <w:t xml:space="preserve">Recommandé en production</w:t>
            </w:r>
          </w:p>
        </w:tc>
      </w:tr>
      <w:tr>
        <w:trPr>
          <w:cantSplit/>
        </w:trPr>
        <w:tc>
          <w:tcPr>
            <w:tcW w:w="1239" w:type="dxa"/>
          </w:tcPr>
          <w:p>
            <w:pPr>
              <w:pStyle w:val="TableText"/>
            </w:pPr>
            <w:r>
              <w:rPr>
                <w:sz w:val="18"/>
                <w:szCs w:val="18"/>
              </w:rPr>
              <w:t xml:space="preserve">header</w:t>
            </w:r>
          </w:p>
        </w:tc>
        <w:tc>
          <w:tcPr>
            <w:tcW w:w="2478" w:type="dxa"/>
          </w:tcPr>
          <w:p>
            <w:pPr>
              <w:pStyle w:val="TableText"/>
            </w:pPr>
            <w:r>
              <w:rPr>
                <w:sz w:val="18"/>
                <w:szCs w:val="18"/>
              </w:rPr>
              <w:t xml:space="preserve">Aucune saisie (SSO)</w:t>
            </w:r>
          </w:p>
        </w:tc>
        <w:tc>
          <w:tcPr>
            <w:tcW w:w="3442" w:type="dxa"/>
          </w:tcPr>
          <w:p>
            <w:pPr>
              <w:pStyle w:val="TableText"/>
            </w:pPr>
            <w:r>
              <w:rPr>
                <w:sz w:val="18"/>
                <w:szCs w:val="18"/>
              </w:rPr>
              <w:t xml:space="preserve">IIS en frontal avec authentification Windows</w:t>
            </w:r>
          </w:p>
        </w:tc>
        <w:tc>
          <w:tcPr>
            <w:tcW w:w="2478" w:type="dxa"/>
          </w:tcPr>
          <w:p>
            <w:pPr>
              <w:pStyle w:val="TableText"/>
            </w:pPr>
            <w:r>
              <w:rPr>
                <w:sz w:val="18"/>
                <w:szCs w:val="18"/>
              </w:rPr>
              <w:t xml:space="preserve">Exposition large, SSO souhaité</w:t>
            </w:r>
          </w:p>
        </w:tc>
      </w:tr>
    </w:tbl>
    <w:p>
      <w:pPr>
        <w:spacing w:after="80"/>
      </w:pPr>
    </w:p>
    <w:p>
      <w:pPr/>
      <w:r>
        <w:rPr/>
        <w:t xml:space="preserve">Tout utilisateur authentifié et autorisé voit l'ensemble des données (pas de droits par service dans cette version). L'habilitation se gère donc par l'appartenance au groupe AD </w:t>
      </w:r>
      <w:r>
        <w:rPr>
          <w:rFonts w:ascii="Consolas" w:hAnsi="Consolas" w:cs="Consolas"/>
          <w:color w:val="1C5CAB"/>
          <w:sz w:val="18"/>
          <w:szCs w:val="18"/>
          <w:shd w:val="clear" w:color="auto" w:fill="EEF3FA"/>
        </w:rPr>
        <w:t xml:space="preserve">allowed_groups</w:t>
      </w:r>
      <w:r>
        <w:rPr/>
        <w:t xml:space="preserve">.</w:t>
      </w:r>
    </w:p>
    <w:p>
      <w:pPr>
        <w:pStyle w:val="Heading2"/>
      </w:pPr>
      <w:bookmarkStart w:id="108" w:name="_Toc00108"/>
      <w:r>
        <w:rPr/>
        <w:t xml:space="preserve">10.3 Chiffrement</w:t>
      </w:r>
      <w:bookmarkEnd w:id="108"/>
    </w:p>
    <w:p>
      <w:pPr>
        <w:pStyle w:val="Caption"/>
        <w:keepNext/>
      </w:pPr>
      <w:r>
        <w:rPr/>
        <w:t xml:space="preserve">Tableau 26 – Chiffrement des flux</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753"/>
        <w:gridCol w:w="6884"/>
      </w:tblGrid>
      <w:tr>
        <w:trPr>
          <w:tblHeader/>
          <w:cantSplit/>
        </w:trPr>
        <w:tc>
          <w:tcPr>
            <w:tcW w:w="2753" w:type="dxa"/>
            <w:shd w:val="clear" w:color="auto" w:fill="2A78D6"/>
          </w:tcPr>
          <w:p>
            <w:pPr>
              <w:pStyle w:val="TableText"/>
            </w:pPr>
            <w:r>
              <w:rPr>
                <w:b/>
                <w:color w:val="FFFFFF"/>
                <w:sz w:val="18"/>
                <w:szCs w:val="18"/>
              </w:rPr>
              <w:t xml:space="preserve">Flux</w:t>
            </w:r>
          </w:p>
        </w:tc>
        <w:tc>
          <w:tcPr>
            <w:tcW w:w="6884" w:type="dxa"/>
            <w:shd w:val="clear" w:color="auto" w:fill="2A78D6"/>
          </w:tcPr>
          <w:p>
            <w:pPr>
              <w:pStyle w:val="TableText"/>
            </w:pPr>
            <w:r>
              <w:rPr>
                <w:b/>
                <w:color w:val="FFFFFF"/>
                <w:sz w:val="18"/>
                <w:szCs w:val="18"/>
              </w:rPr>
              <w:t xml:space="preserve">Protection</w:t>
            </w:r>
          </w:p>
        </w:tc>
      </w:tr>
      <w:tr>
        <w:trPr>
          <w:cantSplit/>
        </w:trPr>
        <w:tc>
          <w:tcPr>
            <w:tcW w:w="2753" w:type="dxa"/>
          </w:tcPr>
          <w:p>
            <w:pPr>
              <w:pStyle w:val="TableText"/>
            </w:pPr>
            <w:r>
              <w:rPr>
                <w:sz w:val="18"/>
                <w:szCs w:val="18"/>
              </w:rPr>
              <w:t xml:space="preserve">Navigateur → FreeLM</w:t>
            </w:r>
          </w:p>
        </w:tc>
        <w:tc>
          <w:tcPr>
            <w:tcW w:w="6884" w:type="dxa"/>
          </w:tcPr>
          <w:p>
            <w:pPr>
              <w:pStyle w:val="TableText"/>
            </w:pPr>
            <w:r>
              <w:rPr>
                <w:sz w:val="18"/>
                <w:szCs w:val="18"/>
              </w:rPr>
              <w:t xml:space="preserve">HTTPS (TLS) avec certificat d'entreprise ; cookie de session </w:t>
            </w:r>
            <w:r>
              <w:rPr>
                <w:rFonts w:ascii="Consolas" w:hAnsi="Consolas" w:cs="Consolas"/>
                <w:color w:val="1C5CAB"/>
                <w:sz w:val="18"/>
                <w:szCs w:val="18"/>
                <w:shd w:val="clear" w:color="auto" w:fill="EEF3FA"/>
              </w:rPr>
              <w:t xml:space="preserve">HttpOnly</w:t>
            </w:r>
            <w:r>
              <w:rPr>
                <w:sz w:val="18"/>
                <w:szCs w:val="18"/>
              </w:rPr>
              <w:t xml:space="preserve">, </w:t>
            </w:r>
            <w:r>
              <w:rPr>
                <w:rFonts w:ascii="Consolas" w:hAnsi="Consolas" w:cs="Consolas"/>
                <w:color w:val="1C5CAB"/>
                <w:sz w:val="18"/>
                <w:szCs w:val="18"/>
                <w:shd w:val="clear" w:color="auto" w:fill="EEF3FA"/>
              </w:rPr>
              <w:t xml:space="preserve">Secure</w:t>
            </w:r>
            <w:r>
              <w:rPr>
                <w:sz w:val="18"/>
                <w:szCs w:val="18"/>
              </w:rPr>
              <w:t xml:space="preserve">, </w:t>
            </w:r>
            <w:r>
              <w:rPr>
                <w:rFonts w:ascii="Consolas" w:hAnsi="Consolas" w:cs="Consolas"/>
                <w:color w:val="1C5CAB"/>
                <w:sz w:val="18"/>
                <w:szCs w:val="18"/>
                <w:shd w:val="clear" w:color="auto" w:fill="EEF3FA"/>
              </w:rPr>
              <w:t xml:space="preserve">SameSite</w:t>
            </w:r>
          </w:p>
        </w:tc>
      </w:tr>
      <w:tr>
        <w:trPr>
          <w:cantSplit/>
        </w:trPr>
        <w:tc>
          <w:tcPr>
            <w:tcW w:w="2753" w:type="dxa"/>
            <w:shd w:val="clear" w:color="auto" w:fill="F4F7FC"/>
          </w:tcPr>
          <w:p>
            <w:pPr>
              <w:pStyle w:val="TableText"/>
            </w:pPr>
            <w:r>
              <w:rPr>
                <w:sz w:val="18"/>
                <w:szCs w:val="18"/>
              </w:rPr>
              <w:t xml:space="preserve">FreeLM → Active Directory</w:t>
            </w:r>
          </w:p>
        </w:tc>
        <w:tc>
          <w:tcPr>
            <w:tcW w:w="6884" w:type="dxa"/>
            <w:shd w:val="clear" w:color="auto" w:fill="F4F7FC"/>
          </w:tcPr>
          <w:p>
            <w:pPr>
              <w:pStyle w:val="TableText"/>
            </w:pPr>
            <w:r>
              <w:rPr>
                <w:sz w:val="18"/>
                <w:szCs w:val="18"/>
              </w:rPr>
              <w:t xml:space="preserve">LDAPS (636) ou STARTTLS vérifié avant l'envoi du mot de passe ; certificat validé</w:t>
            </w:r>
          </w:p>
        </w:tc>
      </w:tr>
      <w:tr>
        <w:trPr>
          <w:cantSplit/>
        </w:trPr>
        <w:tc>
          <w:tcPr>
            <w:tcW w:w="2753" w:type="dxa"/>
          </w:tcPr>
          <w:p>
            <w:pPr>
              <w:pStyle w:val="TableText"/>
            </w:pPr>
            <w:r>
              <w:rPr>
                <w:sz w:val="18"/>
                <w:szCs w:val="18"/>
              </w:rPr>
              <w:t xml:space="preserve">FreeLM → SQL Server</w:t>
            </w:r>
          </w:p>
        </w:tc>
        <w:tc>
          <w:tcPr>
            <w:tcW w:w="6884" w:type="dxa"/>
          </w:tcPr>
          <w:p>
            <w:pPr>
              <w:pStyle w:val="TableText"/>
            </w:pPr>
            <w:r>
              <w:rPr>
                <w:rFonts w:ascii="Consolas" w:hAnsi="Consolas" w:cs="Consolas"/>
                <w:color w:val="1C5CAB"/>
                <w:sz w:val="18"/>
                <w:szCs w:val="18"/>
                <w:shd w:val="clear" w:color="auto" w:fill="EEF3FA"/>
              </w:rPr>
              <w:t xml:space="preserve">Encrypt=yes</w:t>
            </w:r>
            <w:r>
              <w:rPr>
                <w:sz w:val="18"/>
                <w:szCs w:val="18"/>
              </w:rPr>
              <w:t xml:space="preserve"> avec validation du certificat (avertissement si </w:t>
            </w:r>
            <w:r>
              <w:rPr>
                <w:rFonts w:ascii="Consolas" w:hAnsi="Consolas" w:cs="Consolas"/>
                <w:color w:val="1C5CAB"/>
                <w:sz w:val="18"/>
                <w:szCs w:val="18"/>
                <w:shd w:val="clear" w:color="auto" w:fill="EEF3FA"/>
              </w:rPr>
              <w:t xml:space="preserve">TrustServerCertificate=yes</w:t>
            </w:r>
            <w:r>
              <w:rPr>
                <w:sz w:val="18"/>
                <w:szCs w:val="18"/>
              </w:rPr>
              <w:t xml:space="preserve">)</w:t>
            </w:r>
          </w:p>
        </w:tc>
      </w:tr>
      <w:tr>
        <w:trPr>
          <w:cantSplit/>
        </w:trPr>
        <w:tc>
          <w:tcPr>
            <w:tcW w:w="2753" w:type="dxa"/>
            <w:shd w:val="clear" w:color="auto" w:fill="F4F7FC"/>
          </w:tcPr>
          <w:p>
            <w:pPr>
              <w:pStyle w:val="TableText"/>
            </w:pPr>
            <w:r>
              <w:rPr>
                <w:sz w:val="18"/>
                <w:szCs w:val="18"/>
              </w:rPr>
              <w:t xml:space="preserve">FreeLM → SMTP</w:t>
            </w:r>
          </w:p>
        </w:tc>
        <w:tc>
          <w:tcPr>
            <w:tcW w:w="6884" w:type="dxa"/>
            <w:shd w:val="clear" w:color="auto" w:fill="F4F7FC"/>
          </w:tcPr>
          <w:p>
            <w:pPr>
              <w:pStyle w:val="TableText"/>
            </w:pPr>
            <w:r>
              <w:rPr>
                <w:sz w:val="18"/>
                <w:szCs w:val="18"/>
              </w:rPr>
              <w:t xml:space="preserve">STARTTLS ou SSL ; authentification refusée sans chiffrement</w:t>
            </w:r>
          </w:p>
        </w:tc>
      </w:tr>
      <w:tr>
        <w:trPr>
          <w:cantSplit/>
        </w:trPr>
        <w:tc>
          <w:tcPr>
            <w:tcW w:w="2753" w:type="dxa"/>
          </w:tcPr>
          <w:p>
            <w:pPr>
              <w:pStyle w:val="TableText"/>
            </w:pPr>
            <w:r>
              <w:rPr>
                <w:sz w:val="18"/>
                <w:szCs w:val="18"/>
              </w:rPr>
              <w:t xml:space="preserve">FreeLM → serveurs de licences</w:t>
            </w:r>
          </w:p>
        </w:tc>
        <w:tc>
          <w:tcPr>
            <w:tcW w:w="6884" w:type="dxa"/>
          </w:tcPr>
          <w:p>
            <w:pPr>
              <w:pStyle w:val="TableText"/>
            </w:pPr>
            <w:r>
              <w:rPr>
                <w:sz w:val="18"/>
                <w:szCs w:val="18"/>
              </w:rPr>
              <w:t xml:space="preserve">Protocole FlexLM (non chiffré, ne transporte pas de secret)</w:t>
            </w:r>
          </w:p>
        </w:tc>
      </w:tr>
    </w:tbl>
    <w:p>
      <w:pPr>
        <w:spacing w:after="80"/>
      </w:pPr>
    </w:p>
    <w:p>
      <w:pPr>
        <w:pStyle w:val="Heading2"/>
      </w:pPr>
      <w:bookmarkStart w:id="109" w:name="_Toc00109"/>
      <w:r>
        <w:rPr/>
        <w:t xml:space="preserve">10.4 Traçabilité</w:t>
      </w:r>
      <w:bookmarkEnd w:id="109"/>
    </w:p>
    <w:p>
      <w:pPr/>
      <w:r>
        <w:rPr/>
        <w:t xml:space="preserve">Le journal </w:t>
      </w:r>
      <w:r>
        <w:rPr>
          <w:rFonts w:ascii="Consolas" w:hAnsi="Consolas" w:cs="Consolas"/>
          <w:color w:val="1C5CAB"/>
          <w:sz w:val="18"/>
          <w:szCs w:val="18"/>
          <w:shd w:val="clear" w:color="auto" w:fill="EEF3FA"/>
        </w:rPr>
        <w:t xml:space="preserve">freelm.audit</w:t>
      </w:r>
      <w:r>
        <w:rPr/>
        <w:t xml:space="preserve"> enregistre les connexions réussies, les échecs (avec la cause réelle), les blocages, les déconnexions et chaque export (utilisateur, adresse IP, type, format, filtres). Les caractères de contrôle sont neutralisés pour empêcher la falsification du journal.</w:t>
      </w:r>
    </w:p>
    <w:p>
      <w:pPr>
        <w:pStyle w:val="Heading2"/>
      </w:pPr>
      <w:bookmarkStart w:id="110" w:name="_Toc00110"/>
      <w:r>
        <w:rPr/>
        <w:t xml:space="preserve">10.5 Données personnelles</w:t>
      </w:r>
      <w:bookmarkEnd w:id="110"/>
    </w:p>
    <w:p>
      <w:pPr>
        <w:pStyle w:val="Caption"/>
        <w:keepNext/>
      </w:pPr>
      <w:r>
        <w:rPr/>
        <w:t xml:space="preserve">Tableau 27 – Données personnelles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202"/>
        <w:gridCol w:w="7435"/>
      </w:tblGrid>
      <w:tr>
        <w:trPr>
          <w:tblHeader/>
          <w:cantSplit/>
        </w:trPr>
        <w:tc>
          <w:tcPr>
            <w:tcW w:w="2202" w:type="dxa"/>
            <w:shd w:val="clear" w:color="auto" w:fill="2A78D6"/>
          </w:tcPr>
          <w:p>
            <w:pPr>
              <w:pStyle w:val="TableText"/>
            </w:pPr>
            <w:r>
              <w:rPr>
                <w:b/>
                <w:color w:val="FFFFFF"/>
                <w:sz w:val="18"/>
                <w:szCs w:val="18"/>
              </w:rPr>
              <w:t xml:space="preserve">Élément</w:t>
            </w:r>
          </w:p>
        </w:tc>
        <w:tc>
          <w:tcPr>
            <w:tcW w:w="7435" w:type="dxa"/>
            <w:shd w:val="clear" w:color="auto" w:fill="2A78D6"/>
          </w:tcPr>
          <w:p>
            <w:pPr>
              <w:pStyle w:val="TableText"/>
            </w:pPr>
            <w:r>
              <w:rPr>
                <w:b/>
                <w:color w:val="FFFFFF"/>
                <w:sz w:val="18"/>
                <w:szCs w:val="18"/>
              </w:rPr>
              <w:t xml:space="preserve">Description</w:t>
            </w:r>
          </w:p>
        </w:tc>
      </w:tr>
      <w:tr>
        <w:trPr>
          <w:cantSplit/>
        </w:trPr>
        <w:tc>
          <w:tcPr>
            <w:tcW w:w="2202" w:type="dxa"/>
          </w:tcPr>
          <w:p>
            <w:pPr>
              <w:pStyle w:val="TableText"/>
            </w:pPr>
            <w:r>
              <w:rPr>
                <w:sz w:val="18"/>
                <w:szCs w:val="18"/>
              </w:rPr>
              <w:t xml:space="preserve">Données traitées</w:t>
            </w:r>
          </w:p>
        </w:tc>
        <w:tc>
          <w:tcPr>
            <w:tcW w:w="7435" w:type="dxa"/>
          </w:tcPr>
          <w:p>
            <w:pPr>
              <w:pStyle w:val="TableText"/>
            </w:pPr>
            <w:r>
              <w:rPr>
                <w:sz w:val="18"/>
                <w:szCs w:val="18"/>
              </w:rPr>
              <w:t xml:space="preserve">Identifiant Windows, nom, service, nom du poste, horaires d'utilisation des logiciels</w:t>
            </w:r>
          </w:p>
        </w:tc>
      </w:tr>
      <w:tr>
        <w:trPr>
          <w:cantSplit/>
        </w:trPr>
        <w:tc>
          <w:tcPr>
            <w:tcW w:w="2202" w:type="dxa"/>
            <w:shd w:val="clear" w:color="auto" w:fill="F4F7FC"/>
          </w:tcPr>
          <w:p>
            <w:pPr>
              <w:pStyle w:val="TableText"/>
            </w:pPr>
            <w:r>
              <w:rPr>
                <w:sz w:val="18"/>
                <w:szCs w:val="18"/>
              </w:rPr>
              <w:t xml:space="preserve">Finalité</w:t>
            </w:r>
          </w:p>
        </w:tc>
        <w:tc>
          <w:tcPr>
            <w:tcW w:w="7435" w:type="dxa"/>
            <w:shd w:val="clear" w:color="auto" w:fill="F4F7FC"/>
          </w:tcPr>
          <w:p>
            <w:pPr>
              <w:pStyle w:val="TableText"/>
            </w:pPr>
            <w:r>
              <w:rPr>
                <w:sz w:val="18"/>
                <w:szCs w:val="18"/>
              </w:rPr>
              <w:t xml:space="preserve">Dimensionnement et optimisation du parc de licences, refacturation interne</w:t>
            </w:r>
          </w:p>
        </w:tc>
      </w:tr>
      <w:tr>
        <w:trPr>
          <w:cantSplit/>
        </w:trPr>
        <w:tc>
          <w:tcPr>
            <w:tcW w:w="2202" w:type="dxa"/>
          </w:tcPr>
          <w:p>
            <w:pPr>
              <w:pStyle w:val="TableText"/>
            </w:pPr>
            <w:r>
              <w:rPr>
                <w:sz w:val="18"/>
                <w:szCs w:val="18"/>
              </w:rPr>
              <w:t xml:space="preserve">Base légale</w:t>
            </w:r>
          </w:p>
        </w:tc>
        <w:tc>
          <w:tcPr>
            <w:tcW w:w="7435" w:type="dxa"/>
          </w:tcPr>
          <w:p>
            <w:pPr>
              <w:pStyle w:val="TableText"/>
            </w:pPr>
            <w:r>
              <w:rPr>
                <w:sz w:val="18"/>
                <w:szCs w:val="18"/>
              </w:rPr>
              <w:t xml:space="preserve">Intérêt légitime de l'employeur (à confirmer par le DPO)</w:t>
            </w:r>
          </w:p>
        </w:tc>
      </w:tr>
      <w:tr>
        <w:trPr>
          <w:cantSplit/>
        </w:trPr>
        <w:tc>
          <w:tcPr>
            <w:tcW w:w="2202" w:type="dxa"/>
            <w:shd w:val="clear" w:color="auto" w:fill="F4F7FC"/>
          </w:tcPr>
          <w:p>
            <w:pPr>
              <w:pStyle w:val="TableText"/>
            </w:pPr>
            <w:r>
              <w:rPr>
                <w:sz w:val="18"/>
                <w:szCs w:val="18"/>
              </w:rPr>
              <w:t xml:space="preserve">Destinataires</w:t>
            </w:r>
          </w:p>
        </w:tc>
        <w:tc>
          <w:tcPr>
            <w:tcW w:w="7435" w:type="dxa"/>
            <w:shd w:val="clear" w:color="auto" w:fill="F4F7FC"/>
          </w:tcPr>
          <w:p>
            <w:pPr>
              <w:pStyle w:val="TableText"/>
            </w:pPr>
            <w:r>
              <w:rPr>
                <w:sz w:val="18"/>
                <w:szCs w:val="18"/>
              </w:rPr>
              <w:t xml:space="preserve">Membres du groupe d'accès ; abonnés au rapport mensuel</w:t>
            </w:r>
          </w:p>
        </w:tc>
      </w:tr>
      <w:tr>
        <w:trPr>
          <w:cantSplit/>
        </w:trPr>
        <w:tc>
          <w:tcPr>
            <w:tcW w:w="2202" w:type="dxa"/>
          </w:tcPr>
          <w:p>
            <w:pPr>
              <w:pStyle w:val="TableText"/>
            </w:pPr>
            <w:r>
              <w:rPr>
                <w:sz w:val="18"/>
                <w:szCs w:val="18"/>
              </w:rPr>
              <w:t xml:space="preserve">Conservation</w:t>
            </w:r>
          </w:p>
        </w:tc>
        <w:tc>
          <w:tcPr>
            <w:tcW w:w="7435" w:type="dxa"/>
          </w:tcPr>
          <w:p>
            <w:pPr>
              <w:pStyle w:val="TableText"/>
            </w:pPr>
            <w:r>
              <w:rPr>
                <w:sz w:val="18"/>
                <w:szCs w:val="18"/>
              </w:rPr>
              <w:t xml:space="preserve">Voir § 9.2 ; à fixer avec le DPO</w:t>
            </w:r>
          </w:p>
        </w:tc>
      </w:tr>
      <w:tr>
        <w:trPr>
          <w:cantSplit/>
        </w:trPr>
        <w:tc>
          <w:tcPr>
            <w:tcW w:w="2202" w:type="dxa"/>
            <w:shd w:val="clear" w:color="auto" w:fill="F4F7FC"/>
          </w:tcPr>
          <w:p>
            <w:pPr>
              <w:pStyle w:val="TableText"/>
            </w:pPr>
            <w:r>
              <w:rPr>
                <w:sz w:val="18"/>
                <w:szCs w:val="18"/>
              </w:rPr>
              <w:t xml:space="preserve">Actions recommandées</w:t>
            </w:r>
          </w:p>
        </w:tc>
        <w:tc>
          <w:tcPr>
            <w:tcW w:w="7435" w:type="dxa"/>
            <w:shd w:val="clear" w:color="auto" w:fill="F4F7FC"/>
          </w:tcPr>
          <w:p>
            <w:pPr>
              <w:pStyle w:val="TableText"/>
            </w:pPr>
            <w:r>
              <w:rPr>
                <w:sz w:val="18"/>
                <w:szCs w:val="18"/>
              </w:rPr>
              <w:t xml:space="preserve">Inscription au registre des traitements, information des utilisateurs, revue des accès</w:t>
            </w:r>
          </w:p>
        </w:tc>
      </w:tr>
    </w:tbl>
    <w:p>
      <w:pPr>
        <w:spacing w:after="80"/>
      </w:pPr>
    </w:p>
    <w:p>
      <w:pPr>
        <w:pStyle w:val="Heading2"/>
      </w:pPr>
      <w:bookmarkStart w:id="111" w:name="_Toc00111"/>
      <w:r>
        <w:rPr/>
        <w:t xml:space="preserve">10.6 Liste de contrôle de déploiement</w:t>
      </w:r>
      <w:bookmarkEnd w:id="111"/>
    </w:p>
    <w:p>
      <w:pPr>
        <w:pStyle w:val="Caption"/>
        <w:keepNext/>
      </w:pPr>
      <w:r>
        <w:rPr/>
        <w:t xml:space="preserve">Tableau 28 – Liste de contrôle sécurité</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566"/>
        <w:gridCol w:w="8362"/>
        <w:gridCol w:w="708"/>
      </w:tblGrid>
      <w:tr>
        <w:trPr>
          <w:tblHeader/>
          <w:cantSplit/>
        </w:trPr>
        <w:tc>
          <w:tcPr>
            <w:tcW w:w="566" w:type="dxa"/>
            <w:shd w:val="clear" w:color="auto" w:fill="2A78D6"/>
          </w:tcPr>
          <w:p>
            <w:pPr>
              <w:pStyle w:val="TableText"/>
            </w:pPr>
            <w:r>
              <w:rPr>
                <w:b/>
                <w:color w:val="FFFFFF"/>
                <w:sz w:val="18"/>
                <w:szCs w:val="18"/>
              </w:rPr>
              <w:t xml:space="preserve">N°</w:t>
            </w:r>
          </w:p>
        </w:tc>
        <w:tc>
          <w:tcPr>
            <w:tcW w:w="8362" w:type="dxa"/>
            <w:shd w:val="clear" w:color="auto" w:fill="2A78D6"/>
          </w:tcPr>
          <w:p>
            <w:pPr>
              <w:pStyle w:val="TableText"/>
            </w:pPr>
            <w:r>
              <w:rPr>
                <w:b/>
                <w:color w:val="FFFFFF"/>
                <w:sz w:val="18"/>
                <w:szCs w:val="18"/>
              </w:rPr>
              <w:t xml:space="preserve">Contrôle</w:t>
            </w:r>
          </w:p>
        </w:tc>
        <w:tc>
          <w:tcPr>
            <w:tcW w:w="708" w:type="dxa"/>
            <w:shd w:val="clear" w:color="auto" w:fill="2A78D6"/>
          </w:tcPr>
          <w:p>
            <w:pPr>
              <w:pStyle w:val="TableText"/>
            </w:pPr>
            <w:r>
              <w:rPr>
                <w:b/>
                <w:color w:val="FFFFFF"/>
                <w:sz w:val="18"/>
                <w:szCs w:val="18"/>
              </w:rPr>
              <w:t xml:space="preserve">OK</w:t>
            </w:r>
          </w:p>
        </w:tc>
      </w:tr>
      <w:tr>
        <w:trPr>
          <w:cantSplit/>
        </w:trPr>
        <w:tc>
          <w:tcPr>
            <w:tcW w:w="566" w:type="dxa"/>
          </w:tcPr>
          <w:p>
            <w:pPr>
              <w:pStyle w:val="TableText"/>
            </w:pPr>
            <w:r>
              <w:rPr>
                <w:sz w:val="18"/>
                <w:szCs w:val="18"/>
              </w:rPr>
              <w:t xml:space="preserve">1</w:t>
            </w:r>
          </w:p>
        </w:tc>
        <w:tc>
          <w:tcPr>
            <w:tcW w:w="8362" w:type="dxa"/>
          </w:tcPr>
          <w:p>
            <w:pPr>
              <w:pStyle w:val="TableText"/>
            </w:pPr>
            <w:r>
              <w:rPr>
                <w:sz w:val="18"/>
                <w:szCs w:val="18"/>
              </w:rPr>
              <w:t xml:space="preserve">Compte de service dédié, non administrateur (gMSA recommandé) pour toutes les tâches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2</w:t>
            </w:r>
          </w:p>
        </w:tc>
        <w:tc>
          <w:tcPr>
            <w:tcW w:w="8362" w:type="dxa"/>
            <w:shd w:val="clear" w:color="auto" w:fill="F4F7FC"/>
          </w:tcPr>
          <w:p>
            <w:pPr>
              <w:pStyle w:val="TableText"/>
            </w:pPr>
            <w:r>
              <w:rPr>
                <w:sz w:val="18"/>
                <w:szCs w:val="18"/>
              </w:rPr>
              <w:t xml:space="preserve">Base : db_datareader + db_datawriter ; db_ddladmin retiré après init-db</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3</w:t>
            </w:r>
          </w:p>
        </w:tc>
        <w:tc>
          <w:tcPr>
            <w:tcW w:w="8362" w:type="dxa"/>
          </w:tcPr>
          <w:p>
            <w:pPr>
              <w:pStyle w:val="TableText"/>
            </w:pPr>
            <w:r>
              <w:rPr>
                <w:sz w:val="18"/>
                <w:szCs w:val="18"/>
              </w:rPr>
              <w:t xml:space="preserve">Chaîne de connexion </w:t>
            </w:r>
            <w:r>
              <w:rPr>
                <w:rFonts w:ascii="Consolas" w:hAnsi="Consolas" w:cs="Consolas"/>
                <w:color w:val="1C5CAB"/>
                <w:sz w:val="18"/>
                <w:szCs w:val="18"/>
                <w:shd w:val="clear" w:color="auto" w:fill="EEF3FA"/>
              </w:rPr>
              <w:t xml:space="preserve">Encrypt=yes</w:t>
            </w:r>
            <w:r>
              <w:rPr>
                <w:sz w:val="18"/>
                <w:szCs w:val="18"/>
              </w:rPr>
              <w:t xml:space="preserve">, certificat SQL valide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4</w:t>
            </w:r>
          </w:p>
        </w:tc>
        <w:tc>
          <w:tcPr>
            <w:tcW w:w="8362" w:type="dxa"/>
            <w:shd w:val="clear" w:color="auto" w:fill="F4F7FC"/>
          </w:tcPr>
          <w:p>
            <w:pPr>
              <w:pStyle w:val="TableText"/>
            </w:pPr>
            <w:r>
              <w:rPr>
                <w:sz w:val="18"/>
                <w:szCs w:val="18"/>
              </w:rPr>
              <w:t xml:space="preserve">Interface partagée : </w:t>
            </w:r>
            <w:r>
              <w:rPr>
                <w:rFonts w:ascii="Consolas" w:hAnsi="Consolas" w:cs="Consolas"/>
                <w:color w:val="1C5CAB"/>
                <w:sz w:val="18"/>
                <w:szCs w:val="18"/>
                <w:shd w:val="clear" w:color="auto" w:fill="EEF3FA"/>
              </w:rPr>
              <w:t xml:space="preserve">auth.mode: ldap</w:t>
            </w:r>
            <w:r>
              <w:rPr>
                <w:sz w:val="18"/>
                <w:szCs w:val="18"/>
              </w:rPr>
              <w:t xml:space="preserve"> (ou header) + HTTPS + </w:t>
            </w:r>
            <w:r>
              <w:rPr>
                <w:rFonts w:ascii="Consolas" w:hAnsi="Consolas" w:cs="Consolas"/>
                <w:color w:val="1C5CAB"/>
                <w:sz w:val="18"/>
                <w:szCs w:val="18"/>
                <w:shd w:val="clear" w:color="auto" w:fill="EEF3FA"/>
              </w:rPr>
              <w:t xml:space="preserve">allowed_groups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5</w:t>
            </w:r>
          </w:p>
        </w:tc>
        <w:tc>
          <w:tcPr>
            <w:tcW w:w="8362" w:type="dxa"/>
          </w:tcPr>
          <w:p>
            <w:pPr>
              <w:pStyle w:val="TableText"/>
            </w:pPr>
            <w:r>
              <w:rPr>
                <w:rFonts w:ascii="Consolas" w:hAnsi="Consolas" w:cs="Consolas"/>
                <w:color w:val="1C5CAB"/>
                <w:sz w:val="18"/>
                <w:szCs w:val="18"/>
                <w:shd w:val="clear" w:color="auto" w:fill="EEF3FA"/>
              </w:rPr>
              <w:t xml:space="preserve">public_url</w:t>
            </w:r>
            <w:r>
              <w:rPr>
                <w:sz w:val="18"/>
                <w:szCs w:val="18"/>
              </w:rPr>
              <w:t xml:space="preserve"> / </w:t>
            </w:r>
            <w:r>
              <w:rPr>
                <w:rFonts w:ascii="Consolas" w:hAnsi="Consolas" w:cs="Consolas"/>
                <w:color w:val="1C5CAB"/>
                <w:sz w:val="18"/>
                <w:szCs w:val="18"/>
                <w:shd w:val="clear" w:color="auto" w:fill="EEF3FA"/>
              </w:rPr>
              <w:t xml:space="preserve">allowed_hosts</w:t>
            </w:r>
            <w:r>
              <w:rPr>
                <w:sz w:val="18"/>
                <w:szCs w:val="18"/>
              </w:rPr>
              <w:t xml:space="preserve"> renseignés avec les noms réellement utilisés</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6</w:t>
            </w:r>
          </w:p>
        </w:tc>
        <w:tc>
          <w:tcPr>
            <w:tcW w:w="8362" w:type="dxa"/>
            <w:shd w:val="clear" w:color="auto" w:fill="F4F7FC"/>
          </w:tcPr>
          <w:p>
            <w:pPr>
              <w:pStyle w:val="TableText"/>
            </w:pPr>
            <w:r>
              <w:rPr>
                <w:sz w:val="18"/>
                <w:szCs w:val="18"/>
              </w:rPr>
              <w:t xml:space="preserve">LDAPS avec vérification du certificat (</w:t>
            </w:r>
            <w:r>
              <w:rPr>
                <w:rFonts w:ascii="Consolas" w:hAnsi="Consolas" w:cs="Consolas"/>
                <w:color w:val="1C5CAB"/>
                <w:sz w:val="18"/>
                <w:szCs w:val="18"/>
                <w:shd w:val="clear" w:color="auto" w:fill="EEF3FA"/>
              </w:rPr>
              <w:t xml:space="preserve">ldap_ca_file</w:t>
            </w:r>
            <w:r>
              <w:rPr>
                <w:sz w:val="18"/>
                <w:szCs w:val="18"/>
              </w:rPr>
              <w:t xml:space="preserve"> si AC interne)</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7</w:t>
            </w:r>
          </w:p>
        </w:tc>
        <w:tc>
          <w:tcPr>
            <w:tcW w:w="8362" w:type="dxa"/>
          </w:tcPr>
          <w:p>
            <w:pPr>
              <w:pStyle w:val="TableText"/>
            </w:pPr>
            <w:r>
              <w:rPr>
                <w:sz w:val="18"/>
                <w:szCs w:val="18"/>
              </w:rPr>
              <w:t xml:space="preserve">SMTP en STARTTLS ou SSL ; mots de passe en variables d'environnement</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8</w:t>
            </w:r>
          </w:p>
        </w:tc>
        <w:tc>
          <w:tcPr>
            <w:tcW w:w="8362" w:type="dxa"/>
            <w:shd w:val="clear" w:color="auto" w:fill="F4F7FC"/>
          </w:tcPr>
          <w:p>
            <w:pPr>
              <w:pStyle w:val="TableText"/>
            </w:pPr>
            <w:r>
              <w:rPr>
                <w:sz w:val="18"/>
                <w:szCs w:val="18"/>
              </w:rPr>
              <w:t xml:space="preserve">Droits NTFS restreints sur freelm.yaml, la clé TLS et les journaux</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9</w:t>
            </w:r>
          </w:p>
        </w:tc>
        <w:tc>
          <w:tcPr>
            <w:tcW w:w="8362" w:type="dxa"/>
          </w:tcPr>
          <w:p>
            <w:pPr>
              <w:pStyle w:val="TableText"/>
            </w:pPr>
            <w:r>
              <w:rPr>
                <w:sz w:val="18"/>
                <w:szCs w:val="18"/>
              </w:rPr>
              <w:t xml:space="preserve">Journal d'audit collecté par le SIEM ; durée de conservation définie</w:t>
            </w:r>
          </w:p>
        </w:tc>
        <w:tc>
          <w:tcPr>
            <w:tcW w:w="708" w:type="dxa"/>
          </w:tcPr>
          <w:p>
            <w:pPr>
              <w:pStyle w:val="TableText"/>
            </w:pPr>
            <w:r>
              <w:rPr>
                <w:sz w:val="18"/>
                <w:szCs w:val="18"/>
              </w:rPr>
              <w:t xml:space="preserve">☐</w:t>
            </w:r>
          </w:p>
        </w:tc>
      </w:tr>
      <w:tr>
        <w:trPr>
          <w:cantSplit/>
        </w:trPr>
        <w:tc>
          <w:tcPr>
            <w:tcW w:w="566" w:type="dxa"/>
            <w:shd w:val="clear" w:color="auto" w:fill="F4F7FC"/>
          </w:tcPr>
          <w:p>
            <w:pPr>
              <w:pStyle w:val="TableText"/>
            </w:pPr>
            <w:r>
              <w:rPr>
                <w:sz w:val="18"/>
                <w:szCs w:val="18"/>
              </w:rPr>
              <w:t xml:space="preserve">10</w:t>
            </w:r>
          </w:p>
        </w:tc>
        <w:tc>
          <w:tcPr>
            <w:tcW w:w="8362" w:type="dxa"/>
            <w:shd w:val="clear" w:color="auto" w:fill="F4F7FC"/>
          </w:tcPr>
          <w:p>
            <w:pPr>
              <w:pStyle w:val="TableText"/>
            </w:pPr>
            <w:r>
              <w:rPr>
                <w:sz w:val="18"/>
                <w:szCs w:val="18"/>
              </w:rPr>
              <w:t xml:space="preserve">Pare-feu : port de l'interface ouvert aux seuls réseaux utilisateurs</w:t>
            </w:r>
          </w:p>
        </w:tc>
        <w:tc>
          <w:tcPr>
            <w:tcW w:w="708" w:type="dxa"/>
            <w:shd w:val="clear" w:color="auto" w:fill="F4F7FC"/>
          </w:tcPr>
          <w:p>
            <w:pPr>
              <w:pStyle w:val="TableText"/>
            </w:pPr>
            <w:r>
              <w:rPr>
                <w:sz w:val="18"/>
                <w:szCs w:val="18"/>
              </w:rPr>
              <w:t xml:space="preserve">☐</w:t>
            </w:r>
          </w:p>
        </w:tc>
      </w:tr>
      <w:tr>
        <w:trPr>
          <w:cantSplit/>
        </w:trPr>
        <w:tc>
          <w:tcPr>
            <w:tcW w:w="566" w:type="dxa"/>
          </w:tcPr>
          <w:p>
            <w:pPr>
              <w:pStyle w:val="TableText"/>
            </w:pPr>
            <w:r>
              <w:rPr>
                <w:sz w:val="18"/>
                <w:szCs w:val="18"/>
              </w:rPr>
              <w:t xml:space="preserve">11</w:t>
            </w:r>
          </w:p>
        </w:tc>
        <w:tc>
          <w:tcPr>
            <w:tcW w:w="8362" w:type="dxa"/>
          </w:tcPr>
          <w:p>
            <w:pPr>
              <w:pStyle w:val="TableText"/>
            </w:pPr>
            <w:r>
              <w:rPr>
                <w:sz w:val="18"/>
                <w:szCs w:val="18"/>
              </w:rPr>
              <w:t xml:space="preserve">Empreinte SHA-256 de FreeLM.exe vérifiée</w:t>
            </w:r>
          </w:p>
        </w:tc>
        <w:tc>
          <w:tcPr>
            <w:tcW w:w="708" w:type="dxa"/>
          </w:tcPr>
          <w:p>
            <w:pPr>
              <w:pStyle w:val="TableText"/>
            </w:pPr>
            <w:r>
              <w:rPr>
                <w:sz w:val="18"/>
                <w:szCs w:val="18"/>
              </w:rPr>
              <w:t xml:space="preserve">☐</w:t>
            </w:r>
          </w:p>
        </w:tc>
      </w:tr>
    </w:tbl>
    <w:p>
      <w:pPr>
        <w:spacing w:after="80"/>
      </w:pPr>
    </w:p>
    <w:p>
      <w:pPr>
        <w:pStyle w:val="Heading2"/>
      </w:pPr>
      <w:bookmarkStart w:id="112" w:name="_Toc00112"/>
      <w:r>
        <w:rPr/>
        <w:t xml:space="preserve">10.7 Risques résiduels</w:t>
      </w:r>
      <w:bookmarkEnd w:id="112"/>
    </w:p>
    <w:p>
      <w:pPr>
        <w:pStyle w:val="Caption"/>
        <w:keepNext/>
      </w:pPr>
      <w:r>
        <w:rPr/>
        <w:t xml:space="preserve">Tableau 29 – Risques résiduels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819"/>
        <w:gridCol w:w="4819"/>
      </w:tblGrid>
      <w:tr>
        <w:trPr>
          <w:tblHeader/>
          <w:cantSplit/>
        </w:trPr>
        <w:tc>
          <w:tcPr>
            <w:tcW w:w="4819" w:type="dxa"/>
            <w:shd w:val="clear" w:color="auto" w:fill="2A78D6"/>
          </w:tcPr>
          <w:p>
            <w:pPr>
              <w:pStyle w:val="TableText"/>
            </w:pPr>
            <w:r>
              <w:rPr>
                <w:b/>
                <w:color w:val="FFFFFF"/>
                <w:sz w:val="18"/>
                <w:szCs w:val="18"/>
              </w:rPr>
              <w:t xml:space="preserve">Risque</w:t>
            </w:r>
          </w:p>
        </w:tc>
        <w:tc>
          <w:tcPr>
            <w:tcW w:w="4819" w:type="dxa"/>
            <w:shd w:val="clear" w:color="auto" w:fill="2A78D6"/>
          </w:tcPr>
          <w:p>
            <w:pPr>
              <w:pStyle w:val="TableText"/>
            </w:pPr>
            <w:r>
              <w:rPr>
                <w:b/>
                <w:color w:val="FFFFFF"/>
                <w:sz w:val="18"/>
                <w:szCs w:val="18"/>
              </w:rPr>
              <w:t xml:space="preserve">Mesure recommandée</w:t>
            </w:r>
          </w:p>
        </w:tc>
      </w:tr>
      <w:tr>
        <w:trPr>
          <w:cantSplit/>
        </w:trPr>
        <w:tc>
          <w:tcPr>
            <w:tcW w:w="4819" w:type="dxa"/>
          </w:tcPr>
          <w:p>
            <w:pPr>
              <w:pStyle w:val="TableText"/>
            </w:pPr>
            <w:r>
              <w:rPr>
                <w:sz w:val="18"/>
                <w:szCs w:val="18"/>
              </w:rPr>
              <w:t xml:space="preserve">Tous les utilisateurs autorisés voient toutes les données nominatives</w:t>
            </w:r>
          </w:p>
        </w:tc>
        <w:tc>
          <w:tcPr>
            <w:tcW w:w="4819" w:type="dxa"/>
          </w:tcPr>
          <w:p>
            <w:pPr>
              <w:pStyle w:val="TableText"/>
            </w:pPr>
            <w:r>
              <w:rPr>
                <w:sz w:val="18"/>
                <w:szCs w:val="18"/>
              </w:rPr>
              <w:t xml:space="preserve">Limiter le groupe d'accès ; droits par service (évolution)</w:t>
            </w:r>
          </w:p>
        </w:tc>
      </w:tr>
      <w:tr>
        <w:trPr>
          <w:cantSplit/>
        </w:trPr>
        <w:tc>
          <w:tcPr>
            <w:tcW w:w="4819" w:type="dxa"/>
            <w:shd w:val="clear" w:color="auto" w:fill="F4F7FC"/>
          </w:tcPr>
          <w:p>
            <w:pPr>
              <w:pStyle w:val="TableText"/>
            </w:pPr>
            <w:r>
              <w:rPr>
                <w:sz w:val="18"/>
                <w:szCs w:val="18"/>
              </w:rPr>
              <w:t xml:space="preserve">Exécutable non signé</w:t>
            </w:r>
          </w:p>
        </w:tc>
        <w:tc>
          <w:tcPr>
            <w:tcW w:w="4819" w:type="dxa"/>
            <w:shd w:val="clear" w:color="auto" w:fill="F4F7FC"/>
          </w:tcPr>
          <w:p>
            <w:pPr>
              <w:pStyle w:val="TableText"/>
            </w:pPr>
            <w:r>
              <w:rPr>
                <w:sz w:val="18"/>
                <w:szCs w:val="18"/>
              </w:rPr>
              <w:t xml:space="preserve">Vérifier l'empreinte ; signature Authenticode (évolution)</w:t>
            </w:r>
          </w:p>
        </w:tc>
      </w:tr>
      <w:tr>
        <w:trPr>
          <w:cantSplit/>
        </w:trPr>
        <w:tc>
          <w:tcPr>
            <w:tcW w:w="4819" w:type="dxa"/>
          </w:tcPr>
          <w:p>
            <w:pPr>
              <w:pStyle w:val="TableText"/>
            </w:pPr>
            <w:r>
              <w:rPr>
                <w:sz w:val="18"/>
                <w:szCs w:val="18"/>
              </w:rPr>
              <w:t xml:space="preserve">Serveur HTTP intégré</w:t>
            </w:r>
          </w:p>
        </w:tc>
        <w:tc>
          <w:tcPr>
            <w:tcW w:w="4819" w:type="dxa"/>
          </w:tcPr>
          <w:p>
            <w:pPr>
              <w:pStyle w:val="TableText"/>
            </w:pPr>
            <w:r>
              <w:rPr>
                <w:sz w:val="18"/>
                <w:szCs w:val="18"/>
              </w:rPr>
              <w:t xml:space="preserve">Pour une exposition large : IIS en frontal (mode header)</w:t>
            </w:r>
          </w:p>
        </w:tc>
      </w:tr>
      <w:tr>
        <w:trPr>
          <w:cantSplit/>
        </w:trPr>
        <w:tc>
          <w:tcPr>
            <w:tcW w:w="4819" w:type="dxa"/>
            <w:shd w:val="clear" w:color="auto" w:fill="F4F7FC"/>
          </w:tcPr>
          <w:p>
            <w:pPr>
              <w:pStyle w:val="TableText"/>
            </w:pPr>
            <w:r>
              <w:rPr>
                <w:sz w:val="18"/>
                <w:szCs w:val="18"/>
              </w:rPr>
              <w:t xml:space="preserve">Mode none sur un serveur multi-utilisateurs (RDS)</w:t>
            </w:r>
          </w:p>
        </w:tc>
        <w:tc>
          <w:tcPr>
            <w:tcW w:w="4819" w:type="dxa"/>
            <w:shd w:val="clear" w:color="auto" w:fill="F4F7FC"/>
          </w:tcPr>
          <w:p>
            <w:pPr>
              <w:pStyle w:val="TableText"/>
            </w:pPr>
            <w:r>
              <w:rPr>
                <w:sz w:val="18"/>
                <w:szCs w:val="18"/>
              </w:rPr>
              <w:t xml:space="preserve">Utiliser le mode ldap</w:t>
            </w:r>
          </w:p>
        </w:tc>
      </w:tr>
    </w:tbl>
    <w:p>
      <w:pPr>
        <w:spacing w:after="80"/>
      </w:pPr>
    </w:p>
    <w:p>
      <w:pPr>
        <w:pStyle w:val="Heading1"/>
      </w:pPr>
      <w:bookmarkStart w:id="113" w:name="_Toc00113"/>
      <w:r>
        <w:rPr/>
        <w:t xml:space="preserve">11. Gestion des incidents</w:t>
      </w:r>
      <w:bookmarkEnd w:id="113"/>
    </w:p>
    <w:p>
      <w:pPr>
        <w:pStyle w:val="Heading2"/>
      </w:pPr>
      <w:bookmarkStart w:id="114" w:name="_Toc00114"/>
      <w:r>
        <w:rPr/>
        <w:t xml:space="preserve">11.1 Démarche de diagnostic</w:t>
      </w:r>
      <w:bookmarkEnd w:id="114"/>
    </w:p>
    <w:p>
      <w:pPr>
        <w:pStyle w:val="ListParagraph"/>
        <w:numPr>
          <w:ilvl w:val="0"/>
          <w:numId w:val="10"/>
        </w:numPr>
      </w:pPr>
      <w:r>
        <w:rPr/>
        <w:t xml:space="preserve">Qualifier : interface, collecte d'un serveur, toutes les collectes, rapport, e-mail, connexion ?</w:t>
      </w:r>
    </w:p>
    <w:p>
      <w:pPr>
        <w:pStyle w:val="ListParagraph"/>
        <w:numPr>
          <w:ilvl w:val="0"/>
          <w:numId w:val="10"/>
        </w:numPr>
      </w:pPr>
      <w:r>
        <w:rPr/>
        <w:t xml:space="preserve">Consulter le badge d'état, les alertes du tableau de bord et la vue </w:t>
      </w:r>
      <w:r>
        <w:rPr>
          <w:b/>
        </w:rPr>
        <w:t xml:space="preserve">Collectes</w:t>
      </w:r>
      <w:r>
        <w:rPr/>
        <w:t xml:space="preserve"> (message d'erreur par serveur).</w:t>
      </w:r>
    </w:p>
    <w:p>
      <w:pPr>
        <w:pStyle w:val="ListParagraph"/>
        <w:numPr>
          <w:ilvl w:val="0"/>
          <w:numId w:val="10"/>
        </w:numPr>
      </w:pPr>
      <w:r>
        <w:rPr/>
        <w:t xml:space="preserve">Consulter </w:t>
      </w:r>
      <w:r>
        <w:rPr>
          <w:rFonts w:ascii="Consolas" w:hAnsi="Consolas" w:cs="Consolas"/>
          <w:color w:val="1C5CAB"/>
          <w:sz w:val="18"/>
          <w:szCs w:val="18"/>
          <w:shd w:val="clear" w:color="auto" w:fill="EEF3FA"/>
        </w:rPr>
        <w:t xml:space="preserve">C:\FreeLM\logs\freelm.log</w:t>
      </w:r>
      <w:r>
        <w:rPr/>
        <w:t xml:space="preserve"> (lignes ERROR / WARNING à l'heure de l'incident).</w:t>
      </w:r>
    </w:p>
    <w:p>
      <w:pPr>
        <w:pStyle w:val="ListParagraph"/>
        <w:numPr>
          <w:ilvl w:val="0"/>
          <w:numId w:val="10"/>
        </w:numPr>
      </w:pPr>
      <w:r>
        <w:rPr/>
        <w:t xml:space="preserve">Vérifier le Planificateur de tâches (dernier résultat, historique).</w:t>
      </w:r>
    </w:p>
    <w:p>
      <w:pPr>
        <w:pStyle w:val="ListParagraph"/>
        <w:numPr>
          <w:ilvl w:val="0"/>
          <w:numId w:val="10"/>
        </w:numPr>
      </w:pPr>
      <w:r>
        <w:rPr/>
        <w:t xml:space="preserve">Reproduire en ligne de commande avec </w:t>
      </w:r>
      <w:r>
        <w:rPr>
          <w:rFonts w:ascii="Consolas" w:hAnsi="Consolas" w:cs="Consolas"/>
          <w:color w:val="1C5CAB"/>
          <w:sz w:val="18"/>
          <w:szCs w:val="18"/>
          <w:shd w:val="clear" w:color="auto" w:fill="EEF3FA"/>
        </w:rPr>
        <w:t xml:space="preserve">-v</w:t>
      </w:r>
      <w:r>
        <w:rPr/>
        <w:t xml:space="preserve"> (journal détaillé) : </w:t>
      </w:r>
      <w:r>
        <w:rPr>
          <w:rFonts w:ascii="Consolas" w:hAnsi="Consolas" w:cs="Consolas"/>
          <w:color w:val="1C5CAB"/>
          <w:sz w:val="18"/>
          <w:szCs w:val="18"/>
          <w:shd w:val="clear" w:color="auto" w:fill="EEF3FA"/>
        </w:rPr>
        <w:t xml:space="preserve">.\FreeLM.exe -v -c freelm.yaml collect --server X</w:t>
      </w:r>
      <w:r>
        <w:rPr/>
        <w:t xml:space="preserve">.</w:t>
      </w:r>
    </w:p>
    <w:p>
      <w:pPr>
        <w:pStyle w:val="ListParagraph"/>
        <w:numPr>
          <w:ilvl w:val="0"/>
          <w:numId w:val="10"/>
        </w:numPr>
      </w:pPr>
      <w:r>
        <w:rPr/>
        <w:t xml:space="preserve">Appliquer la résolution du tableau 11.2 ou escalader (§ 11.4).</w:t>
      </w:r>
    </w:p>
    <w:p>
      <w:pPr>
        <w:pStyle w:val="Heading2"/>
      </w:pPr>
      <w:bookmarkStart w:id="115" w:name="_Toc00115"/>
      <w:r>
        <w:rPr/>
        <w:t xml:space="preserve">11.2 Incidents courants</w:t>
      </w:r>
      <w:bookmarkEnd w:id="115"/>
    </w:p>
    <w:p>
      <w:pPr>
        <w:pStyle w:val="Caption"/>
        <w:keepNext/>
      </w:pPr>
      <w:r>
        <w:rPr/>
        <w:t xml:space="preserve">Tableau 30 – Incidents courants et résolutions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409"/>
        <w:gridCol w:w="2155"/>
        <w:gridCol w:w="2409"/>
        <w:gridCol w:w="2663"/>
      </w:tblGrid>
      <w:tr>
        <w:trPr>
          <w:tblHeader/>
          <w:cantSplit/>
        </w:trPr>
        <w:tc>
          <w:tcPr>
            <w:tcW w:w="2409" w:type="dxa"/>
            <w:shd w:val="clear" w:color="auto" w:fill="2A78D6"/>
          </w:tcPr>
          <w:p>
            <w:pPr>
              <w:pStyle w:val="TableText"/>
            </w:pPr>
            <w:r>
              <w:rPr>
                <w:b/>
                <w:color w:val="FFFFFF"/>
                <w:sz w:val="16"/>
                <w:szCs w:val="16"/>
              </w:rPr>
              <w:t xml:space="preserve">Symptôme</w:t>
            </w:r>
          </w:p>
        </w:tc>
        <w:tc>
          <w:tcPr>
            <w:tcW w:w="2155" w:type="dxa"/>
            <w:shd w:val="clear" w:color="auto" w:fill="2A78D6"/>
          </w:tcPr>
          <w:p>
            <w:pPr>
              <w:pStyle w:val="TableText"/>
            </w:pPr>
            <w:r>
              <w:rPr>
                <w:b/>
                <w:color w:val="FFFFFF"/>
                <w:sz w:val="16"/>
                <w:szCs w:val="16"/>
              </w:rPr>
              <w:t xml:space="preserve">Cause probable</w:t>
            </w:r>
          </w:p>
        </w:tc>
        <w:tc>
          <w:tcPr>
            <w:tcW w:w="2409" w:type="dxa"/>
            <w:shd w:val="clear" w:color="auto" w:fill="2A78D6"/>
          </w:tcPr>
          <w:p>
            <w:pPr>
              <w:pStyle w:val="TableText"/>
            </w:pPr>
            <w:r>
              <w:rPr>
                <w:b/>
                <w:color w:val="FFFFFF"/>
                <w:sz w:val="16"/>
                <w:szCs w:val="16"/>
              </w:rPr>
              <w:t xml:space="preserve">Diagnostic</w:t>
            </w:r>
          </w:p>
        </w:tc>
        <w:tc>
          <w:tcPr>
            <w:tcW w:w="2663" w:type="dxa"/>
            <w:shd w:val="clear" w:color="auto" w:fill="2A78D6"/>
          </w:tcPr>
          <w:p>
            <w:pPr>
              <w:pStyle w:val="TableText"/>
            </w:pPr>
            <w:r>
              <w:rPr>
                <w:b/>
                <w:color w:val="FFFFFF"/>
                <w:sz w:val="16"/>
                <w:szCs w:val="16"/>
              </w:rPr>
              <w:t xml:space="preserve">Résolution</w:t>
            </w:r>
          </w:p>
        </w:tc>
      </w:tr>
      <w:tr>
        <w:trPr>
          <w:cantSplit/>
        </w:trPr>
        <w:tc>
          <w:tcPr>
            <w:tcW w:w="2409" w:type="dxa"/>
          </w:tcPr>
          <w:p>
            <w:pPr>
              <w:pStyle w:val="TableText"/>
            </w:pPr>
            <w:r>
              <w:rPr>
                <w:sz w:val="16"/>
                <w:szCs w:val="16"/>
              </w:rPr>
              <w:t xml:space="preserve">Alerte « Collecte en échec : X » ; badge « collecteur(s) en échec »</w:t>
            </w:r>
          </w:p>
        </w:tc>
        <w:tc>
          <w:tcPr>
            <w:tcW w:w="2155" w:type="dxa"/>
          </w:tcPr>
          <w:p>
            <w:pPr>
              <w:pStyle w:val="TableText"/>
            </w:pPr>
            <w:r>
              <w:rPr>
                <w:sz w:val="16"/>
                <w:szCs w:val="16"/>
              </w:rPr>
              <w:t xml:space="preserve">Serveur de licences arrêté, flux fermé, nom DNS</w:t>
            </w:r>
          </w:p>
        </w:tc>
        <w:tc>
          <w:tcPr>
            <w:tcW w:w="2409" w:type="dxa"/>
          </w:tcPr>
          <w:p>
            <w:pPr>
              <w:pStyle w:val="TableText"/>
            </w:pPr>
            <w:r>
              <w:rPr>
                <w:sz w:val="16"/>
                <w:szCs w:val="16"/>
              </w:rPr>
              <w:t xml:space="preserve">Vue Collectes ; </w:t>
            </w:r>
            <w:r>
              <w:rPr>
                <w:rFonts w:ascii="Consolas" w:hAnsi="Consolas" w:cs="Consolas"/>
                <w:color w:val="1C5CAB"/>
                <w:sz w:val="16"/>
                <w:szCs w:val="16"/>
                <w:shd w:val="clear" w:color="auto" w:fill="EEF3FA"/>
              </w:rPr>
              <w:t xml:space="preserve">lmutil lmstat -a -c port@hôte</w:t>
            </w:r>
            <w:r>
              <w:rPr>
                <w:sz w:val="16"/>
                <w:szCs w:val="16"/>
              </w:rPr>
              <w:t xml:space="preserve"> depuis le serveur FreeLM ; </w:t>
            </w:r>
            <w:r>
              <w:rPr>
                <w:rFonts w:ascii="Consolas" w:hAnsi="Consolas" w:cs="Consolas"/>
                <w:color w:val="1C5CAB"/>
                <w:sz w:val="16"/>
                <w:szCs w:val="16"/>
                <w:shd w:val="clear" w:color="auto" w:fill="EEF3FA"/>
              </w:rPr>
              <w:t xml:space="preserve">Test-NetConnection hôte -Port 27000</w:t>
            </w:r>
          </w:p>
        </w:tc>
        <w:tc>
          <w:tcPr>
            <w:tcW w:w="2663" w:type="dxa"/>
          </w:tcPr>
          <w:p>
            <w:pPr>
              <w:pStyle w:val="TableText"/>
            </w:pPr>
            <w:r>
              <w:rPr>
                <w:sz w:val="16"/>
                <w:szCs w:val="16"/>
              </w:rPr>
              <w:t xml:space="preserve">Faire redémarrer le serveur de licences ; ouvrir le flux (F2 / F3) ; corriger </w:t>
            </w:r>
            <w:r>
              <w:rPr>
                <w:rFonts w:ascii="Consolas" w:hAnsi="Consolas" w:cs="Consolas"/>
                <w:color w:val="1C5CAB"/>
                <w:sz w:val="16"/>
                <w:szCs w:val="16"/>
                <w:shd w:val="clear" w:color="auto" w:fill="EEF3FA"/>
              </w:rPr>
              <w:t xml:space="preserve">port_at_host</w:t>
            </w:r>
          </w:p>
        </w:tc>
      </w:tr>
      <w:tr>
        <w:trPr>
          <w:cantSplit/>
        </w:trPr>
        <w:tc>
          <w:tcPr>
            <w:tcW w:w="2409" w:type="dxa"/>
            <w:shd w:val="clear" w:color="auto" w:fill="F4F7FC"/>
          </w:tcPr>
          <w:p>
            <w:pPr>
              <w:pStyle w:val="TableText"/>
            </w:pPr>
            <w:r>
              <w:rPr>
                <w:sz w:val="16"/>
                <w:szCs w:val="16"/>
              </w:rPr>
              <w:t xml:space="preserve">Message « délai dépassé (60s) »</w:t>
            </w:r>
          </w:p>
        </w:tc>
        <w:tc>
          <w:tcPr>
            <w:tcW w:w="2155" w:type="dxa"/>
            <w:shd w:val="clear" w:color="auto" w:fill="F4F7FC"/>
          </w:tcPr>
          <w:p>
            <w:pPr>
              <w:pStyle w:val="TableText"/>
            </w:pPr>
            <w:r>
              <w:rPr>
                <w:sz w:val="16"/>
                <w:szCs w:val="16"/>
              </w:rPr>
              <w:t xml:space="preserve">Serveur lent, triade partiellement arrêtée</w:t>
            </w:r>
          </w:p>
        </w:tc>
        <w:tc>
          <w:tcPr>
            <w:tcW w:w="2409" w:type="dxa"/>
            <w:shd w:val="clear" w:color="auto" w:fill="F4F7FC"/>
          </w:tcPr>
          <w:p>
            <w:pPr>
              <w:pStyle w:val="TableText"/>
            </w:pPr>
            <w:r>
              <w:rPr>
                <w:sz w:val="16"/>
                <w:szCs w:val="16"/>
              </w:rPr>
              <w:t xml:space="preserve">Durée de </w:t>
            </w:r>
            <w:r>
              <w:rPr>
                <w:rFonts w:ascii="Consolas" w:hAnsi="Consolas" w:cs="Consolas"/>
                <w:color w:val="1C5CAB"/>
                <w:sz w:val="16"/>
                <w:szCs w:val="16"/>
                <w:shd w:val="clear" w:color="auto" w:fill="EEF3FA"/>
              </w:rPr>
              <w:t xml:space="preserve">lmstat</w:t>
            </w:r>
            <w:r>
              <w:rPr>
                <w:sz w:val="16"/>
                <w:szCs w:val="16"/>
              </w:rPr>
              <w:t xml:space="preserve"> à la main</w:t>
            </w:r>
          </w:p>
        </w:tc>
        <w:tc>
          <w:tcPr>
            <w:tcW w:w="2663" w:type="dxa"/>
            <w:shd w:val="clear" w:color="auto" w:fill="F4F7FC"/>
          </w:tcPr>
          <w:p>
            <w:pPr>
              <w:pStyle w:val="TableText"/>
            </w:pPr>
            <w:r>
              <w:rPr>
                <w:sz w:val="16"/>
                <w:szCs w:val="16"/>
              </w:rPr>
              <w:t xml:space="preserve">Augmenter </w:t>
            </w:r>
            <w:r>
              <w:rPr>
                <w:rFonts w:ascii="Consolas" w:hAnsi="Consolas" w:cs="Consolas"/>
                <w:color w:val="1C5CAB"/>
                <w:sz w:val="16"/>
                <w:szCs w:val="16"/>
                <w:shd w:val="clear" w:color="auto" w:fill="EEF3FA"/>
              </w:rPr>
              <w:t xml:space="preserve">timeout_s</w:t>
            </w:r>
            <w:r>
              <w:rPr>
                <w:sz w:val="16"/>
                <w:szCs w:val="16"/>
              </w:rPr>
              <w:t xml:space="preserve"> ; signaler le serveur défaillant de la triade</w:t>
            </w:r>
          </w:p>
        </w:tc>
      </w:tr>
      <w:tr>
        <w:trPr>
          <w:cantSplit/>
        </w:trPr>
        <w:tc>
          <w:tcPr>
            <w:tcW w:w="2409" w:type="dxa"/>
          </w:tcPr>
          <w:p>
            <w:pPr>
              <w:pStyle w:val="TableText"/>
            </w:pPr>
            <w:r>
              <w:rPr>
                <w:sz w:val="16"/>
                <w:szCs w:val="16"/>
              </w:rPr>
              <w:t xml:space="preserve">Alerte « Collecte arrêtée » ; badge « Dernière collecte il y a … »</w:t>
            </w:r>
          </w:p>
        </w:tc>
        <w:tc>
          <w:tcPr>
            <w:tcW w:w="2155" w:type="dxa"/>
          </w:tcPr>
          <w:p>
            <w:pPr>
              <w:pStyle w:val="TableText"/>
            </w:pPr>
            <w:r>
              <w:rPr>
                <w:sz w:val="16"/>
                <w:szCs w:val="16"/>
              </w:rPr>
              <w:t xml:space="preserve">Tâche désactivée, mot de passe du compte expiré, serveur FreeLM arrêté</w:t>
            </w:r>
          </w:p>
        </w:tc>
        <w:tc>
          <w:tcPr>
            <w:tcW w:w="2409" w:type="dxa"/>
          </w:tcPr>
          <w:p>
            <w:pPr>
              <w:pStyle w:val="TableText"/>
            </w:pPr>
            <w:r>
              <w:rPr>
                <w:rFonts w:ascii="Consolas" w:hAnsi="Consolas" w:cs="Consolas"/>
                <w:color w:val="1C5CAB"/>
                <w:sz w:val="16"/>
                <w:szCs w:val="16"/>
                <w:shd w:val="clear" w:color="auto" w:fill="EEF3FA"/>
              </w:rPr>
              <w:t xml:space="preserve">Get-ScheduledTaskInfo</w:t>
            </w:r>
            <w:r>
              <w:rPr>
                <w:sz w:val="16"/>
                <w:szCs w:val="16"/>
              </w:rPr>
              <w:t xml:space="preserve"> (LastTaskResult, LastRunTime) ; journal Planificateur</w:t>
            </w:r>
          </w:p>
        </w:tc>
        <w:tc>
          <w:tcPr>
            <w:tcW w:w="2663" w:type="dxa"/>
          </w:tcPr>
          <w:p>
            <w:pPr>
              <w:pStyle w:val="TableText"/>
            </w:pPr>
            <w:r>
              <w:rPr>
                <w:sz w:val="16"/>
                <w:szCs w:val="16"/>
              </w:rPr>
              <w:t xml:space="preserve">Réactiver la tâche ; réenregistrer les tâches avec le nouveau mot de passe (ou passer en gMSA)</w:t>
            </w:r>
          </w:p>
        </w:tc>
      </w:tr>
      <w:tr>
        <w:trPr>
          <w:cantSplit/>
        </w:trPr>
        <w:tc>
          <w:tcPr>
            <w:tcW w:w="2409" w:type="dxa"/>
            <w:shd w:val="clear" w:color="auto" w:fill="F4F7FC"/>
          </w:tcPr>
          <w:p>
            <w:pPr>
              <w:pStyle w:val="TableText"/>
            </w:pPr>
            <w:r>
              <w:rPr>
                <w:sz w:val="16"/>
                <w:szCs w:val="16"/>
              </w:rPr>
              <w:t xml:space="preserve">« lmutil introuvable : … »</w:t>
            </w:r>
          </w:p>
        </w:tc>
        <w:tc>
          <w:tcPr>
            <w:tcW w:w="2155" w:type="dxa"/>
            <w:shd w:val="clear" w:color="auto" w:fill="F4F7FC"/>
          </w:tcPr>
          <w:p>
            <w:pPr>
              <w:pStyle w:val="TableText"/>
            </w:pPr>
            <w:r>
              <w:rPr>
                <w:sz w:val="16"/>
                <w:szCs w:val="16"/>
              </w:rPr>
              <w:t xml:space="preserve">Chemin </w:t>
            </w:r>
            <w:r>
              <w:rPr>
                <w:rFonts w:ascii="Consolas" w:hAnsi="Consolas" w:cs="Consolas"/>
                <w:color w:val="1C5CAB"/>
                <w:sz w:val="16"/>
                <w:szCs w:val="16"/>
                <w:shd w:val="clear" w:color="auto" w:fill="EEF3FA"/>
              </w:rPr>
              <w:t xml:space="preserve">lmutil_path</w:t>
            </w:r>
            <w:r>
              <w:rPr>
                <w:sz w:val="16"/>
                <w:szCs w:val="16"/>
              </w:rPr>
              <w:t xml:space="preserve"> erroné</w:t>
            </w:r>
          </w:p>
        </w:tc>
        <w:tc>
          <w:tcPr>
            <w:tcW w:w="2409" w:type="dxa"/>
            <w:shd w:val="clear" w:color="auto" w:fill="F4F7FC"/>
          </w:tcPr>
          <w:p>
            <w:pPr>
              <w:pStyle w:val="TableText"/>
            </w:pPr>
            <w:r>
              <w:rPr>
                <w:sz w:val="16"/>
                <w:szCs w:val="16"/>
              </w:rPr>
              <w:t xml:space="preserve">Vérifier le fichier</w:t>
            </w:r>
          </w:p>
        </w:tc>
        <w:tc>
          <w:tcPr>
            <w:tcW w:w="2663" w:type="dxa"/>
            <w:shd w:val="clear" w:color="auto" w:fill="F4F7FC"/>
          </w:tcPr>
          <w:p>
            <w:pPr>
              <w:pStyle w:val="TableText"/>
            </w:pPr>
            <w:r>
              <w:rPr>
                <w:sz w:val="16"/>
                <w:szCs w:val="16"/>
              </w:rPr>
              <w:t xml:space="preserve">Corriger le chemin ou copier lmutil.exe</w:t>
            </w:r>
          </w:p>
        </w:tc>
      </w:tr>
      <w:tr>
        <w:trPr>
          <w:cantSplit/>
        </w:trPr>
        <w:tc>
          <w:tcPr>
            <w:tcW w:w="2409" w:type="dxa"/>
          </w:tcPr>
          <w:p>
            <w:pPr>
              <w:pStyle w:val="TableText"/>
            </w:pPr>
            <w:r>
              <w:rPr>
                <w:sz w:val="16"/>
                <w:szCs w:val="16"/>
              </w:rPr>
              <w:t xml:space="preserve">Code retour 1 « Erreur de configuration : … »</w:t>
            </w:r>
          </w:p>
        </w:tc>
        <w:tc>
          <w:tcPr>
            <w:tcW w:w="2155" w:type="dxa"/>
          </w:tcPr>
          <w:p>
            <w:pPr>
              <w:pStyle w:val="TableText"/>
            </w:pPr>
            <w:r>
              <w:rPr>
                <w:sz w:val="16"/>
                <w:szCs w:val="16"/>
              </w:rPr>
              <w:t xml:space="preserve">Fichier YAML invalide (indentation, tabulation, guillemets)</w:t>
            </w:r>
          </w:p>
        </w:tc>
        <w:tc>
          <w:tcPr>
            <w:tcW w:w="2409" w:type="dxa"/>
          </w:tcPr>
          <w:p>
            <w:pPr>
              <w:pStyle w:val="TableText"/>
            </w:pPr>
            <w:r>
              <w:rPr>
                <w:sz w:val="16"/>
                <w:szCs w:val="16"/>
              </w:rPr>
              <w:t xml:space="preserve">Message exact dans la console / le journal</w:t>
            </w:r>
          </w:p>
        </w:tc>
        <w:tc>
          <w:tcPr>
            <w:tcW w:w="2663" w:type="dxa"/>
          </w:tcPr>
          <w:p>
            <w:pPr>
              <w:pStyle w:val="TableText"/>
            </w:pPr>
            <w:r>
              <w:rPr>
                <w:sz w:val="16"/>
                <w:szCs w:val="16"/>
              </w:rPr>
              <w:t xml:space="preserve">Corriger le fichier ; revenir à la copie de sauvegarde</w:t>
            </w:r>
          </w:p>
        </w:tc>
      </w:tr>
      <w:tr>
        <w:trPr>
          <w:cantSplit/>
        </w:trPr>
        <w:tc>
          <w:tcPr>
            <w:tcW w:w="2409" w:type="dxa"/>
            <w:shd w:val="clear" w:color="auto" w:fill="F4F7FC"/>
          </w:tcPr>
          <w:p>
            <w:pPr>
              <w:pStyle w:val="TableText"/>
            </w:pPr>
            <w:r>
              <w:rPr>
                <w:sz w:val="16"/>
                <w:szCs w:val="16"/>
              </w:rPr>
              <w:t xml:space="preserve">Erreur ODBC / connexion SQL impossible</w:t>
            </w:r>
          </w:p>
        </w:tc>
        <w:tc>
          <w:tcPr>
            <w:tcW w:w="2155" w:type="dxa"/>
            <w:shd w:val="clear" w:color="auto" w:fill="F4F7FC"/>
          </w:tcPr>
          <w:p>
            <w:pPr>
              <w:pStyle w:val="TableText"/>
            </w:pPr>
            <w:r>
              <w:rPr>
                <w:sz w:val="16"/>
                <w:szCs w:val="16"/>
              </w:rPr>
              <w:t xml:space="preserve">Pilote absent, instance arrêtée, certificat SQL non reconnu (</w:t>
            </w:r>
            <w:r>
              <w:rPr>
                <w:rFonts w:ascii="Consolas" w:hAnsi="Consolas" w:cs="Consolas"/>
                <w:color w:val="1C5CAB"/>
                <w:sz w:val="16"/>
                <w:szCs w:val="16"/>
                <w:shd w:val="clear" w:color="auto" w:fill="EEF3FA"/>
              </w:rPr>
              <w:t xml:space="preserve">Encrypt=yes</w:t>
            </w:r>
            <w:r>
              <w:rPr>
                <w:sz w:val="16"/>
                <w:szCs w:val="16"/>
              </w:rPr>
              <w:t xml:space="preserve">), droits</w:t>
            </w:r>
          </w:p>
        </w:tc>
        <w:tc>
          <w:tcPr>
            <w:tcW w:w="2409" w:type="dxa"/>
            <w:shd w:val="clear" w:color="auto" w:fill="F4F7FC"/>
          </w:tcPr>
          <w:p>
            <w:pPr>
              <w:pStyle w:val="TableText"/>
            </w:pPr>
            <w:r>
              <w:rPr>
                <w:sz w:val="16"/>
                <w:szCs w:val="16"/>
              </w:rPr>
              <w:t xml:space="preserve">Test </w:t>
            </w:r>
            <w:r>
              <w:rPr>
                <w:rFonts w:ascii="Consolas" w:hAnsi="Consolas" w:cs="Consolas"/>
                <w:color w:val="1C5CAB"/>
                <w:sz w:val="16"/>
                <w:szCs w:val="16"/>
                <w:shd w:val="clear" w:color="auto" w:fill="EEF3FA"/>
              </w:rPr>
              <w:t xml:space="preserve">sqlcmd -S instance -E</w:t>
            </w:r>
            <w:r>
              <w:rPr>
                <w:sz w:val="16"/>
                <w:szCs w:val="16"/>
              </w:rPr>
              <w:t xml:space="preserve"> avec le compte de service ; message ODBC</w:t>
            </w:r>
          </w:p>
        </w:tc>
        <w:tc>
          <w:tcPr>
            <w:tcW w:w="2663" w:type="dxa"/>
            <w:shd w:val="clear" w:color="auto" w:fill="F4F7FC"/>
          </w:tcPr>
          <w:p>
            <w:pPr>
              <w:pStyle w:val="TableText"/>
            </w:pPr>
            <w:r>
              <w:rPr>
                <w:sz w:val="16"/>
                <w:szCs w:val="16"/>
              </w:rPr>
              <w:t xml:space="preserve">Installer ODBC Driver 18 ; corriger le certificat ou le nom du serveur (nom du certificat) ; accorder les rôles</w:t>
            </w:r>
          </w:p>
        </w:tc>
      </w:tr>
      <w:tr>
        <w:trPr>
          <w:cantSplit/>
        </w:trPr>
        <w:tc>
          <w:tcPr>
            <w:tcW w:w="2409" w:type="dxa"/>
          </w:tcPr>
          <w:p>
            <w:pPr>
              <w:pStyle w:val="TableText"/>
            </w:pPr>
            <w:r>
              <w:rPr>
                <w:sz w:val="16"/>
                <w:szCs w:val="16"/>
              </w:rPr>
              <w:t xml:space="preserve">« Colonne feature.expires_on absente : exécuter freelm init-db »</w:t>
            </w:r>
          </w:p>
        </w:tc>
        <w:tc>
          <w:tcPr>
            <w:tcW w:w="2155" w:type="dxa"/>
          </w:tcPr>
          <w:p>
            <w:pPr>
              <w:pStyle w:val="TableText"/>
            </w:pPr>
            <w:r>
              <w:rPr>
                <w:sz w:val="16"/>
                <w:szCs w:val="16"/>
              </w:rPr>
              <w:t xml:space="preserve">Schéma non mis à jour après une montée de version</w:t>
            </w:r>
          </w:p>
        </w:tc>
        <w:tc>
          <w:tcPr>
            <w:tcW w:w="2409" w:type="dxa"/>
          </w:tcPr>
          <w:p>
            <w:pPr>
              <w:pStyle w:val="TableText"/>
            </w:pPr>
            <w:r>
              <w:rPr>
                <w:sz w:val="16"/>
                <w:szCs w:val="16"/>
              </w:rPr>
              <w:t xml:space="preserve">Version du schéma (</w:t>
            </w:r>
            <w:r>
              <w:rPr>
                <w:rFonts w:ascii="Consolas" w:hAnsi="Consolas" w:cs="Consolas"/>
                <w:color w:val="1C5CAB"/>
                <w:sz w:val="16"/>
                <w:szCs w:val="16"/>
                <w:shd w:val="clear" w:color="auto" w:fill="EEF3FA"/>
              </w:rPr>
              <w:t xml:space="preserve">SELECT * FROM schema_info</w:t>
            </w:r>
            <w:r>
              <w:rPr>
                <w:sz w:val="16"/>
                <w:szCs w:val="16"/>
              </w:rPr>
              <w:t xml:space="preserve">)</w:t>
            </w:r>
          </w:p>
        </w:tc>
        <w:tc>
          <w:tcPr>
            <w:tcW w:w="2663" w:type="dxa"/>
          </w:tcPr>
          <w:p>
            <w:pPr>
              <w:pStyle w:val="TableText"/>
            </w:pPr>
            <w:r>
              <w:rPr>
                <w:sz w:val="16"/>
                <w:szCs w:val="16"/>
              </w:rPr>
              <w:t xml:space="preserve">db_ddladmin temporaire + </w:t>
            </w:r>
            <w:r>
              <w:rPr>
                <w:rFonts w:ascii="Consolas" w:hAnsi="Consolas" w:cs="Consolas"/>
                <w:color w:val="1C5CAB"/>
                <w:sz w:val="16"/>
                <w:szCs w:val="16"/>
                <w:shd w:val="clear" w:color="auto" w:fill="EEF3FA"/>
              </w:rPr>
              <w:t xml:space="preserve">init-db</w:t>
            </w:r>
            <w:r>
              <w:rPr>
                <w:sz w:val="16"/>
                <w:szCs w:val="16"/>
              </w:rPr>
              <w:t xml:space="preserve"> (§ 12.1)</w:t>
            </w:r>
          </w:p>
        </w:tc>
      </w:tr>
      <w:tr>
        <w:trPr>
          <w:cantSplit/>
        </w:trPr>
        <w:tc>
          <w:tcPr>
            <w:tcW w:w="2409" w:type="dxa"/>
            <w:shd w:val="clear" w:color="auto" w:fill="F4F7FC"/>
          </w:tcPr>
          <w:p>
            <w:pPr>
              <w:pStyle w:val="TableText"/>
            </w:pPr>
            <w:r>
              <w:rPr>
                <w:sz w:val="16"/>
                <w:szCs w:val="16"/>
              </w:rPr>
              <w:t xml:space="preserve">« Une collecte est déjà en cours : exécution ignorée » répété</w:t>
            </w:r>
          </w:p>
        </w:tc>
        <w:tc>
          <w:tcPr>
            <w:tcW w:w="2155" w:type="dxa"/>
            <w:shd w:val="clear" w:color="auto" w:fill="F4F7FC"/>
          </w:tcPr>
          <w:p>
            <w:pPr>
              <w:pStyle w:val="TableText"/>
            </w:pPr>
            <w:r>
              <w:rPr>
                <w:sz w:val="16"/>
                <w:szCs w:val="16"/>
              </w:rPr>
              <w:t xml:space="preserve">Collecte bloquée (lmstat très lent)</w:t>
            </w:r>
          </w:p>
        </w:tc>
        <w:tc>
          <w:tcPr>
            <w:tcW w:w="2409" w:type="dxa"/>
            <w:shd w:val="clear" w:color="auto" w:fill="F4F7FC"/>
          </w:tcPr>
          <w:p>
            <w:pPr>
              <w:pStyle w:val="TableText"/>
            </w:pPr>
            <w:r>
              <w:rPr>
                <w:sz w:val="16"/>
                <w:szCs w:val="16"/>
              </w:rPr>
              <w:t xml:space="preserve">Processus FreeLM en cours, durée</w:t>
            </w:r>
          </w:p>
        </w:tc>
        <w:tc>
          <w:tcPr>
            <w:tcW w:w="2663" w:type="dxa"/>
            <w:shd w:val="clear" w:color="auto" w:fill="F4F7FC"/>
          </w:tcPr>
          <w:p>
            <w:pPr>
              <w:pStyle w:val="TableText"/>
            </w:pPr>
            <w:r>
              <w:rPr>
                <w:sz w:val="16"/>
                <w:szCs w:val="16"/>
              </w:rPr>
              <w:t xml:space="preserve">Arrêter le processus bloqué ; réduire </w:t>
            </w:r>
            <w:r>
              <w:rPr>
                <w:rFonts w:ascii="Consolas" w:hAnsi="Consolas" w:cs="Consolas"/>
                <w:color w:val="1C5CAB"/>
                <w:sz w:val="16"/>
                <w:szCs w:val="16"/>
                <w:shd w:val="clear" w:color="auto" w:fill="EEF3FA"/>
              </w:rPr>
              <w:t xml:space="preserve">timeout_s</w:t>
            </w:r>
            <w:r>
              <w:rPr>
                <w:sz w:val="16"/>
                <w:szCs w:val="16"/>
              </w:rPr>
              <w:t xml:space="preserve"> ; vérifier le serveur de licences</w:t>
            </w:r>
          </w:p>
        </w:tc>
      </w:tr>
      <w:tr>
        <w:trPr>
          <w:cantSplit/>
        </w:trPr>
        <w:tc>
          <w:tcPr>
            <w:tcW w:w="2409" w:type="dxa"/>
          </w:tcPr>
          <w:p>
            <w:pPr>
              <w:pStyle w:val="TableText"/>
            </w:pPr>
            <w:r>
              <w:rPr>
                <w:sz w:val="16"/>
                <w:szCs w:val="16"/>
              </w:rPr>
              <w:t xml:space="preserve">Aucun refus visible / « évènement(s) sans date ignoré(s) »</w:t>
            </w:r>
          </w:p>
        </w:tc>
        <w:tc>
          <w:tcPr>
            <w:tcW w:w="2155" w:type="dxa"/>
          </w:tcPr>
          <w:p>
            <w:pPr>
              <w:pStyle w:val="TableText"/>
            </w:pPr>
            <w:r>
              <w:rPr>
                <w:sz w:val="16"/>
                <w:szCs w:val="16"/>
              </w:rPr>
              <w:t xml:space="preserve">Collecteur log absent, log non accessible, log sans horodatage</w:t>
            </w:r>
          </w:p>
        </w:tc>
        <w:tc>
          <w:tcPr>
            <w:tcW w:w="2409" w:type="dxa"/>
          </w:tcPr>
          <w:p>
            <w:pPr>
              <w:pStyle w:val="TableText"/>
            </w:pPr>
            <w:r>
              <w:rPr>
                <w:sz w:val="16"/>
                <w:szCs w:val="16"/>
              </w:rPr>
              <w:t xml:space="preserve">Droits du compte sur le partage ; contenu du log</w:t>
            </w:r>
          </w:p>
        </w:tc>
        <w:tc>
          <w:tcPr>
            <w:tcW w:w="2663" w:type="dxa"/>
          </w:tcPr>
          <w:p>
            <w:pPr>
              <w:pStyle w:val="TableText"/>
            </w:pPr>
            <w:r>
              <w:rPr>
                <w:sz w:val="16"/>
                <w:szCs w:val="16"/>
              </w:rPr>
              <w:t xml:space="preserve">Accorder la lecture ; activer le log debug FlexLM (option </w:t>
            </w:r>
            <w:r>
              <w:rPr>
                <w:rFonts w:ascii="Consolas" w:hAnsi="Consolas" w:cs="Consolas"/>
                <w:color w:val="1C5CAB"/>
                <w:sz w:val="16"/>
                <w:szCs w:val="16"/>
                <w:shd w:val="clear" w:color="auto" w:fill="EEF3FA"/>
              </w:rPr>
              <w:t xml:space="preserve">-l</w:t>
            </w:r>
            <w:r>
              <w:rPr>
                <w:sz w:val="16"/>
                <w:szCs w:val="16"/>
              </w:rPr>
              <w:t xml:space="preserve"> de lmgrd) ; </w:t>
            </w:r>
            <w:r>
              <w:rPr>
                <w:rFonts w:ascii="Consolas" w:hAnsi="Consolas" w:cs="Consolas"/>
                <w:color w:val="1C5CAB"/>
                <w:sz w:val="16"/>
                <w:szCs w:val="16"/>
                <w:shd w:val="clear" w:color="auto" w:fill="EEF3FA"/>
              </w:rPr>
              <w:t xml:space="preserve">collectors: [lmstat, log]</w:t>
            </w:r>
          </w:p>
        </w:tc>
      </w:tr>
      <w:tr>
        <w:trPr>
          <w:cantSplit/>
        </w:trPr>
        <w:tc>
          <w:tcPr>
            <w:tcW w:w="2409" w:type="dxa"/>
            <w:shd w:val="clear" w:color="auto" w:fill="F4F7FC"/>
          </w:tcPr>
          <w:p>
            <w:pPr>
              <w:pStyle w:val="TableText"/>
            </w:pPr>
            <w:r>
              <w:rPr>
                <w:sz w:val="16"/>
                <w:szCs w:val="16"/>
              </w:rPr>
              <w:t xml:space="preserve">Interface injoignable depuis les postes</w:t>
            </w:r>
          </w:p>
        </w:tc>
        <w:tc>
          <w:tcPr>
            <w:tcW w:w="2155" w:type="dxa"/>
            <w:shd w:val="clear" w:color="auto" w:fill="F4F7FC"/>
          </w:tcPr>
          <w:p>
            <w:pPr>
              <w:pStyle w:val="TableText"/>
            </w:pPr>
            <w:r>
              <w:rPr>
                <w:sz w:val="16"/>
                <w:szCs w:val="16"/>
              </w:rPr>
              <w:t xml:space="preserve">Tâche web arrêtée, pare-feu, </w:t>
            </w:r>
            <w:r>
              <w:rPr>
                <w:rFonts w:ascii="Consolas" w:hAnsi="Consolas" w:cs="Consolas"/>
                <w:color w:val="1C5CAB"/>
                <w:sz w:val="16"/>
                <w:szCs w:val="16"/>
                <w:shd w:val="clear" w:color="auto" w:fill="EEF3FA"/>
              </w:rPr>
              <w:t xml:space="preserve">host: 127.0.0.1</w:t>
            </w:r>
          </w:p>
        </w:tc>
        <w:tc>
          <w:tcPr>
            <w:tcW w:w="2409" w:type="dxa"/>
            <w:shd w:val="clear" w:color="auto" w:fill="F4F7FC"/>
          </w:tcPr>
          <w:p>
            <w:pPr>
              <w:pStyle w:val="TableText"/>
            </w:pPr>
            <w:r>
              <w:rPr>
                <w:sz w:val="16"/>
                <w:szCs w:val="16"/>
              </w:rPr>
              <w:t xml:space="preserve">État de la tâche ; </w:t>
            </w:r>
            <w:r>
              <w:rPr>
                <w:rFonts w:ascii="Consolas" w:hAnsi="Consolas" w:cs="Consolas"/>
                <w:color w:val="1C5CAB"/>
                <w:sz w:val="16"/>
                <w:szCs w:val="16"/>
                <w:shd w:val="clear" w:color="auto" w:fill="EEF3FA"/>
              </w:rPr>
              <w:t xml:space="preserve">Test-NetConnection freelm -Port 8765</w:t>
            </w:r>
          </w:p>
        </w:tc>
        <w:tc>
          <w:tcPr>
            <w:tcW w:w="2663" w:type="dxa"/>
            <w:shd w:val="clear" w:color="auto" w:fill="F4F7FC"/>
          </w:tcPr>
          <w:p>
            <w:pPr>
              <w:pStyle w:val="TableText"/>
            </w:pPr>
            <w:r>
              <w:rPr>
                <w:sz w:val="16"/>
                <w:szCs w:val="16"/>
              </w:rPr>
              <w:t xml:space="preserve">Démarrer la tâche ; ouvrir le port ; </w:t>
            </w:r>
            <w:r>
              <w:rPr>
                <w:rFonts w:ascii="Consolas" w:hAnsi="Consolas" w:cs="Consolas"/>
                <w:color w:val="1C5CAB"/>
                <w:sz w:val="16"/>
                <w:szCs w:val="16"/>
                <w:shd w:val="clear" w:color="auto" w:fill="EEF3FA"/>
              </w:rPr>
              <w:t xml:space="preserve">host: 0.0.0.0</w:t>
            </w:r>
          </w:p>
        </w:tc>
      </w:tr>
      <w:tr>
        <w:trPr>
          <w:cantSplit/>
        </w:trPr>
        <w:tc>
          <w:tcPr>
            <w:tcW w:w="2409" w:type="dxa"/>
          </w:tcPr>
          <w:p>
            <w:pPr>
              <w:pStyle w:val="TableText"/>
            </w:pPr>
            <w:r>
              <w:rPr>
                <w:sz w:val="16"/>
                <w:szCs w:val="16"/>
              </w:rPr>
              <w:t xml:space="preserve">Erreur HTTP 421</w:t>
            </w:r>
          </w:p>
        </w:tc>
        <w:tc>
          <w:tcPr>
            <w:tcW w:w="2155" w:type="dxa"/>
          </w:tcPr>
          <w:p>
            <w:pPr>
              <w:pStyle w:val="TableText"/>
            </w:pPr>
            <w:r>
              <w:rPr>
                <w:sz w:val="16"/>
                <w:szCs w:val="16"/>
              </w:rPr>
              <w:t xml:space="preserve">Nom utilisé par le navigateur non autorisé (protection DNS rebinding)</w:t>
            </w:r>
          </w:p>
        </w:tc>
        <w:tc>
          <w:tcPr>
            <w:tcW w:w="2409" w:type="dxa"/>
          </w:tcPr>
          <w:p>
            <w:pPr>
              <w:pStyle w:val="TableText"/>
            </w:pPr>
            <w:r>
              <w:rPr>
                <w:sz w:val="16"/>
                <w:szCs w:val="16"/>
              </w:rPr>
              <w:t xml:space="preserve">Journal : « en-tête Host inattendu »</w:t>
            </w:r>
          </w:p>
        </w:tc>
        <w:tc>
          <w:tcPr>
            <w:tcW w:w="2663" w:type="dxa"/>
          </w:tcPr>
          <w:p>
            <w:pPr>
              <w:pStyle w:val="TableText"/>
            </w:pPr>
            <w:r>
              <w:rPr>
                <w:sz w:val="16"/>
                <w:szCs w:val="16"/>
              </w:rPr>
              <w:t xml:space="preserve">Renseigner </w:t>
            </w:r>
            <w:r>
              <w:rPr>
                <w:rFonts w:ascii="Consolas" w:hAnsi="Consolas" w:cs="Consolas"/>
                <w:color w:val="1C5CAB"/>
                <w:sz w:val="16"/>
                <w:szCs w:val="16"/>
                <w:shd w:val="clear" w:color="auto" w:fill="EEF3FA"/>
              </w:rPr>
              <w:t xml:space="preserve">public_url</w:t>
            </w:r>
            <w:r>
              <w:rPr>
                <w:sz w:val="16"/>
                <w:szCs w:val="16"/>
              </w:rPr>
              <w:t xml:space="preserve"> ou </w:t>
            </w:r>
            <w:r>
              <w:rPr>
                <w:rFonts w:ascii="Consolas" w:hAnsi="Consolas" w:cs="Consolas"/>
                <w:color w:val="1C5CAB"/>
                <w:sz w:val="16"/>
                <w:szCs w:val="16"/>
                <w:shd w:val="clear" w:color="auto" w:fill="EEF3FA"/>
              </w:rPr>
              <w:t xml:space="preserve">allowed_hosts</w:t>
            </w:r>
          </w:p>
        </w:tc>
      </w:tr>
      <w:tr>
        <w:trPr>
          <w:cantSplit/>
        </w:trPr>
        <w:tc>
          <w:tcPr>
            <w:tcW w:w="2409" w:type="dxa"/>
            <w:shd w:val="clear" w:color="auto" w:fill="F4F7FC"/>
          </w:tcPr>
          <w:p>
            <w:pPr>
              <w:pStyle w:val="TableText"/>
            </w:pPr>
            <w:r>
              <w:rPr>
                <w:sz w:val="16"/>
                <w:szCs w:val="16"/>
              </w:rPr>
              <w:t xml:space="preserve">L'interface refuse de démarrer en mode ldap</w:t>
            </w:r>
          </w:p>
        </w:tc>
        <w:tc>
          <w:tcPr>
            <w:tcW w:w="2155" w:type="dxa"/>
            <w:shd w:val="clear" w:color="auto" w:fill="F4F7FC"/>
          </w:tcPr>
          <w:p>
            <w:pPr>
              <w:pStyle w:val="TableText"/>
            </w:pPr>
            <w:r>
              <w:rPr>
                <w:sz w:val="16"/>
                <w:szCs w:val="16"/>
              </w:rPr>
              <w:t xml:space="preserve">Écoute réseau sans HTTPS</w:t>
            </w:r>
          </w:p>
        </w:tc>
        <w:tc>
          <w:tcPr>
            <w:tcW w:w="2409" w:type="dxa"/>
            <w:shd w:val="clear" w:color="auto" w:fill="F4F7FC"/>
          </w:tcPr>
          <w:p>
            <w:pPr>
              <w:pStyle w:val="TableText"/>
            </w:pPr>
            <w:r>
              <w:rPr>
                <w:sz w:val="16"/>
                <w:szCs w:val="16"/>
              </w:rPr>
              <w:t xml:space="preserve">Message au démarrage</w:t>
            </w:r>
          </w:p>
        </w:tc>
        <w:tc>
          <w:tcPr>
            <w:tcW w:w="2663" w:type="dxa"/>
            <w:shd w:val="clear" w:color="auto" w:fill="F4F7FC"/>
          </w:tcPr>
          <w:p>
            <w:pPr>
              <w:pStyle w:val="TableText"/>
            </w:pPr>
            <w:r>
              <w:rPr>
                <w:sz w:val="16"/>
                <w:szCs w:val="16"/>
              </w:rPr>
              <w:t xml:space="preserve">Configurer </w:t>
            </w:r>
            <w:r>
              <w:rPr>
                <w:rFonts w:ascii="Consolas" w:hAnsi="Consolas" w:cs="Consolas"/>
                <w:color w:val="1C5CAB"/>
                <w:sz w:val="16"/>
                <w:szCs w:val="16"/>
                <w:shd w:val="clear" w:color="auto" w:fill="EEF3FA"/>
              </w:rPr>
              <w:t xml:space="preserve">tls_cert</w:t>
            </w:r>
            <w:r>
              <w:rPr>
                <w:sz w:val="16"/>
                <w:szCs w:val="16"/>
              </w:rPr>
              <w:t xml:space="preserve"> / </w:t>
            </w:r>
            <w:r>
              <w:rPr>
                <w:rFonts w:ascii="Consolas" w:hAnsi="Consolas" w:cs="Consolas"/>
                <w:color w:val="1C5CAB"/>
                <w:sz w:val="16"/>
                <w:szCs w:val="16"/>
                <w:shd w:val="clear" w:color="auto" w:fill="EEF3FA"/>
              </w:rPr>
              <w:t xml:space="preserve">tls_key</w:t>
            </w:r>
          </w:p>
        </w:tc>
      </w:tr>
      <w:tr>
        <w:trPr>
          <w:cantSplit/>
        </w:trPr>
        <w:tc>
          <w:tcPr>
            <w:tcW w:w="2409" w:type="dxa"/>
          </w:tcPr>
          <w:p>
            <w:pPr>
              <w:pStyle w:val="TableText"/>
            </w:pPr>
            <w:r>
              <w:rPr>
                <w:sz w:val="16"/>
                <w:szCs w:val="16"/>
              </w:rPr>
              <w:t xml:space="preserve">Utilisateur légitime refusé à la connexion</w:t>
            </w:r>
          </w:p>
        </w:tc>
        <w:tc>
          <w:tcPr>
            <w:tcW w:w="2155" w:type="dxa"/>
          </w:tcPr>
          <w:p>
            <w:pPr>
              <w:pStyle w:val="TableText"/>
            </w:pPr>
            <w:r>
              <w:rPr>
                <w:sz w:val="16"/>
                <w:szCs w:val="16"/>
              </w:rPr>
              <w:t xml:space="preserve">Hors du groupe, blocage 15 min après 5 échecs, LDAPS non vérifiable</w:t>
            </w:r>
          </w:p>
        </w:tc>
        <w:tc>
          <w:tcPr>
            <w:tcW w:w="2409" w:type="dxa"/>
          </w:tcPr>
          <w:p>
            <w:pPr>
              <w:pStyle w:val="TableText"/>
            </w:pPr>
            <w:r>
              <w:rPr>
                <w:sz w:val="16"/>
                <w:szCs w:val="16"/>
              </w:rPr>
              <w:t xml:space="preserve">Journal d'audit (cause réelle) ; appartenance au groupe</w:t>
            </w:r>
          </w:p>
        </w:tc>
        <w:tc>
          <w:tcPr>
            <w:tcW w:w="2663" w:type="dxa"/>
          </w:tcPr>
          <w:p>
            <w:pPr>
              <w:pStyle w:val="TableText"/>
            </w:pPr>
            <w:r>
              <w:rPr>
                <w:sz w:val="16"/>
                <w:szCs w:val="16"/>
              </w:rPr>
              <w:t xml:space="preserve">Ajouter au groupe ; attendre la fin du blocage ; </w:t>
            </w:r>
            <w:r>
              <w:rPr>
                <w:rFonts w:ascii="Consolas" w:hAnsi="Consolas" w:cs="Consolas"/>
                <w:color w:val="1C5CAB"/>
                <w:sz w:val="16"/>
                <w:szCs w:val="16"/>
                <w:shd w:val="clear" w:color="auto" w:fill="EEF3FA"/>
              </w:rPr>
              <w:t xml:space="preserve">ldap_ca_file</w:t>
            </w:r>
          </w:p>
        </w:tc>
      </w:tr>
      <w:tr>
        <w:trPr>
          <w:cantSplit/>
        </w:trPr>
        <w:tc>
          <w:tcPr>
            <w:tcW w:w="2409" w:type="dxa"/>
            <w:shd w:val="clear" w:color="auto" w:fill="F4F7FC"/>
          </w:tcPr>
          <w:p>
            <w:pPr>
              <w:pStyle w:val="TableText"/>
            </w:pPr>
            <w:r>
              <w:rPr>
                <w:sz w:val="16"/>
                <w:szCs w:val="16"/>
              </w:rPr>
              <w:t xml:space="preserve">« STARTTLS refusé ou échoué vers l'annuaire »</w:t>
            </w:r>
          </w:p>
        </w:tc>
        <w:tc>
          <w:tcPr>
            <w:tcW w:w="2155" w:type="dxa"/>
            <w:shd w:val="clear" w:color="auto" w:fill="F4F7FC"/>
          </w:tcPr>
          <w:p>
            <w:pPr>
              <w:pStyle w:val="TableText"/>
            </w:pPr>
            <w:r>
              <w:rPr>
                <w:sz w:val="16"/>
                <w:szCs w:val="16"/>
              </w:rPr>
              <w:t xml:space="preserve">DC sans certificat valide</w:t>
            </w:r>
          </w:p>
        </w:tc>
        <w:tc>
          <w:tcPr>
            <w:tcW w:w="2409" w:type="dxa"/>
            <w:shd w:val="clear" w:color="auto" w:fill="F4F7FC"/>
          </w:tcPr>
          <w:p>
            <w:pPr>
              <w:pStyle w:val="TableText"/>
            </w:pPr>
            <w:r>
              <w:rPr>
                <w:sz w:val="16"/>
                <w:szCs w:val="16"/>
              </w:rPr>
              <w:t xml:space="preserve">Journal</w:t>
            </w:r>
          </w:p>
        </w:tc>
        <w:tc>
          <w:tcPr>
            <w:tcW w:w="2663" w:type="dxa"/>
            <w:shd w:val="clear" w:color="auto" w:fill="F4F7FC"/>
          </w:tcPr>
          <w:p>
            <w:pPr>
              <w:pStyle w:val="TableText"/>
            </w:pPr>
            <w:r>
              <w:rPr>
                <w:sz w:val="16"/>
                <w:szCs w:val="16"/>
              </w:rPr>
              <w:t xml:space="preserve">Utiliser </w:t>
            </w:r>
            <w:r>
              <w:rPr>
                <w:rFonts w:ascii="Consolas" w:hAnsi="Consolas" w:cs="Consolas"/>
                <w:color w:val="1C5CAB"/>
                <w:sz w:val="16"/>
                <w:szCs w:val="16"/>
                <w:shd w:val="clear" w:color="auto" w:fill="EEF3FA"/>
              </w:rPr>
              <w:t xml:space="preserve">ldaps://</w:t>
            </w:r>
            <w:r>
              <w:rPr>
                <w:sz w:val="16"/>
                <w:szCs w:val="16"/>
              </w:rPr>
              <w:t xml:space="preserve"> ; corriger le certificat du DC</w:t>
            </w:r>
          </w:p>
        </w:tc>
      </w:tr>
      <w:tr>
        <w:trPr>
          <w:cantSplit/>
        </w:trPr>
        <w:tc>
          <w:tcPr>
            <w:tcW w:w="2409" w:type="dxa"/>
          </w:tcPr>
          <w:p>
            <w:pPr>
              <w:pStyle w:val="TableText"/>
            </w:pPr>
            <w:r>
              <w:rPr>
                <w:sz w:val="16"/>
                <w:szCs w:val="16"/>
              </w:rPr>
              <w:t xml:space="preserve">Alerte de certificat dans le navigateur</w:t>
            </w:r>
          </w:p>
        </w:tc>
        <w:tc>
          <w:tcPr>
            <w:tcW w:w="2155" w:type="dxa"/>
          </w:tcPr>
          <w:p>
            <w:pPr>
              <w:pStyle w:val="TableText"/>
            </w:pPr>
            <w:r>
              <w:rPr>
                <w:sz w:val="16"/>
                <w:szCs w:val="16"/>
              </w:rPr>
              <w:t xml:space="preserve">Certificat expiré ou nom différent de l'adresse</w:t>
            </w:r>
          </w:p>
        </w:tc>
        <w:tc>
          <w:tcPr>
            <w:tcW w:w="2409" w:type="dxa"/>
          </w:tcPr>
          <w:p>
            <w:pPr>
              <w:pStyle w:val="TableText"/>
            </w:pPr>
            <w:r>
              <w:rPr>
                <w:sz w:val="16"/>
                <w:szCs w:val="16"/>
              </w:rPr>
              <w:t xml:space="preserve">Détail du certificat</w:t>
            </w:r>
          </w:p>
        </w:tc>
        <w:tc>
          <w:tcPr>
            <w:tcW w:w="2663" w:type="dxa"/>
          </w:tcPr>
          <w:p>
            <w:pPr>
              <w:pStyle w:val="TableText"/>
            </w:pPr>
            <w:r>
              <w:rPr>
                <w:sz w:val="16"/>
                <w:szCs w:val="16"/>
              </w:rPr>
              <w:t xml:space="preserve">Renouveler (§ 12.4) ; utiliser le nom du certificat</w:t>
            </w:r>
          </w:p>
        </w:tc>
      </w:tr>
      <w:tr>
        <w:trPr>
          <w:cantSplit/>
        </w:trPr>
        <w:tc>
          <w:tcPr>
            <w:tcW w:w="2409" w:type="dxa"/>
            <w:shd w:val="clear" w:color="auto" w:fill="F4F7FC"/>
          </w:tcPr>
          <w:p>
            <w:pPr>
              <w:pStyle w:val="TableText"/>
            </w:pPr>
            <w:r>
              <w:rPr>
                <w:sz w:val="16"/>
                <w:szCs w:val="16"/>
              </w:rPr>
              <w:t xml:space="preserve">E-mail non reçu</w:t>
            </w:r>
          </w:p>
        </w:tc>
        <w:tc>
          <w:tcPr>
            <w:tcW w:w="2155" w:type="dxa"/>
            <w:shd w:val="clear" w:color="auto" w:fill="F4F7FC"/>
          </w:tcPr>
          <w:p>
            <w:pPr>
              <w:pStyle w:val="TableText"/>
            </w:pPr>
            <w:r>
              <w:rPr>
                <w:sz w:val="16"/>
                <w:szCs w:val="16"/>
              </w:rPr>
              <w:t xml:space="preserve">SMTP refusé, anti-spam, déjà envoyé pour la période</w:t>
            </w:r>
          </w:p>
        </w:tc>
        <w:tc>
          <w:tcPr>
            <w:tcW w:w="2409" w:type="dxa"/>
            <w:shd w:val="clear" w:color="auto" w:fill="F4F7FC"/>
          </w:tcPr>
          <w:p>
            <w:pPr>
              <w:pStyle w:val="TableText"/>
            </w:pPr>
            <w:r>
              <w:rPr>
                <w:sz w:val="16"/>
                <w:szCs w:val="16"/>
              </w:rPr>
              <w:t xml:space="preserve">Journal « Envoi … impossible » ; table </w:t>
            </w:r>
            <w:r>
              <w:rPr>
                <w:rFonts w:ascii="Consolas" w:hAnsi="Consolas" w:cs="Consolas"/>
                <w:color w:val="1C5CAB"/>
                <w:sz w:val="16"/>
                <w:szCs w:val="16"/>
                <w:shd w:val="clear" w:color="auto" w:fill="EEF3FA"/>
              </w:rPr>
              <w:t xml:space="preserve">report_delivery</w:t>
            </w:r>
          </w:p>
        </w:tc>
        <w:tc>
          <w:tcPr>
            <w:tcW w:w="2663" w:type="dxa"/>
            <w:shd w:val="clear" w:color="auto" w:fill="F4F7FC"/>
          </w:tcPr>
          <w:p>
            <w:pPr>
              <w:pStyle w:val="TableText"/>
            </w:pPr>
            <w:r>
              <w:rPr>
                <w:sz w:val="16"/>
                <w:szCs w:val="16"/>
              </w:rPr>
              <w:t xml:space="preserve">Corriger SMTP ; liste blanche ; </w:t>
            </w:r>
            <w:r>
              <w:rPr>
                <w:rFonts w:ascii="Consolas" w:hAnsi="Consolas" w:cs="Consolas"/>
                <w:color w:val="1C5CAB"/>
                <w:sz w:val="16"/>
                <w:szCs w:val="16"/>
                <w:shd w:val="clear" w:color="auto" w:fill="EEF3FA"/>
              </w:rPr>
              <w:t xml:space="preserve">send-report --subscription X</w:t>
            </w:r>
            <w:r>
              <w:rPr>
                <w:sz w:val="16"/>
                <w:szCs w:val="16"/>
              </w:rPr>
              <w:t xml:space="preserve"> sans </w:t>
            </w:r>
            <w:r>
              <w:rPr>
                <w:rFonts w:ascii="Consolas" w:hAnsi="Consolas" w:cs="Consolas"/>
                <w:color w:val="1C5CAB"/>
                <w:sz w:val="16"/>
                <w:szCs w:val="16"/>
                <w:shd w:val="clear" w:color="auto" w:fill="EEF3FA"/>
              </w:rPr>
              <w:t xml:space="preserve">--skip-sent</w:t>
            </w:r>
          </w:p>
        </w:tc>
      </w:tr>
      <w:tr>
        <w:trPr>
          <w:cantSplit/>
        </w:trPr>
        <w:tc>
          <w:tcPr>
            <w:tcW w:w="2409" w:type="dxa"/>
          </w:tcPr>
          <w:p>
            <w:pPr>
              <w:pStyle w:val="TableText"/>
            </w:pPr>
            <w:r>
              <w:rPr>
                <w:sz w:val="16"/>
                <w:szCs w:val="16"/>
              </w:rPr>
              <w:t xml:space="preserve">Rapport mensuel absent</w:t>
            </w:r>
          </w:p>
        </w:tc>
        <w:tc>
          <w:tcPr>
            <w:tcW w:w="2155" w:type="dxa"/>
          </w:tcPr>
          <w:p>
            <w:pPr>
              <w:pStyle w:val="TableText"/>
            </w:pPr>
            <w:r>
              <w:rPr>
                <w:sz w:val="16"/>
                <w:szCs w:val="16"/>
              </w:rPr>
              <w:t xml:space="preserve">Droits sur </w:t>
            </w:r>
            <w:r>
              <w:rPr>
                <w:rFonts w:ascii="Consolas" w:hAnsi="Consolas" w:cs="Consolas"/>
                <w:color w:val="1C5CAB"/>
                <w:sz w:val="16"/>
                <w:szCs w:val="16"/>
                <w:shd w:val="clear" w:color="auto" w:fill="EEF3FA"/>
              </w:rPr>
              <w:t xml:space="preserve">output_dir</w:t>
            </w:r>
            <w:r>
              <w:rPr>
                <w:sz w:val="16"/>
                <w:szCs w:val="16"/>
              </w:rPr>
              <w:t xml:space="preserve">, tâche en échec</w:t>
            </w:r>
          </w:p>
        </w:tc>
        <w:tc>
          <w:tcPr>
            <w:tcW w:w="2409" w:type="dxa"/>
          </w:tcPr>
          <w:p>
            <w:pPr>
              <w:pStyle w:val="TableText"/>
            </w:pPr>
            <w:r>
              <w:rPr>
                <w:sz w:val="16"/>
                <w:szCs w:val="16"/>
              </w:rPr>
              <w:t xml:space="preserve">Journal ; dernier résultat de la tâche</w:t>
            </w:r>
          </w:p>
        </w:tc>
        <w:tc>
          <w:tcPr>
            <w:tcW w:w="2663" w:type="dxa"/>
          </w:tcPr>
          <w:p>
            <w:pPr>
              <w:pStyle w:val="TableText"/>
            </w:pPr>
            <w:r>
              <w:rPr>
                <w:sz w:val="16"/>
                <w:szCs w:val="16"/>
              </w:rPr>
              <w:t xml:space="preserve">Corriger les droits ; relancer la tâche</w:t>
            </w:r>
          </w:p>
        </w:tc>
      </w:tr>
      <w:tr>
        <w:trPr>
          <w:cantSplit/>
        </w:trPr>
        <w:tc>
          <w:tcPr>
            <w:tcW w:w="2409" w:type="dxa"/>
            <w:shd w:val="clear" w:color="auto" w:fill="F4F7FC"/>
          </w:tcPr>
          <w:p>
            <w:pPr>
              <w:pStyle w:val="TableText"/>
            </w:pPr>
            <w:r>
              <w:rPr>
                <w:sz w:val="16"/>
                <w:szCs w:val="16"/>
              </w:rPr>
              <w:t xml:space="preserve">Produits affichés sous leur code technique</w:t>
            </w:r>
          </w:p>
        </w:tc>
        <w:tc>
          <w:tcPr>
            <w:tcW w:w="2155" w:type="dxa"/>
            <w:shd w:val="clear" w:color="auto" w:fill="F4F7FC"/>
          </w:tcPr>
          <w:p>
            <w:pPr>
              <w:pStyle w:val="TableText"/>
            </w:pPr>
            <w:r>
              <w:rPr>
                <w:sz w:val="16"/>
                <w:szCs w:val="16"/>
              </w:rPr>
              <w:t xml:space="preserve">Feature sans règle </w:t>
            </w:r>
            <w:r>
              <w:rPr>
                <w:rFonts w:ascii="Consolas" w:hAnsi="Consolas" w:cs="Consolas"/>
                <w:color w:val="1C5CAB"/>
                <w:sz w:val="16"/>
                <w:szCs w:val="16"/>
                <w:shd w:val="clear" w:color="auto" w:fill="EEF3FA"/>
              </w:rPr>
              <w:t xml:space="preserve">products</w:t>
            </w:r>
          </w:p>
        </w:tc>
        <w:tc>
          <w:tcPr>
            <w:tcW w:w="2409" w:type="dxa"/>
            <w:shd w:val="clear" w:color="auto" w:fill="F4F7FC"/>
          </w:tcPr>
          <w:p>
            <w:pPr>
              <w:pStyle w:val="TableText"/>
            </w:pPr>
            <w:r>
              <w:rPr>
                <w:sz w:val="16"/>
                <w:szCs w:val="16"/>
              </w:rPr>
              <w:t xml:space="preserve">Vue Synthèse</w:t>
            </w:r>
          </w:p>
        </w:tc>
        <w:tc>
          <w:tcPr>
            <w:tcW w:w="2663" w:type="dxa"/>
            <w:shd w:val="clear" w:color="auto" w:fill="F4F7FC"/>
          </w:tcPr>
          <w:p>
            <w:pPr>
              <w:pStyle w:val="TableText"/>
            </w:pPr>
            <w:r>
              <w:rPr>
                <w:sz w:val="16"/>
                <w:szCs w:val="16"/>
              </w:rPr>
              <w:t xml:space="preserve">Ajouter une règle puis </w:t>
            </w:r>
            <w:r>
              <w:rPr>
                <w:rFonts w:ascii="Consolas" w:hAnsi="Consolas" w:cs="Consolas"/>
                <w:color w:val="1C5CAB"/>
                <w:sz w:val="16"/>
                <w:szCs w:val="16"/>
                <w:shd w:val="clear" w:color="auto" w:fill="EEF3FA"/>
              </w:rPr>
              <w:t xml:space="preserve">apply-products</w:t>
            </w:r>
          </w:p>
        </w:tc>
      </w:tr>
      <w:tr>
        <w:trPr>
          <w:cantSplit/>
        </w:trPr>
        <w:tc>
          <w:tcPr>
            <w:tcW w:w="2409" w:type="dxa"/>
          </w:tcPr>
          <w:p>
            <w:pPr>
              <w:pStyle w:val="TableText"/>
            </w:pPr>
            <w:r>
              <w:rPr>
                <w:sz w:val="16"/>
                <w:szCs w:val="16"/>
              </w:rPr>
              <w:t xml:space="preserve">Utilisateurs sans service ni nom</w:t>
            </w:r>
          </w:p>
        </w:tc>
        <w:tc>
          <w:tcPr>
            <w:tcW w:w="2155" w:type="dxa"/>
          </w:tcPr>
          <w:p>
            <w:pPr>
              <w:pStyle w:val="TableText"/>
            </w:pPr>
            <w:r>
              <w:rPr>
                <w:sz w:val="16"/>
                <w:szCs w:val="16"/>
              </w:rPr>
              <w:t xml:space="preserve">Référentiel non importé</w:t>
            </w:r>
          </w:p>
        </w:tc>
        <w:tc>
          <w:tcPr>
            <w:tcW w:w="2409" w:type="dxa"/>
          </w:tcPr>
          <w:p>
            <w:pPr>
              <w:pStyle w:val="TableText"/>
            </w:pPr>
            <w:r>
              <w:rPr>
                <w:sz w:val="16"/>
                <w:szCs w:val="16"/>
              </w:rPr>
              <w:t xml:space="preserve">Vue Répartition par service « (non renseigné) »</w:t>
            </w:r>
          </w:p>
        </w:tc>
        <w:tc>
          <w:tcPr>
            <w:tcW w:w="2663" w:type="dxa"/>
          </w:tcPr>
          <w:p>
            <w:pPr>
              <w:pStyle w:val="TableText"/>
            </w:pPr>
            <w:r>
              <w:rPr>
                <w:rFonts w:ascii="Consolas" w:hAnsi="Consolas" w:cs="Consolas"/>
                <w:color w:val="1C5CAB"/>
                <w:sz w:val="16"/>
                <w:szCs w:val="16"/>
                <w:shd w:val="clear" w:color="auto" w:fill="EEF3FA"/>
              </w:rPr>
              <w:t xml:space="preserve">import-users</w:t>
            </w:r>
            <w:r>
              <w:rPr>
                <w:sz w:val="16"/>
                <w:szCs w:val="16"/>
              </w:rPr>
              <w:t xml:space="preserve"> (§ 5.7)</w:t>
            </w:r>
          </w:p>
        </w:tc>
      </w:tr>
      <w:tr>
        <w:trPr>
          <w:cantSplit/>
        </w:trPr>
        <w:tc>
          <w:tcPr>
            <w:tcW w:w="2409" w:type="dxa"/>
            <w:shd w:val="clear" w:color="auto" w:fill="F4F7FC"/>
          </w:tcPr>
          <w:p>
            <w:pPr>
              <w:pStyle w:val="TableText"/>
            </w:pPr>
            <w:r>
              <w:rPr>
                <w:sz w:val="16"/>
                <w:szCs w:val="16"/>
              </w:rPr>
              <w:t xml:space="preserve">Sessions anormalement longues</w:t>
            </w:r>
          </w:p>
        </w:tc>
        <w:tc>
          <w:tcPr>
            <w:tcW w:w="2155" w:type="dxa"/>
            <w:shd w:val="clear" w:color="auto" w:fill="F4F7FC"/>
          </w:tcPr>
          <w:p>
            <w:pPr>
              <w:pStyle w:val="TableText"/>
            </w:pPr>
            <w:r>
              <w:rPr>
                <w:sz w:val="16"/>
                <w:szCs w:val="16"/>
              </w:rPr>
              <w:t xml:space="preserve">Démon éditeur arrêté (sessions laissées ouvertes)</w:t>
            </w:r>
          </w:p>
        </w:tc>
        <w:tc>
          <w:tcPr>
            <w:tcW w:w="2409" w:type="dxa"/>
            <w:shd w:val="clear" w:color="auto" w:fill="F4F7FC"/>
          </w:tcPr>
          <w:p>
            <w:pPr>
              <w:pStyle w:val="TableText"/>
            </w:pPr>
            <w:r>
              <w:rPr>
                <w:sz w:val="16"/>
                <w:szCs w:val="16"/>
              </w:rPr>
              <w:t xml:space="preserve">Vue Sessions (fin vide)</w:t>
            </w:r>
          </w:p>
        </w:tc>
        <w:tc>
          <w:tcPr>
            <w:tcW w:w="2663" w:type="dxa"/>
            <w:shd w:val="clear" w:color="auto" w:fill="F4F7FC"/>
          </w:tcPr>
          <w:p>
            <w:pPr>
              <w:pStyle w:val="TableText"/>
            </w:pPr>
            <w:r>
              <w:rPr>
                <w:sz w:val="16"/>
                <w:szCs w:val="16"/>
              </w:rPr>
              <w:t xml:space="preserve">Se referment au retour du démon ; sinon à la disparition des jetons</w:t>
            </w:r>
          </w:p>
        </w:tc>
      </w:tr>
      <w:tr>
        <w:trPr>
          <w:cantSplit/>
        </w:trPr>
        <w:tc>
          <w:tcPr>
            <w:tcW w:w="2409" w:type="dxa"/>
          </w:tcPr>
          <w:p>
            <w:pPr>
              <w:pStyle w:val="TableText"/>
            </w:pPr>
            <w:r>
              <w:rPr>
                <w:sz w:val="16"/>
                <w:szCs w:val="16"/>
              </w:rPr>
              <w:t xml:space="preserve">Base volumineuse / disque plein</w:t>
            </w:r>
          </w:p>
        </w:tc>
        <w:tc>
          <w:tcPr>
            <w:tcW w:w="2155" w:type="dxa"/>
          </w:tcPr>
          <w:p>
            <w:pPr>
              <w:pStyle w:val="TableText"/>
            </w:pPr>
            <w:r>
              <w:rPr>
                <w:sz w:val="16"/>
                <w:szCs w:val="16"/>
              </w:rPr>
              <w:t xml:space="preserve">Purge non exécutée</w:t>
            </w:r>
          </w:p>
        </w:tc>
        <w:tc>
          <w:tcPr>
            <w:tcW w:w="2409" w:type="dxa"/>
          </w:tcPr>
          <w:p>
            <w:pPr>
              <w:pStyle w:val="TableText"/>
            </w:pPr>
            <w:r>
              <w:rPr>
                <w:rFonts w:ascii="Consolas" w:hAnsi="Consolas" w:cs="Consolas"/>
                <w:color w:val="1C5CAB"/>
                <w:sz w:val="16"/>
                <w:szCs w:val="16"/>
                <w:shd w:val="clear" w:color="auto" w:fill="EEF3FA"/>
              </w:rPr>
              <w:t xml:space="preserve">EXEC sp_spaceused</w:t>
            </w:r>
            <w:r>
              <w:rPr>
                <w:sz w:val="16"/>
                <w:szCs w:val="16"/>
              </w:rPr>
              <w:t xml:space="preserve"> ; tâche Purge</w:t>
            </w:r>
          </w:p>
        </w:tc>
        <w:tc>
          <w:tcPr>
            <w:tcW w:w="2663" w:type="dxa"/>
          </w:tcPr>
          <w:p>
            <w:pPr>
              <w:pStyle w:val="TableText"/>
            </w:pPr>
            <w:r>
              <w:rPr>
                <w:sz w:val="16"/>
                <w:szCs w:val="16"/>
              </w:rPr>
              <w:t xml:space="preserve">Relancer la purge ; vérifier la tâche</w:t>
            </w:r>
          </w:p>
        </w:tc>
      </w:tr>
    </w:tbl>
    <w:p>
      <w:pPr>
        <w:spacing w:after="80"/>
      </w:pPr>
    </w:p>
    <w:p>
      <w:pPr>
        <w:pStyle w:val="Heading2"/>
      </w:pPr>
      <w:bookmarkStart w:id="116" w:name="_Toc00116"/>
      <w:r>
        <w:rPr/>
        <w:t xml:space="preserve">11.3 Commandes de diagnostic</w:t>
      </w:r>
      <w:bookmarkEnd w:id="116"/>
    </w:p>
    <w:p>
      <w:pPr>
        <w:pStyle w:val="Caption"/>
        <w:keepNext/>
      </w:pPr>
      <w:r>
        <w:rPr/>
        <w:t xml:space="preserve">Tableau 31 – Commandes de diagnostic</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4681"/>
        <w:gridCol w:w="4956"/>
      </w:tblGrid>
      <w:tr>
        <w:trPr>
          <w:tblHeader/>
          <w:cantSplit/>
        </w:trPr>
        <w:tc>
          <w:tcPr>
            <w:tcW w:w="4681" w:type="dxa"/>
            <w:shd w:val="clear" w:color="auto" w:fill="2A78D6"/>
          </w:tcPr>
          <w:p>
            <w:pPr>
              <w:pStyle w:val="TableText"/>
            </w:pPr>
            <w:r>
              <w:rPr>
                <w:b/>
                <w:color w:val="FFFFFF"/>
                <w:sz w:val="18"/>
                <w:szCs w:val="18"/>
              </w:rPr>
              <w:t xml:space="preserve">Commande</w:t>
            </w:r>
          </w:p>
        </w:tc>
        <w:tc>
          <w:tcPr>
            <w:tcW w:w="4956" w:type="dxa"/>
            <w:shd w:val="clear" w:color="auto" w:fill="2A78D6"/>
          </w:tcPr>
          <w:p>
            <w:pPr>
              <w:pStyle w:val="TableText"/>
            </w:pPr>
            <w:r>
              <w:rPr>
                <w:b/>
                <w:color w:val="FFFFFF"/>
                <w:sz w:val="18"/>
                <w:szCs w:val="18"/>
              </w:rPr>
              <w:t xml:space="preserve">Usage</w:t>
            </w:r>
          </w:p>
        </w:tc>
      </w:tr>
      <w:tr>
        <w:trPr>
          <w:cantSplit/>
        </w:trPr>
        <w:tc>
          <w:tcPr>
            <w:tcW w:w="4681" w:type="dxa"/>
          </w:tcPr>
          <w:p>
            <w:pPr>
              <w:pStyle w:val="TableText"/>
            </w:pPr>
            <w:r>
              <w:rPr>
                <w:rFonts w:ascii="Consolas" w:hAnsi="Consolas" w:cs="Consolas"/>
                <w:color w:val="1C5CAB"/>
                <w:sz w:val="18"/>
                <w:szCs w:val="18"/>
                <w:shd w:val="clear" w:color="auto" w:fill="EEF3FA"/>
              </w:rPr>
              <w:t xml:space="preserve">.\FreeLM.exe -c freelm.yaml test-server --server X</w:t>
            </w:r>
          </w:p>
        </w:tc>
        <w:tc>
          <w:tcPr>
            <w:tcW w:w="4956" w:type="dxa"/>
          </w:tcPr>
          <w:p>
            <w:pPr>
              <w:pStyle w:val="TableText"/>
            </w:pPr>
            <w:r>
              <w:rPr>
                <w:sz w:val="18"/>
                <w:szCs w:val="18"/>
              </w:rPr>
              <w:t xml:space="preserve">Interroger un serveur sans rien écrire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.\FreeLM.exe -v -c freelm.yaml collect --server X</w:t>
            </w:r>
          </w:p>
        </w:tc>
        <w:tc>
          <w:tcPr>
            <w:tcW w:w="4956" w:type="dxa"/>
            <w:shd w:val="clear" w:color="auto" w:fill="F4F7FC"/>
          </w:tcPr>
          <w:p>
            <w:pPr>
              <w:pStyle w:val="TableText"/>
            </w:pPr>
            <w:r>
              <w:rPr>
                <w:sz w:val="18"/>
                <w:szCs w:val="18"/>
              </w:rPr>
              <w:t xml:space="preserve">Collecte d'un seul serveur, journal détaillé</w:t>
            </w:r>
          </w:p>
        </w:tc>
      </w:tr>
      <w:tr>
        <w:trPr>
          <w:cantSplit/>
        </w:trPr>
        <w:tc>
          <w:tcPr>
            <w:tcW w:w="4681" w:type="dxa"/>
          </w:tcPr>
          <w:p>
            <w:pPr>
              <w:pStyle w:val="TableText"/>
            </w:pPr>
            <w:r>
              <w:rPr>
                <w:rFonts w:ascii="Consolas" w:hAnsi="Consolas" w:cs="Consolas"/>
                <w:color w:val="1C5CAB"/>
                <w:sz w:val="18"/>
                <w:szCs w:val="18"/>
                <w:shd w:val="clear" w:color="auto" w:fill="EEF3FA"/>
              </w:rPr>
              <w:t xml:space="preserve">lmutil lmstat -a -c 27000@licsrv1</w:t>
            </w:r>
          </w:p>
        </w:tc>
        <w:tc>
          <w:tcPr>
            <w:tcW w:w="4956" w:type="dxa"/>
          </w:tcPr>
          <w:p>
            <w:pPr>
              <w:pStyle w:val="TableText"/>
            </w:pPr>
            <w:r>
              <w:rPr>
                <w:sz w:val="18"/>
                <w:szCs w:val="18"/>
              </w:rPr>
              <w:t xml:space="preserve">Contrôle direct de l'état FlexLM</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.\FreeLM.exe parse-lmstat sortie.txt</w:t>
            </w:r>
          </w:p>
        </w:tc>
        <w:tc>
          <w:tcPr>
            <w:tcW w:w="4956" w:type="dxa"/>
            <w:shd w:val="clear" w:color="auto" w:fill="F4F7FC"/>
          </w:tcPr>
          <w:p>
            <w:pPr>
              <w:pStyle w:val="TableText"/>
            </w:pPr>
            <w:r>
              <w:rPr>
                <w:sz w:val="18"/>
                <w:szCs w:val="18"/>
              </w:rPr>
              <w:t xml:space="preserve">Tester le parser sur une sortie lmstat enregistrée (sans base)</w:t>
            </w:r>
          </w:p>
        </w:tc>
      </w:tr>
      <w:tr>
        <w:trPr>
          <w:cantSplit/>
        </w:trPr>
        <w:tc>
          <w:tcPr>
            <w:tcW w:w="4681" w:type="dxa"/>
          </w:tcPr>
          <w:p>
            <w:pPr>
              <w:pStyle w:val="TableText"/>
            </w:pPr>
            <w:r>
              <w:rPr>
                <w:rFonts w:ascii="Consolas" w:hAnsi="Consolas" w:cs="Consolas"/>
                <w:color w:val="1C5CAB"/>
                <w:sz w:val="18"/>
                <w:szCs w:val="18"/>
                <w:shd w:val="clear" w:color="auto" w:fill="EEF3FA"/>
              </w:rPr>
              <w:t xml:space="preserve">.\FreeLM.exe parse-log license.log</w:t>
            </w:r>
          </w:p>
        </w:tc>
        <w:tc>
          <w:tcPr>
            <w:tcW w:w="4956" w:type="dxa"/>
          </w:tcPr>
          <w:p>
            <w:pPr>
              <w:pStyle w:val="TableText"/>
            </w:pPr>
            <w:r>
              <w:rPr>
                <w:sz w:val="18"/>
                <w:szCs w:val="18"/>
              </w:rPr>
              <w:t xml:space="preserve">Tester le parser sur un log (sans base)</w:t>
            </w:r>
          </w:p>
        </w:tc>
      </w:tr>
      <w:tr>
        <w:trPr>
          <w:cantSplit/>
        </w:trPr>
        <w:tc>
          <w:tcPr>
            <w:tcW w:w="4681" w:type="dxa"/>
            <w:shd w:val="clear" w:color="auto" w:fill="F4F7FC"/>
          </w:tcPr>
          <w:p>
            <w:pPr>
              <w:pStyle w:val="TableText"/>
            </w:pPr>
            <w:r>
              <w:rPr>
                <w:rFonts w:ascii="Consolas" w:hAnsi="Consolas" w:cs="Consolas"/>
                <w:color w:val="1C5CAB"/>
                <w:sz w:val="18"/>
                <w:szCs w:val="18"/>
                <w:shd w:val="clear" w:color="auto" w:fill="EEF3FA"/>
              </w:rPr>
              <w:t xml:space="preserve">.\FreeLM.exe --version</w:t>
            </w:r>
          </w:p>
        </w:tc>
        <w:tc>
          <w:tcPr>
            <w:tcW w:w="4956" w:type="dxa"/>
            <w:shd w:val="clear" w:color="auto" w:fill="F4F7FC"/>
          </w:tcPr>
          <w:p>
            <w:pPr>
              <w:pStyle w:val="TableText"/>
            </w:pPr>
            <w:r>
              <w:rPr>
                <w:sz w:val="18"/>
                <w:szCs w:val="18"/>
              </w:rPr>
              <w:t xml:space="preserve">Version de l'application</w:t>
            </w:r>
          </w:p>
        </w:tc>
      </w:tr>
      <w:tr>
        <w:trPr>
          <w:cantSplit/>
        </w:trPr>
        <w:tc>
          <w:tcPr>
            <w:tcW w:w="4681" w:type="dxa"/>
          </w:tcPr>
          <w:p>
            <w:pPr>
              <w:pStyle w:val="TableText"/>
            </w:pPr>
            <w:r>
              <w:rPr>
                <w:rFonts w:ascii="Consolas" w:hAnsi="Consolas" w:cs="Consolas"/>
                <w:color w:val="1C5CAB"/>
                <w:sz w:val="18"/>
                <w:szCs w:val="18"/>
                <w:shd w:val="clear" w:color="auto" w:fill="EEF3FA"/>
              </w:rPr>
              <w:t xml:space="preserve">Test-NetConnection licsrv1 -Port 27000</w:t>
            </w:r>
          </w:p>
        </w:tc>
        <w:tc>
          <w:tcPr>
            <w:tcW w:w="4956" w:type="dxa"/>
          </w:tcPr>
          <w:p>
            <w:pPr>
              <w:pStyle w:val="TableText"/>
            </w:pPr>
            <w:r>
              <w:rPr>
                <w:sz w:val="18"/>
                <w:szCs w:val="18"/>
              </w:rPr>
              <w:t xml:space="preserve">Vérifier un flux réseau</w:t>
            </w:r>
          </w:p>
        </w:tc>
      </w:tr>
    </w:tbl>
    <w:p>
      <w:pPr>
        <w:spacing w:after="80"/>
      </w:pPr>
    </w:p>
    <w:p>
      <w:pPr>
        <w:pStyle w:val="Heading2"/>
      </w:pPr>
      <w:bookmarkStart w:id="117" w:name="_Toc00117"/>
      <w:r>
        <w:rPr/>
        <w:t xml:space="preserve">11.4 Escalade</w:t>
      </w:r>
      <w:bookmarkEnd w:id="117"/>
    </w:p>
    <w:p>
      <w:pPr>
        <w:pStyle w:val="Caption"/>
        <w:keepNext/>
      </w:pPr>
      <w:r>
        <w:rPr/>
        <w:t xml:space="preserve">Tableau 32 – Niveaux d'escalade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376"/>
        <w:gridCol w:w="2753"/>
        <w:gridCol w:w="3855"/>
        <w:gridCol w:w="1652"/>
      </w:tblGrid>
      <w:tr>
        <w:trPr>
          <w:tblHeader/>
          <w:cantSplit/>
        </w:trPr>
        <w:tc>
          <w:tcPr>
            <w:tcW w:w="1376" w:type="dxa"/>
            <w:shd w:val="clear" w:color="auto" w:fill="2A78D6"/>
          </w:tcPr>
          <w:p>
            <w:pPr>
              <w:pStyle w:val="TableText"/>
            </w:pPr>
            <w:r>
              <w:rPr>
                <w:b/>
                <w:color w:val="FFFFFF"/>
                <w:sz w:val="18"/>
                <w:szCs w:val="18"/>
              </w:rPr>
              <w:t xml:space="preserve">Niveau</w:t>
            </w:r>
          </w:p>
        </w:tc>
        <w:tc>
          <w:tcPr>
            <w:tcW w:w="2753" w:type="dxa"/>
            <w:shd w:val="clear" w:color="auto" w:fill="2A78D6"/>
          </w:tcPr>
          <w:p>
            <w:pPr>
              <w:pStyle w:val="TableText"/>
            </w:pPr>
            <w:r>
              <w:rPr>
                <w:b/>
                <w:color w:val="FFFFFF"/>
                <w:sz w:val="18"/>
                <w:szCs w:val="18"/>
              </w:rPr>
              <w:t xml:space="preserve">Acteur</w:t>
            </w:r>
          </w:p>
        </w:tc>
        <w:tc>
          <w:tcPr>
            <w:tcW w:w="3855" w:type="dxa"/>
            <w:shd w:val="clear" w:color="auto" w:fill="2A78D6"/>
          </w:tcPr>
          <w:p>
            <w:pPr>
              <w:pStyle w:val="TableText"/>
            </w:pPr>
            <w:r>
              <w:rPr>
                <w:b/>
                <w:color w:val="FFFFFF"/>
                <w:sz w:val="18"/>
                <w:szCs w:val="18"/>
              </w:rPr>
              <w:t xml:space="preserve">Périmètre</w:t>
            </w:r>
          </w:p>
        </w:tc>
        <w:tc>
          <w:tcPr>
            <w:tcW w:w="1652" w:type="dxa"/>
            <w:shd w:val="clear" w:color="auto" w:fill="2A78D6"/>
          </w:tcPr>
          <w:p>
            <w:pPr>
              <w:pStyle w:val="TableText"/>
            </w:pPr>
            <w:r>
              <w:rPr>
                <w:b/>
                <w:color w:val="FFFFFF"/>
                <w:sz w:val="18"/>
                <w:szCs w:val="18"/>
              </w:rPr>
              <w:t xml:space="preserve">Délai cible</w:t>
            </w:r>
          </w:p>
        </w:tc>
      </w:tr>
      <w:tr>
        <w:trPr>
          <w:cantSplit/>
        </w:trPr>
        <w:tc>
          <w:tcPr>
            <w:tcW w:w="1376" w:type="dxa"/>
          </w:tcPr>
          <w:p>
            <w:pPr>
              <w:pStyle w:val="TableText"/>
            </w:pPr>
            <w:r>
              <w:rPr>
                <w:sz w:val="18"/>
                <w:szCs w:val="18"/>
              </w:rPr>
              <w:t xml:space="preserve">N1</w:t>
            </w:r>
          </w:p>
        </w:tc>
        <w:tc>
          <w:tcPr>
            <w:tcW w:w="2753" w:type="dxa"/>
          </w:tcPr>
          <w:p>
            <w:pPr>
              <w:pStyle w:val="TableText"/>
            </w:pPr>
            <w:r>
              <w:rPr>
                <w:sz w:val="18"/>
                <w:szCs w:val="18"/>
              </w:rPr>
              <w:t xml:space="preserve">Centre de services / pilotage</w:t>
            </w:r>
          </w:p>
        </w:tc>
        <w:tc>
          <w:tcPr>
            <w:tcW w:w="3855" w:type="dxa"/>
          </w:tcPr>
          <w:p>
            <w:pPr>
              <w:pStyle w:val="TableText"/>
            </w:pPr>
            <w:r>
              <w:rPr>
                <w:sz w:val="18"/>
                <w:szCs w:val="18"/>
              </w:rPr>
              <w:t xml:space="preserve">Contrôles quotidiens, qualification, relance de tâches</w:t>
            </w:r>
          </w:p>
        </w:tc>
        <w:tc>
          <w:tcPr>
            <w:tcW w:w="1652" w:type="dxa"/>
          </w:tcPr>
          <w:p>
            <w:pPr>
              <w:pStyle w:val="TableText"/>
            </w:pPr>
            <w:r>
              <w:rPr>
                <w:sz w:val="18"/>
                <w:szCs w:val="18"/>
              </w:rPr>
              <w:t xml:space="preserve">Heures ouvrées</w:t>
            </w:r>
          </w:p>
        </w:tc>
      </w:tr>
      <w:tr>
        <w:trPr>
          <w:cantSplit/>
        </w:trPr>
        <w:tc>
          <w:tcPr>
            <w:tcW w:w="1376" w:type="dxa"/>
            <w:shd w:val="clear" w:color="auto" w:fill="F4F7FC"/>
          </w:tcPr>
          <w:p>
            <w:pPr>
              <w:pStyle w:val="TableText"/>
            </w:pPr>
            <w:r>
              <w:rPr>
                <w:sz w:val="18"/>
                <w:szCs w:val="18"/>
              </w:rPr>
              <w:t xml:space="preserve">N2</w:t>
            </w:r>
          </w:p>
        </w:tc>
        <w:tc>
          <w:tcPr>
            <w:tcW w:w="2753" w:type="dxa"/>
            <w:shd w:val="clear" w:color="auto" w:fill="F4F7FC"/>
          </w:tcPr>
          <w:p>
            <w:pPr>
              <w:pStyle w:val="TableText"/>
            </w:pPr>
            <w:r>
              <w:rPr>
                <w:sz w:val="18"/>
                <w:szCs w:val="18"/>
              </w:rPr>
              <w:t xml:space="preserve">Exploitation Windows / SQL</w:t>
            </w:r>
          </w:p>
        </w:tc>
        <w:tc>
          <w:tcPr>
            <w:tcW w:w="3855" w:type="dxa"/>
            <w:shd w:val="clear" w:color="auto" w:fill="F4F7FC"/>
          </w:tcPr>
          <w:p>
            <w:pPr>
              <w:pStyle w:val="TableText"/>
            </w:pPr>
            <w:r>
              <w:rPr>
                <w:sz w:val="18"/>
                <w:szCs w:val="18"/>
              </w:rPr>
              <w:t xml:space="preserve">Configuration, comptes, certificats, flux, restauration</w:t>
            </w:r>
          </w:p>
        </w:tc>
        <w:tc>
          <w:tcPr>
            <w:tcW w:w="1652" w:type="dxa"/>
            <w:shd w:val="clear" w:color="auto" w:fill="F4F7FC"/>
          </w:tcPr>
          <w:p>
            <w:pPr>
              <w:pStyle w:val="TableText"/>
            </w:pPr>
            <w:r>
              <w:rPr>
                <w:sz w:val="18"/>
                <w:szCs w:val="18"/>
              </w:rPr>
              <w:t xml:space="preserve">1 jour ouvré</w:t>
            </w:r>
          </w:p>
        </w:tc>
      </w:tr>
      <w:tr>
        <w:trPr>
          <w:cantSplit/>
        </w:trPr>
        <w:tc>
          <w:tcPr>
            <w:tcW w:w="1376" w:type="dxa"/>
          </w:tcPr>
          <w:p>
            <w:pPr>
              <w:pStyle w:val="TableText"/>
            </w:pPr>
            <w:r>
              <w:rPr>
                <w:sz w:val="18"/>
                <w:szCs w:val="18"/>
              </w:rPr>
              <w:t xml:space="preserve">N2 licences</w:t>
            </w:r>
          </w:p>
        </w:tc>
        <w:tc>
          <w:tcPr>
            <w:tcW w:w="2753" w:type="dxa"/>
          </w:tcPr>
          <w:p>
            <w:pPr>
              <w:pStyle w:val="TableText"/>
            </w:pPr>
            <w:r>
              <w:rPr>
                <w:sz w:val="18"/>
                <w:szCs w:val="18"/>
              </w:rPr>
              <w:t xml:space="preserve">Administrateurs des serveurs de licences</w:t>
            </w:r>
          </w:p>
        </w:tc>
        <w:tc>
          <w:tcPr>
            <w:tcW w:w="3855" w:type="dxa"/>
          </w:tcPr>
          <w:p>
            <w:pPr>
              <w:pStyle w:val="TableText"/>
            </w:pPr>
            <w:r>
              <w:rPr>
                <w:sz w:val="18"/>
                <w:szCs w:val="18"/>
              </w:rPr>
              <w:t xml:space="preserve">lmgrd, démons, logs debug, fichiers de licence</w:t>
            </w:r>
          </w:p>
        </w:tc>
        <w:tc>
          <w:tcPr>
            <w:tcW w:w="1652" w:type="dxa"/>
          </w:tcPr>
          <w:p>
            <w:pPr>
              <w:pStyle w:val="TableText"/>
            </w:pPr>
            <w:r>
              <w:rPr>
                <w:sz w:val="18"/>
                <w:szCs w:val="18"/>
              </w:rPr>
              <w:t xml:space="preserve">1 jour ouvré</w:t>
            </w:r>
          </w:p>
        </w:tc>
      </w:tr>
      <w:tr>
        <w:trPr>
          <w:cantSplit/>
        </w:trPr>
        <w:tc>
          <w:tcPr>
            <w:tcW w:w="1376" w:type="dxa"/>
            <w:shd w:val="clear" w:color="auto" w:fill="F4F7FC"/>
          </w:tcPr>
          <w:p>
            <w:pPr>
              <w:pStyle w:val="TableText"/>
            </w:pPr>
            <w:r>
              <w:rPr>
                <w:sz w:val="18"/>
                <w:szCs w:val="18"/>
              </w:rPr>
              <w:t xml:space="preserve">N3</w:t>
            </w:r>
          </w:p>
        </w:tc>
        <w:tc>
          <w:tcPr>
            <w:tcW w:w="2753" w:type="dxa"/>
            <w:shd w:val="clear" w:color="auto" w:fill="F4F7FC"/>
          </w:tcPr>
          <w:p>
            <w:pPr>
              <w:pStyle w:val="TableText"/>
            </w:pPr>
            <w:r>
              <w:rPr>
                <w:sz w:val="18"/>
                <w:szCs w:val="18"/>
              </w:rPr>
              <w:t xml:space="preserve">Équipe FreeLM / communauté (issues GitHub)</w:t>
            </w:r>
          </w:p>
        </w:tc>
        <w:tc>
          <w:tcPr>
            <w:tcW w:w="3855" w:type="dxa"/>
            <w:shd w:val="clear" w:color="auto" w:fill="F4F7FC"/>
          </w:tcPr>
          <w:p>
            <w:pPr>
              <w:pStyle w:val="TableText"/>
            </w:pPr>
            <w:r>
              <w:rPr>
                <w:sz w:val="18"/>
                <w:szCs w:val="18"/>
              </w:rPr>
              <w:t xml:space="preserve">Anomalie logicielle, évolution</w:t>
            </w:r>
          </w:p>
        </w:tc>
        <w:tc>
          <w:tcPr>
            <w:tcW w:w="1652" w:type="dxa"/>
            <w:shd w:val="clear" w:color="auto" w:fill="F4F7FC"/>
          </w:tcPr>
          <w:p>
            <w:pPr>
              <w:pStyle w:val="TableText"/>
            </w:pPr>
            <w:r>
              <w:rPr>
                <w:sz w:val="18"/>
                <w:szCs w:val="18"/>
              </w:rPr>
              <w:t xml:space="preserve">Selon criticité</w:t>
            </w:r>
          </w:p>
        </w:tc>
      </w:tr>
    </w:tbl>
    <w:p>
      <w:pPr>
        <w:spacing w:after="80"/>
      </w:pPr>
    </w:p>
    <w:tbl>
      <w:tblPr>
        <w:tblW w:w="9638" w:type="dxa"/>
        <w:tblInd w:w="0" w:type="dxa"/>
        <w:tblBorders>
          <w:left w:val="single" w:sz="24" w:color="2A78D6"/>
        </w:tblBorders>
        <w:tblCellMar>
          <w:top w:w="100" w:type="dxa"/>
          <w:left w:w="180" w:type="dxa"/>
          <w:bottom w:w="100" w:type="dxa"/>
          <w:right w:w="180" w:type="dxa"/>
        </w:tblCellMar>
      </w:tblPr>
      <w:tblGrid>
        <w:gridCol w:w="9638"/>
      </w:tblGrid>
      <w:tr>
        <w:tc>
          <w:tcPr>
            <w:tcW w:w="9638" w:type="dxa"/>
            <w:shd w:val="clear" w:color="auto" w:fill="EEF4FC"/>
          </w:tcPr>
          <w:p>
            <w:pPr>
              <w:spacing w:before="0" w:after="0"/>
            </w:pPr>
            <w:r>
              <w:rPr>
                <w:b/>
                <w:color w:val="2A78D6"/>
              </w:rPr>
              <w:t xml:space="preserve">À noter — </w:t>
            </w:r>
            <w:r>
              <w:rPr/>
              <w:t xml:space="preserve">Pour une anomalie logicielle, joindre : version (</w:t>
            </w:r>
            <w:r>
              <w:rPr>
                <w:rFonts w:ascii="Consolas" w:hAnsi="Consolas" w:cs="Consolas"/>
                <w:color w:val="1C5CAB"/>
                <w:sz w:val="18"/>
                <w:szCs w:val="18"/>
                <w:shd w:val="clear" w:color="auto" w:fill="EEF3FA"/>
              </w:rPr>
              <w:t xml:space="preserve">--version</w:t>
            </w:r>
            <w:r>
              <w:rPr/>
              <w:t xml:space="preserve">), extrait du journal, sortie </w:t>
            </w:r>
            <w:r>
              <w:rPr>
                <w:rFonts w:ascii="Consolas" w:hAnsi="Consolas" w:cs="Consolas"/>
                <w:color w:val="1C5CAB"/>
                <w:sz w:val="18"/>
                <w:szCs w:val="18"/>
                <w:shd w:val="clear" w:color="auto" w:fill="EEF3FA"/>
              </w:rPr>
              <w:t xml:space="preserve">lmstat</w:t>
            </w:r>
            <w:r>
              <w:rPr/>
              <w:t xml:space="preserve"> anonymisée et étapes de reproduction. Ne jamais publier de configuration contenant des secrets.</w:t>
            </w:r>
          </w:p>
        </w:tc>
      </w:tr>
    </w:tbl>
    <w:p>
      <w:pPr>
        <w:spacing w:after="60"/>
      </w:pPr>
    </w:p>
    <w:p>
      <w:pPr>
        <w:pStyle w:val="Heading1"/>
      </w:pPr>
      <w:bookmarkStart w:id="118" w:name="_Toc00118"/>
      <w:r>
        <w:rPr/>
        <w:t xml:space="preserve">12. Maintenance et évolutions</w:t>
      </w:r>
      <w:bookmarkEnd w:id="118"/>
    </w:p>
    <w:p>
      <w:pPr>
        <w:pStyle w:val="Heading2"/>
      </w:pPr>
      <w:bookmarkStart w:id="119" w:name="_Toc00119"/>
      <w:r>
        <w:rPr/>
        <w:t xml:space="preserve">12.1 Mise à jour de version</w:t>
      </w:r>
      <w:bookmarkEnd w:id="119"/>
    </w:p>
    <w:p>
      <w:pPr>
        <w:pStyle w:val="ListParagraph"/>
        <w:numPr>
          <w:ilvl w:val="0"/>
          <w:numId w:val="11"/>
        </w:numPr>
      </w:pPr>
      <w:r>
        <w:rPr/>
        <w:t xml:space="preserve">Lire le CHANGELOG de la nouvelle version (évolutions, changements de configuration).</w:t>
      </w:r>
    </w:p>
    <w:p>
      <w:pPr>
        <w:pStyle w:val="ListParagraph"/>
        <w:numPr>
          <w:ilvl w:val="0"/>
          <w:numId w:val="11"/>
        </w:numPr>
      </w:pPr>
      <w:r>
        <w:rPr/>
        <w:t xml:space="preserve">Sauvegarder la base et </w:t>
      </w:r>
      <w:r>
        <w:rPr>
          <w:rFonts w:ascii="Consolas" w:hAnsi="Consolas" w:cs="Consolas"/>
          <w:color w:val="1C5CAB"/>
          <w:sz w:val="18"/>
          <w:szCs w:val="18"/>
          <w:shd w:val="clear" w:color="auto" w:fill="EEF3FA"/>
        </w:rPr>
        <w:t xml:space="preserve">freelm.yaml</w:t>
      </w:r>
      <w:r>
        <w:rPr/>
        <w:t xml:space="preserve">.</w:t>
      </w:r>
    </w:p>
    <w:p>
      <w:pPr>
        <w:pStyle w:val="ListParagraph"/>
        <w:numPr>
          <w:ilvl w:val="0"/>
          <w:numId w:val="11"/>
        </w:numPr>
      </w:pPr>
      <w:r>
        <w:rPr/>
        <w:t xml:space="preserve">Désactiver les tâches et arrêter l'interface web (§ 7.2).</w:t>
      </w:r>
    </w:p>
    <w:p>
      <w:pPr>
        <w:pStyle w:val="ListParagraph"/>
        <w:numPr>
          <w:ilvl w:val="0"/>
          <w:numId w:val="11"/>
        </w:numPr>
      </w:pPr>
      <w:r>
        <w:rPr/>
        <w:t xml:space="preserve">Remplacer </w:t>
      </w:r>
      <w:r>
        <w:rPr>
          <w:rFonts w:ascii="Consolas" w:hAnsi="Consolas" w:cs="Consolas"/>
          <w:color w:val="1C5CAB"/>
          <w:sz w:val="18"/>
          <w:szCs w:val="18"/>
          <w:shd w:val="clear" w:color="auto" w:fill="EEF3FA"/>
        </w:rPr>
        <w:t xml:space="preserve">FreeLM.exe</w:t>
      </w:r>
      <w:r>
        <w:rPr/>
        <w:t xml:space="preserve"> (vérifier l'empreinte SHA-256) ou mettre à jour l'environnement Python.</w:t>
      </w:r>
    </w:p>
    <w:p>
      <w:pPr>
        <w:pStyle w:val="ListParagraph"/>
        <w:numPr>
          <w:ilvl w:val="0"/>
          <w:numId w:val="11"/>
        </w:numPr>
      </w:pPr>
      <w:r>
        <w:rPr/>
        <w:t xml:space="preserve">Accorder temporairement db_ddladmin, exécuter </w:t>
      </w:r>
      <w:r>
        <w:rPr>
          <w:rFonts w:ascii="Consolas" w:hAnsi="Consolas" w:cs="Consolas"/>
          <w:color w:val="1C5CAB"/>
          <w:sz w:val="18"/>
          <w:szCs w:val="18"/>
          <w:shd w:val="clear" w:color="auto" w:fill="EEF3FA"/>
        </w:rPr>
        <w:t xml:space="preserve">init-db</w:t>
      </w:r>
      <w:r>
        <w:rPr/>
        <w:t xml:space="preserve"> avec le compte de service, retirer le droit.</w:t>
      </w:r>
    </w:p>
    <w:p>
      <w:pPr>
        <w:pStyle w:val="ListParagraph"/>
        <w:numPr>
          <w:ilvl w:val="0"/>
          <w:numId w:val="11"/>
        </w:numPr>
      </w:pPr>
      <w:r>
        <w:rPr/>
        <w:t xml:space="preserve">Réactiver les tâches, lancer une collecte, vérifier </w:t>
      </w:r>
      <w:r>
        <w:rPr>
          <w:rFonts w:ascii="Consolas" w:hAnsi="Consolas" w:cs="Consolas"/>
          <w:color w:val="1C5CAB"/>
          <w:sz w:val="18"/>
          <w:szCs w:val="18"/>
          <w:shd w:val="clear" w:color="auto" w:fill="EEF3FA"/>
        </w:rPr>
        <w:t xml:space="preserve">--version</w:t>
      </w:r>
      <w:r>
        <w:rPr/>
        <w:t xml:space="preserve">, le badge d'état et un export.</w:t>
      </w:r>
    </w:p>
    <w:p>
      <w:pPr/>
      <w:r>
        <w:rPr/>
        <w:t xml:space="preserve">Retour arrière : réinstaller l'exécutable précédent et, si le schéma a évolué de façon incompatible, restaurer la base sauvegardée à l'étape 2. Les évolutions de schéma de FreeLM sont additives (ajout de tables ou de colonnes), l'ancienne version reste donc généralement compatible.</w:t>
      </w:r>
    </w:p>
    <w:p>
      <w:pPr>
        <w:pStyle w:val="Heading2"/>
      </w:pPr>
      <w:bookmarkStart w:id="120" w:name="_Toc00120"/>
      <w:r>
        <w:rPr/>
        <w:t xml:space="preserve">12.2 Ajout d'un serveur de licences</w:t>
      </w:r>
      <w:bookmarkEnd w:id="120"/>
    </w:p>
    <w:p>
      <w:pPr>
        <w:pStyle w:val="ListParagraph"/>
        <w:numPr>
          <w:ilvl w:val="0"/>
          <w:numId w:val="12"/>
        </w:numPr>
      </w:pPr>
      <w:r>
        <w:rPr/>
        <w:t xml:space="preserve">Ouvrir les flux F2 / F3 (et F4 pour le log) ; tester </w:t>
      </w:r>
      <w:r>
        <w:rPr>
          <w:rFonts w:ascii="Consolas" w:hAnsi="Consolas" w:cs="Consolas"/>
          <w:color w:val="1C5CAB"/>
          <w:sz w:val="18"/>
          <w:szCs w:val="18"/>
          <w:shd w:val="clear" w:color="auto" w:fill="EEF3FA"/>
        </w:rPr>
        <w:t xml:space="preserve">lmutil lmstat -a -c port@hôte</w:t>
      </w:r>
      <w:r>
        <w:rPr/>
        <w:t xml:space="preserve">.</w:t>
      </w:r>
    </w:p>
    <w:p>
      <w:pPr>
        <w:pStyle w:val="ListParagraph"/>
        <w:numPr>
          <w:ilvl w:val="0"/>
          <w:numId w:val="12"/>
        </w:numPr>
      </w:pPr>
      <w:r>
        <w:rPr/>
        <w:t xml:space="preserve">Ajouter un bloc dans </w:t>
      </w:r>
      <w:r>
        <w:rPr>
          <w:rFonts w:ascii="Consolas" w:hAnsi="Consolas" w:cs="Consolas"/>
          <w:color w:val="1C5CAB"/>
          <w:sz w:val="18"/>
          <w:szCs w:val="18"/>
          <w:shd w:val="clear" w:color="auto" w:fill="EEF3FA"/>
        </w:rPr>
        <w:t xml:space="preserve">servers:</w:t>
      </w:r>
      <w:r>
        <w:rPr/>
        <w:t xml:space="preserve"> (§ 6.2).</w:t>
      </w:r>
    </w:p>
    <w:p>
      <w:pPr>
        <w:pStyle w:val="ListParagraph"/>
        <w:numPr>
          <w:ilvl w:val="0"/>
          <w:numId w:val="12"/>
        </w:numPr>
      </w:pPr>
      <w:r>
        <w:rPr>
          <w:rFonts w:ascii="Consolas" w:hAnsi="Consolas" w:cs="Consolas"/>
          <w:color w:val="1C5CAB"/>
          <w:sz w:val="18"/>
          <w:szCs w:val="18"/>
          <w:shd w:val="clear" w:color="auto" w:fill="EEF3FA"/>
        </w:rPr>
        <w:t xml:space="preserve">test-server --server NOUVEAU</w:t>
      </w:r>
      <w:r>
        <w:rPr/>
        <w:t xml:space="preserve">, puis attendre la collecte suivante : le serveur est référencé automatiquement en base.</w:t>
      </w:r>
    </w:p>
    <w:p>
      <w:pPr>
        <w:pStyle w:val="ListParagraph"/>
        <w:numPr>
          <w:ilvl w:val="0"/>
          <w:numId w:val="12"/>
        </w:numPr>
      </w:pPr>
      <w:r>
        <w:rPr/>
        <w:t xml:space="preserve">Ajouter les règles </w:t>
      </w:r>
      <w:r>
        <w:rPr>
          <w:rFonts w:ascii="Consolas" w:hAnsi="Consolas" w:cs="Consolas"/>
          <w:color w:val="1C5CAB"/>
          <w:sz w:val="18"/>
          <w:szCs w:val="18"/>
          <w:shd w:val="clear" w:color="auto" w:fill="EEF3FA"/>
        </w:rPr>
        <w:t xml:space="preserve">products</w:t>
      </w:r>
      <w:r>
        <w:rPr/>
        <w:t xml:space="preserve"> correspondantes et, le cas échéant, </w:t>
      </w:r>
      <w:r>
        <w:rPr>
          <w:rFonts w:ascii="Consolas" w:hAnsi="Consolas" w:cs="Consolas"/>
          <w:color w:val="1C5CAB"/>
          <w:sz w:val="18"/>
          <w:szCs w:val="18"/>
          <w:shd w:val="clear" w:color="auto" w:fill="EEF3FA"/>
        </w:rPr>
        <w:t xml:space="preserve">annual_cost</w:t>
      </w:r>
      <w:r>
        <w:rPr/>
        <w:t xml:space="preserve">.</w:t>
      </w:r>
    </w:p>
    <w:p>
      <w:pPr>
        <w:pStyle w:val="Heading2"/>
      </w:pPr>
      <w:bookmarkStart w:id="121" w:name="_Toc00121"/>
      <w:r>
        <w:rPr/>
        <w:t xml:space="preserve">12.3 Produits, coûts et abonnements</w:t>
      </w:r>
      <w:bookmarkEnd w:id="121"/>
    </w:p>
    <w:p>
      <w:pPr/>
      <w:r>
        <w:rPr/>
        <w:t xml:space="preserve">Les règles de produits, les coûts annuels et les abonnements e-mail sont gérés dans </w:t>
      </w:r>
      <w:r>
        <w:rPr>
          <w:rFonts w:ascii="Consolas" w:hAnsi="Consolas" w:cs="Consolas"/>
          <w:color w:val="1C5CAB"/>
          <w:sz w:val="18"/>
          <w:szCs w:val="18"/>
          <w:shd w:val="clear" w:color="auto" w:fill="EEF3FA"/>
        </w:rPr>
        <w:t xml:space="preserve">freelm.yaml</w:t>
      </w:r>
      <w:r>
        <w:rPr/>
        <w:t xml:space="preserve"> à la demande du responsable applicatif (procédure § 6.3). Après modification des règles de produits, exécuter </w:t>
      </w:r>
      <w:r>
        <w:rPr>
          <w:rFonts w:ascii="Consolas" w:hAnsi="Consolas" w:cs="Consolas"/>
          <w:color w:val="1C5CAB"/>
          <w:sz w:val="18"/>
          <w:szCs w:val="18"/>
          <w:shd w:val="clear" w:color="auto" w:fill="EEF3FA"/>
        </w:rPr>
        <w:t xml:space="preserve">apply-products</w:t>
      </w:r>
      <w:r>
        <w:rPr/>
        <w:t xml:space="preserve"> pour mettre à jour l'historique.</w:t>
      </w:r>
    </w:p>
    <w:p>
      <w:pPr>
        <w:pStyle w:val="Heading2"/>
      </w:pPr>
      <w:bookmarkStart w:id="122" w:name="_Toc00122"/>
      <w:r>
        <w:rPr/>
        <w:t xml:space="preserve">12.4 Renouvellement des certificats</w:t>
      </w:r>
      <w:bookmarkEnd w:id="122"/>
    </w:p>
    <w:p>
      <w:pPr>
        <w:pStyle w:val="ListParagraph"/>
        <w:numPr>
          <w:ilvl w:val="0"/>
          <w:numId w:val="13"/>
        </w:numPr>
      </w:pPr>
      <w:r>
        <w:rPr/>
        <w:t xml:space="preserve">Obtenir le nouveau certificat (même nom DNS) au format PEM (certificat + chaîne) et la clé.</w:t>
      </w:r>
    </w:p>
    <w:p>
      <w:pPr>
        <w:pStyle w:val="ListParagraph"/>
        <w:numPr>
          <w:ilvl w:val="0"/>
          <w:numId w:val="13"/>
        </w:numPr>
      </w:pPr>
      <w:r>
        <w:rPr/>
        <w:t xml:space="preserve">Remplacer les fichiers désignés par </w:t>
      </w:r>
      <w:r>
        <w:rPr>
          <w:rFonts w:ascii="Consolas" w:hAnsi="Consolas" w:cs="Consolas"/>
          <w:color w:val="1C5CAB"/>
          <w:sz w:val="18"/>
          <w:szCs w:val="18"/>
          <w:shd w:val="clear" w:color="auto" w:fill="EEF3FA"/>
        </w:rPr>
        <w:t xml:space="preserve">tls_cert</w:t>
      </w:r>
      <w:r>
        <w:rPr/>
        <w:t xml:space="preserve"> / </w:t>
      </w:r>
      <w:r>
        <w:rPr>
          <w:rFonts w:ascii="Consolas" w:hAnsi="Consolas" w:cs="Consolas"/>
          <w:color w:val="1C5CAB"/>
          <w:sz w:val="18"/>
          <w:szCs w:val="18"/>
          <w:shd w:val="clear" w:color="auto" w:fill="EEF3FA"/>
        </w:rPr>
        <w:t xml:space="preserve">tls_key</w:t>
      </w:r>
      <w:r>
        <w:rPr/>
        <w:t xml:space="preserve"> (droits NTFS inchangés).</w:t>
      </w:r>
    </w:p>
    <w:p>
      <w:pPr>
        <w:pStyle w:val="ListParagraph"/>
        <w:numPr>
          <w:ilvl w:val="0"/>
          <w:numId w:val="13"/>
        </w:numPr>
      </w:pPr>
      <w:r>
        <w:rPr/>
        <w:t xml:space="preserve">Redémarrer la tâche « FreeLM - Interface web » et vérifier la date d'expiration dans le navigateur.</w:t>
      </w:r>
    </w:p>
    <w:p>
      <w:pPr>
        <w:pStyle w:val="Heading2"/>
      </w:pPr>
      <w:bookmarkStart w:id="123" w:name="_Toc00123"/>
      <w:r>
        <w:rPr/>
        <w:t xml:space="preserve">12.5 Compte de service</w:t>
      </w:r>
      <w:bookmarkEnd w:id="123"/>
    </w:p>
    <w:p>
      <w:pPr/>
      <w:r>
        <w:rPr/>
        <w:t xml:space="preserve">Avec un gMSA, aucune action n'est requise. Avec un compte classique, après changement de mot de passe, réexécuter </w:t>
      </w:r>
      <w:r>
        <w:rPr>
          <w:rFonts w:ascii="Consolas" w:hAnsi="Consolas" w:cs="Consolas"/>
          <w:color w:val="1C5CAB"/>
          <w:sz w:val="18"/>
          <w:szCs w:val="18"/>
          <w:shd w:val="clear" w:color="auto" w:fill="EEF3FA"/>
        </w:rPr>
        <w:t xml:space="preserve">register_tasks.ps1</w:t>
      </w:r>
      <w:r>
        <w:rPr/>
        <w:t xml:space="preserve"> (les tâches existantes sont remplacées) pour mettre à jour les identifiants.</w:t>
      </w:r>
    </w:p>
    <w:p>
      <w:pPr>
        <w:pStyle w:val="Heading2"/>
      </w:pPr>
      <w:bookmarkStart w:id="124" w:name="_Toc00124"/>
      <w:r>
        <w:rPr/>
        <w:t xml:space="preserve">12.6 Ajout d'un autre gestionnaire de licences</w:t>
      </w:r>
      <w:bookmarkEnd w:id="124"/>
    </w:p>
    <w:p>
      <w:pPr/>
      <w:r>
        <w:rPr/>
        <w:t xml:space="preserve">L'architecture à collecteurs permet d'ajouter RLM, LM-X, etc. : un nouveau module produit les mêmes objets normalisés, sans modifier la base ni les rapports (voir docs/ARCHITECTURE.md § 6). Il s'agit d'une évolution logicielle à traiter avec l'équipe FreeLM.</w:t>
      </w:r>
    </w:p>
    <w:p>
      <w:pPr>
        <w:pStyle w:val="Heading1"/>
      </w:pPr>
      <w:bookmarkStart w:id="125" w:name="_Toc00125"/>
      <w:r>
        <w:rPr/>
        <w:t xml:space="preserve">13. Continuité et reprise d'activité</w:t>
      </w:r>
      <w:bookmarkEnd w:id="125"/>
    </w:p>
    <w:p>
      <w:pPr>
        <w:pStyle w:val="Heading2"/>
      </w:pPr>
      <w:bookmarkStart w:id="126" w:name="_Toc00126"/>
      <w:r>
        <w:rPr/>
        <w:t xml:space="preserve">13.1 Impact d'une indisponibilité</w:t>
      </w:r>
      <w:bookmarkEnd w:id="126"/>
    </w:p>
    <w:p>
      <w:pPr/>
      <w:r>
        <w:rPr/>
        <w:t xml:space="preserve">L'arrêt de FreeLM </w:t>
      </w:r>
      <w:r>
        <w:rPr>
          <w:b/>
        </w:rPr>
        <w:t xml:space="preserve">n'empêche aucun utilisateur de travailler</w:t>
      </w:r>
      <w:r>
        <w:rPr/>
        <w:t xml:space="preserve"> : les licences restent distribuées par les serveurs FlexLM. Les conséquences se limitent à un trou dans l'historique et à l'indisponibilité des rapports.</w:t>
      </w:r>
    </w:p>
    <w:p>
      <w:pPr>
        <w:pStyle w:val="Heading2"/>
      </w:pPr>
      <w:bookmarkStart w:id="127" w:name="_Toc00127"/>
      <w:r>
        <w:rPr/>
        <w:t xml:space="preserve">13.2 Scénarios de reprise</w:t>
      </w:r>
      <w:bookmarkEnd w:id="127"/>
    </w:p>
    <w:p>
      <w:pPr>
        <w:pStyle w:val="Caption"/>
        <w:keepNext/>
      </w:pPr>
      <w:r>
        <w:rPr/>
        <w:t xml:space="preserve">Tableau 33 – Scénarios de reprise</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2677"/>
        <w:gridCol w:w="2275"/>
        <w:gridCol w:w="3480"/>
        <w:gridCol w:w="1204"/>
      </w:tblGrid>
      <w:tr>
        <w:trPr>
          <w:tblHeader/>
          <w:cantSplit/>
        </w:trPr>
        <w:tc>
          <w:tcPr>
            <w:tcW w:w="2677" w:type="dxa"/>
            <w:shd w:val="clear" w:color="auto" w:fill="2A78D6"/>
          </w:tcPr>
          <w:p>
            <w:pPr>
              <w:pStyle w:val="TableText"/>
            </w:pPr>
            <w:r>
              <w:rPr>
                <w:b/>
                <w:color w:val="FFFFFF"/>
                <w:sz w:val="18"/>
                <w:szCs w:val="18"/>
              </w:rPr>
              <w:t xml:space="preserve">Scénario</w:t>
            </w:r>
          </w:p>
        </w:tc>
        <w:tc>
          <w:tcPr>
            <w:tcW w:w="2275" w:type="dxa"/>
            <w:shd w:val="clear" w:color="auto" w:fill="2A78D6"/>
          </w:tcPr>
          <w:p>
            <w:pPr>
              <w:pStyle w:val="TableText"/>
            </w:pPr>
            <w:r>
              <w:rPr>
                <w:b/>
                <w:color w:val="FFFFFF"/>
                <w:sz w:val="18"/>
                <w:szCs w:val="18"/>
              </w:rPr>
              <w:t xml:space="preserve">Impact</w:t>
            </w:r>
          </w:p>
        </w:tc>
        <w:tc>
          <w:tcPr>
            <w:tcW w:w="3480" w:type="dxa"/>
            <w:shd w:val="clear" w:color="auto" w:fill="2A78D6"/>
          </w:tcPr>
          <w:p>
            <w:pPr>
              <w:pStyle w:val="TableText"/>
            </w:pPr>
            <w:r>
              <w:rPr>
                <w:b/>
                <w:color w:val="FFFFFF"/>
                <w:sz w:val="18"/>
                <w:szCs w:val="18"/>
              </w:rPr>
              <w:t xml:space="preserve">Reprise</w:t>
            </w:r>
          </w:p>
        </w:tc>
        <w:tc>
          <w:tcPr>
            <w:tcW w:w="1204" w:type="dxa"/>
            <w:shd w:val="clear" w:color="auto" w:fill="2A78D6"/>
          </w:tcPr>
          <w:p>
            <w:pPr>
              <w:pStyle w:val="TableText"/>
            </w:pPr>
            <w:r>
              <w:rPr>
                <w:b/>
                <w:color w:val="FFFFFF"/>
                <w:sz w:val="18"/>
                <w:szCs w:val="18"/>
              </w:rPr>
              <w:t xml:space="preserve">Délai</w:t>
            </w:r>
          </w:p>
        </w:tc>
      </w:tr>
      <w:tr>
        <w:trPr>
          <w:cantSplit/>
        </w:trPr>
        <w:tc>
          <w:tcPr>
            <w:tcW w:w="2677" w:type="dxa"/>
          </w:tcPr>
          <w:p>
            <w:pPr>
              <w:pStyle w:val="TableText"/>
            </w:pPr>
            <w:r>
              <w:rPr>
                <w:sz w:val="18"/>
                <w:szCs w:val="18"/>
              </w:rPr>
              <w:t xml:space="preserve">Arrêt du serveur FreeLM (quelques heures)</w:t>
            </w:r>
          </w:p>
        </w:tc>
        <w:tc>
          <w:tcPr>
            <w:tcW w:w="2275" w:type="dxa"/>
          </w:tcPr>
          <w:p>
            <w:pPr>
              <w:pStyle w:val="TableText"/>
            </w:pPr>
            <w:r>
              <w:rPr>
                <w:sz w:val="18"/>
                <w:szCs w:val="18"/>
              </w:rPr>
              <w:t xml:space="preserve">Trou de collecte lmstat</w:t>
            </w:r>
          </w:p>
        </w:tc>
        <w:tc>
          <w:tcPr>
            <w:tcW w:w="3480" w:type="dxa"/>
          </w:tcPr>
          <w:p>
            <w:pPr>
              <w:pStyle w:val="TableText"/>
            </w:pPr>
            <w:r>
              <w:rPr>
                <w:sz w:val="18"/>
                <w:szCs w:val="18"/>
              </w:rPr>
              <w:t xml:space="preserve">Redémarrage ; les tâches reprennent seules ; logs rattrapés</w:t>
            </w:r>
          </w:p>
        </w:tc>
        <w:tc>
          <w:tcPr>
            <w:tcW w:w="1204" w:type="dxa"/>
          </w:tcPr>
          <w:p>
            <w:pPr>
              <w:pStyle w:val="TableText"/>
            </w:pPr>
            <w:r>
              <w:rPr>
                <w:sz w:val="18"/>
                <w:szCs w:val="18"/>
              </w:rPr>
              <w:t xml:space="preserve">Immédiat</w:t>
            </w:r>
          </w:p>
        </w:tc>
      </w:tr>
      <w:tr>
        <w:trPr>
          <w:cantSplit/>
        </w:trPr>
        <w:tc>
          <w:tcPr>
            <w:tcW w:w="2677" w:type="dxa"/>
            <w:shd w:val="clear" w:color="auto" w:fill="F4F7FC"/>
          </w:tcPr>
          <w:p>
            <w:pPr>
              <w:pStyle w:val="TableText"/>
            </w:pPr>
            <w:r>
              <w:rPr>
                <w:sz w:val="18"/>
                <w:szCs w:val="18"/>
              </w:rPr>
              <w:t xml:space="preserve">Perte du serveur FreeLM</w:t>
            </w:r>
          </w:p>
        </w:tc>
        <w:tc>
          <w:tcPr>
            <w:tcW w:w="2275" w:type="dxa"/>
            <w:shd w:val="clear" w:color="auto" w:fill="F4F7FC"/>
          </w:tcPr>
          <w:p>
            <w:pPr>
              <w:pStyle w:val="TableText"/>
            </w:pPr>
            <w:r>
              <w:rPr>
                <w:sz w:val="18"/>
                <w:szCs w:val="18"/>
              </w:rPr>
              <w:t xml:space="preserve">Application indisponible</w:t>
            </w:r>
          </w:p>
        </w:tc>
        <w:tc>
          <w:tcPr>
            <w:tcW w:w="3480" w:type="dxa"/>
            <w:shd w:val="clear" w:color="auto" w:fill="F4F7FC"/>
          </w:tcPr>
          <w:p>
            <w:pPr>
              <w:pStyle w:val="TableText"/>
            </w:pPr>
            <w:r>
              <w:rPr>
                <w:sz w:val="18"/>
                <w:szCs w:val="18"/>
              </w:rPr>
              <w:t xml:space="preserve">Nouveau serveur, § 5.2 à 5.6 avec la configuration sauvegardée ; base intacte</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Indisponibilité de SQL Server</w:t>
            </w:r>
          </w:p>
        </w:tc>
        <w:tc>
          <w:tcPr>
            <w:tcW w:w="2275" w:type="dxa"/>
          </w:tcPr>
          <w:p>
            <w:pPr>
              <w:pStyle w:val="TableText"/>
            </w:pPr>
            <w:r>
              <w:rPr>
                <w:sz w:val="18"/>
                <w:szCs w:val="18"/>
              </w:rPr>
              <w:t xml:space="preserve">Collectes en échec, interface en erreur</w:t>
            </w:r>
          </w:p>
        </w:tc>
        <w:tc>
          <w:tcPr>
            <w:tcW w:w="3480" w:type="dxa"/>
          </w:tcPr>
          <w:p>
            <w:pPr>
              <w:pStyle w:val="TableText"/>
            </w:pPr>
            <w:r>
              <w:rPr>
                <w:sz w:val="18"/>
                <w:szCs w:val="18"/>
              </w:rPr>
              <w:t xml:space="preserve">Rétablissement de l'instance ; aucune action FreeLM</w:t>
            </w:r>
          </w:p>
        </w:tc>
        <w:tc>
          <w:tcPr>
            <w:tcW w:w="1204" w:type="dxa"/>
          </w:tcPr>
          <w:p>
            <w:pPr>
              <w:pStyle w:val="TableText"/>
            </w:pPr>
            <w:r>
              <w:rPr>
                <w:sz w:val="18"/>
                <w:szCs w:val="18"/>
              </w:rPr>
              <w:t xml:space="preserve">Selon SQL</w:t>
            </w:r>
          </w:p>
        </w:tc>
      </w:tr>
      <w:tr>
        <w:trPr>
          <w:cantSplit/>
        </w:trPr>
        <w:tc>
          <w:tcPr>
            <w:tcW w:w="2677" w:type="dxa"/>
            <w:shd w:val="clear" w:color="auto" w:fill="F4F7FC"/>
          </w:tcPr>
          <w:p>
            <w:pPr>
              <w:pStyle w:val="TableText"/>
            </w:pPr>
            <w:r>
              <w:rPr>
                <w:sz w:val="18"/>
                <w:szCs w:val="18"/>
              </w:rPr>
              <w:t xml:space="preserve">Corruption / perte de la base</w:t>
            </w:r>
          </w:p>
        </w:tc>
        <w:tc>
          <w:tcPr>
            <w:tcW w:w="2275" w:type="dxa"/>
            <w:shd w:val="clear" w:color="auto" w:fill="F4F7FC"/>
          </w:tcPr>
          <w:p>
            <w:pPr>
              <w:pStyle w:val="TableText"/>
            </w:pPr>
            <w:r>
              <w:rPr>
                <w:sz w:val="18"/>
                <w:szCs w:val="18"/>
              </w:rPr>
              <w:t xml:space="preserve">Historique perdu depuis la sauvegarde</w:t>
            </w:r>
          </w:p>
        </w:tc>
        <w:tc>
          <w:tcPr>
            <w:tcW w:w="3480" w:type="dxa"/>
            <w:shd w:val="clear" w:color="auto" w:fill="F4F7FC"/>
          </w:tcPr>
          <w:p>
            <w:pPr>
              <w:pStyle w:val="TableText"/>
            </w:pPr>
            <w:r>
              <w:rPr>
                <w:sz w:val="18"/>
                <w:szCs w:val="18"/>
              </w:rPr>
              <w:t xml:space="preserve">Restauration (§ 9.4)</w:t>
            </w:r>
          </w:p>
        </w:tc>
        <w:tc>
          <w:tcPr>
            <w:tcW w:w="1204" w:type="dxa"/>
            <w:shd w:val="clear" w:color="auto" w:fill="F4F7FC"/>
          </w:tcPr>
          <w:p>
            <w:pPr>
              <w:pStyle w:val="TableText"/>
            </w:pPr>
            <w:r>
              <w:rPr>
                <w:sz w:val="18"/>
                <w:szCs w:val="18"/>
              </w:rPr>
              <w:t xml:space="preserve">½ journée</w:t>
            </w:r>
          </w:p>
        </w:tc>
      </w:tr>
      <w:tr>
        <w:trPr>
          <w:cantSplit/>
        </w:trPr>
        <w:tc>
          <w:tcPr>
            <w:tcW w:w="2677" w:type="dxa"/>
          </w:tcPr>
          <w:p>
            <w:pPr>
              <w:pStyle w:val="TableText"/>
            </w:pPr>
            <w:r>
              <w:rPr>
                <w:sz w:val="18"/>
                <w:szCs w:val="18"/>
              </w:rPr>
              <w:t xml:space="preserve">Serveur de licences arrêté</w:t>
            </w:r>
          </w:p>
        </w:tc>
        <w:tc>
          <w:tcPr>
            <w:tcW w:w="2275" w:type="dxa"/>
          </w:tcPr>
          <w:p>
            <w:pPr>
              <w:pStyle w:val="TableText"/>
            </w:pPr>
            <w:r>
              <w:rPr>
                <w:sz w:val="18"/>
                <w:szCs w:val="18"/>
              </w:rPr>
              <w:t xml:space="preserve">Alerte « Collecte en échec »</w:t>
            </w:r>
          </w:p>
        </w:tc>
        <w:tc>
          <w:tcPr>
            <w:tcW w:w="3480" w:type="dxa"/>
          </w:tcPr>
          <w:p>
            <w:pPr>
              <w:pStyle w:val="TableText"/>
            </w:pPr>
            <w:r>
              <w:rPr>
                <w:sz w:val="18"/>
                <w:szCs w:val="18"/>
              </w:rPr>
              <w:t xml:space="preserve">Sans objet pour FreeLM ; reprise automatique au redémarrage</w:t>
            </w:r>
          </w:p>
        </w:tc>
        <w:tc>
          <w:tcPr>
            <w:tcW w:w="1204" w:type="dxa"/>
          </w:tcPr>
          <w:p>
            <w:pPr>
              <w:pStyle w:val="TableText"/>
            </w:pPr>
            <w:r>
              <w:rPr>
                <w:sz w:val="18"/>
                <w:szCs w:val="18"/>
              </w:rPr>
              <w:t xml:space="preserve">—</w:t>
            </w:r>
          </w:p>
        </w:tc>
      </w:tr>
      <w:tr>
        <w:trPr>
          <w:cantSplit/>
        </w:trPr>
        <w:tc>
          <w:tcPr>
            <w:tcW w:w="2677" w:type="dxa"/>
            <w:shd w:val="clear" w:color="auto" w:fill="F4F7FC"/>
          </w:tcPr>
          <w:p>
            <w:pPr>
              <w:pStyle w:val="TableText"/>
            </w:pPr>
            <w:r>
              <w:rPr>
                <w:sz w:val="18"/>
                <w:szCs w:val="18"/>
              </w:rPr>
              <w:t xml:space="preserve">Rotation / perte du log debug</w:t>
            </w:r>
          </w:p>
        </w:tc>
        <w:tc>
          <w:tcPr>
            <w:tcW w:w="2275" w:type="dxa"/>
            <w:shd w:val="clear" w:color="auto" w:fill="F4F7FC"/>
          </w:tcPr>
          <w:p>
            <w:pPr>
              <w:pStyle w:val="TableText"/>
            </w:pPr>
            <w:r>
              <w:rPr>
                <w:sz w:val="18"/>
                <w:szCs w:val="18"/>
              </w:rPr>
              <w:t xml:space="preserve">Évènements non lus perdus</w:t>
            </w:r>
          </w:p>
        </w:tc>
        <w:tc>
          <w:tcPr>
            <w:tcW w:w="3480" w:type="dxa"/>
            <w:shd w:val="clear" w:color="auto" w:fill="F4F7FC"/>
          </w:tcPr>
          <w:p>
            <w:pPr>
              <w:pStyle w:val="TableText"/>
            </w:pPr>
            <w:r>
              <w:rPr>
                <w:sz w:val="18"/>
                <w:szCs w:val="18"/>
              </w:rPr>
              <w:t xml:space="preserve">Détection automatique de rotation ; lecture du nouveau fichier</w:t>
            </w:r>
          </w:p>
        </w:tc>
        <w:tc>
          <w:tcPr>
            <w:tcW w:w="1204" w:type="dxa"/>
            <w:shd w:val="clear" w:color="auto" w:fill="F4F7FC"/>
          </w:tcPr>
          <w:p>
            <w:pPr>
              <w:pStyle w:val="TableText"/>
            </w:pPr>
            <w:r>
              <w:rPr>
                <w:sz w:val="18"/>
                <w:szCs w:val="18"/>
              </w:rPr>
              <w:t xml:space="preserve">Automatique</w:t>
            </w:r>
          </w:p>
        </w:tc>
      </w:tr>
    </w:tbl>
    <w:p>
      <w:pPr>
        <w:spacing w:after="80"/>
      </w:pPr>
    </w:p>
    <w:p>
      <w:pPr>
        <w:pStyle w:val="Heading2"/>
      </w:pPr>
      <w:bookmarkStart w:id="128" w:name="_Toc00128"/>
      <w:r>
        <w:rPr/>
        <w:t xml:space="preserve">13.3 Reconstruction complète</w:t>
      </w:r>
      <w:bookmarkEnd w:id="128"/>
    </w:p>
    <w:p>
      <w:pPr>
        <w:pStyle w:val="ListParagraph"/>
        <w:numPr>
          <w:ilvl w:val="0"/>
          <w:numId w:val="14"/>
        </w:numPr>
      </w:pPr>
      <w:r>
        <w:rPr/>
        <w:t xml:space="preserve">Préparer un serveur Windows conforme au § 4.1, joint au domaine.</w:t>
      </w:r>
    </w:p>
    <w:p>
      <w:pPr>
        <w:pStyle w:val="ListParagraph"/>
        <w:numPr>
          <w:ilvl w:val="0"/>
          <w:numId w:val="14"/>
        </w:numPr>
      </w:pPr>
      <w:r>
        <w:rPr/>
        <w:t xml:space="preserve">Restaurer la base (§ 9.4) si l'instance SQL est aussi perdue.</w:t>
      </w:r>
    </w:p>
    <w:p>
      <w:pPr>
        <w:pStyle w:val="ListParagraph"/>
        <w:numPr>
          <w:ilvl w:val="0"/>
          <w:numId w:val="14"/>
        </w:numPr>
      </w:pPr>
      <w:r>
        <w:rPr/>
        <w:t xml:space="preserve">Déployer FreeLM.exe, lmutil.exe, </w:t>
      </w:r>
      <w:r>
        <w:rPr>
          <w:rFonts w:ascii="Consolas" w:hAnsi="Consolas" w:cs="Consolas"/>
          <w:color w:val="1C5CAB"/>
          <w:sz w:val="18"/>
          <w:szCs w:val="18"/>
          <w:shd w:val="clear" w:color="auto" w:fill="EEF3FA"/>
        </w:rPr>
        <w:t xml:space="preserve">freelm.yaml</w:t>
      </w:r>
      <w:r>
        <w:rPr/>
        <w:t xml:space="preserve"> et les certificats depuis les sauvegardes.</w:t>
      </w:r>
    </w:p>
    <w:p>
      <w:pPr>
        <w:pStyle w:val="ListParagraph"/>
        <w:numPr>
          <w:ilvl w:val="0"/>
          <w:numId w:val="14"/>
        </w:numPr>
      </w:pPr>
      <w:r>
        <w:rPr/>
        <w:t xml:space="preserve">Exécuter </w:t>
      </w:r>
      <w:r>
        <w:rPr>
          <w:rFonts w:ascii="Consolas" w:hAnsi="Consolas" w:cs="Consolas"/>
          <w:color w:val="1C5CAB"/>
          <w:sz w:val="18"/>
          <w:szCs w:val="18"/>
          <w:shd w:val="clear" w:color="auto" w:fill="EEF3FA"/>
        </w:rPr>
        <w:t xml:space="preserve">init-db</w:t>
      </w:r>
      <w:r>
        <w:rPr/>
        <w:t xml:space="preserve">, enregistrer les tâches, recréer la règle de pare-feu et l'enregistrement DNS.</w:t>
      </w:r>
    </w:p>
    <w:p>
      <w:pPr>
        <w:pStyle w:val="ListParagraph"/>
        <w:numPr>
          <w:ilvl w:val="0"/>
          <w:numId w:val="14"/>
        </w:numPr>
      </w:pPr>
      <w:r>
        <w:rPr/>
        <w:t xml:space="preserve">Dérouler la recette de mise en service (§ 5.10).</w:t>
      </w:r>
    </w:p>
    <w:p>
      <w:pPr>
        <w:pStyle w:val="Heading1"/>
      </w:pPr>
      <w:bookmarkStart w:id="129" w:name="_Toc00129"/>
      <w:r>
        <w:rPr/>
        <w:t xml:space="preserve">14. Contacts et responsabilités</w:t>
      </w:r>
      <w:bookmarkEnd w:id="129"/>
    </w:p>
    <w:p>
      <w:pPr>
        <w:pStyle w:val="Heading2"/>
      </w:pPr>
      <w:bookmarkStart w:id="130" w:name="_Toc00130"/>
      <w:r>
        <w:rPr/>
        <w:t xml:space="preserve">14.1 Contacts</w:t>
      </w:r>
      <w:bookmarkEnd w:id="130"/>
    </w:p>
    <w:p>
      <w:pPr>
        <w:pStyle w:val="Caption"/>
        <w:keepNext/>
      </w:pPr>
      <w:r>
        <w:rPr/>
        <w:t xml:space="preserve">Tableau 34 – Contacts (à compléter)</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212"/>
        <w:gridCol w:w="2141"/>
        <w:gridCol w:w="1874"/>
        <w:gridCol w:w="2409"/>
      </w:tblGrid>
      <w:tr>
        <w:trPr>
          <w:tblHeader/>
          <w:cantSplit/>
        </w:trPr>
        <w:tc>
          <w:tcPr>
            <w:tcW w:w="3212" w:type="dxa"/>
            <w:shd w:val="clear" w:color="auto" w:fill="2A78D6"/>
          </w:tcPr>
          <w:p>
            <w:pPr>
              <w:pStyle w:val="TableText"/>
            </w:pPr>
            <w:r>
              <w:rPr>
                <w:b/>
                <w:color w:val="FFFFFF"/>
                <w:sz w:val="18"/>
                <w:szCs w:val="18"/>
              </w:rPr>
              <w:t xml:space="preserve">Rôle</w:t>
            </w:r>
          </w:p>
        </w:tc>
        <w:tc>
          <w:tcPr>
            <w:tcW w:w="2141" w:type="dxa"/>
            <w:shd w:val="clear" w:color="auto" w:fill="2A78D6"/>
          </w:tcPr>
          <w:p>
            <w:pPr>
              <w:pStyle w:val="TableText"/>
            </w:pPr>
            <w:r>
              <w:rPr>
                <w:b/>
                <w:color w:val="FFFFFF"/>
                <w:sz w:val="18"/>
                <w:szCs w:val="18"/>
              </w:rPr>
              <w:t xml:space="preserve">Nom</w:t>
            </w:r>
          </w:p>
        </w:tc>
        <w:tc>
          <w:tcPr>
            <w:tcW w:w="1874" w:type="dxa"/>
            <w:shd w:val="clear" w:color="auto" w:fill="2A78D6"/>
          </w:tcPr>
          <w:p>
            <w:pPr>
              <w:pStyle w:val="TableText"/>
            </w:pPr>
            <w:r>
              <w:rPr>
                <w:b/>
                <w:color w:val="FFFFFF"/>
                <w:sz w:val="18"/>
                <w:szCs w:val="18"/>
              </w:rPr>
              <w:t xml:space="preserve">Équipe</w:t>
            </w:r>
          </w:p>
        </w:tc>
        <w:tc>
          <w:tcPr>
            <w:tcW w:w="2409" w:type="dxa"/>
            <w:shd w:val="clear" w:color="auto" w:fill="2A78D6"/>
          </w:tcPr>
          <w:p>
            <w:pPr>
              <w:pStyle w:val="TableText"/>
            </w:pPr>
            <w:r>
              <w:rPr>
                <w:b/>
                <w:color w:val="FFFFFF"/>
                <w:sz w:val="18"/>
                <w:szCs w:val="18"/>
              </w:rPr>
              <w:t xml:space="preserve">Téléphone / e-mail</w:t>
            </w:r>
          </w:p>
        </w:tc>
      </w:tr>
      <w:tr>
        <w:trPr>
          <w:cantSplit/>
        </w:trPr>
        <w:tc>
          <w:tcPr>
            <w:tcW w:w="3212" w:type="dxa"/>
          </w:tcPr>
          <w:p>
            <w:pPr>
              <w:pStyle w:val="TableText"/>
            </w:pPr>
            <w:r>
              <w:rPr>
                <w:sz w:val="18"/>
                <w:szCs w:val="18"/>
              </w:rPr>
              <w:t xml:space="preserve">Responsable applicatif (métier)</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Chef de projet FreeLM</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Exploitation Windows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DBA SQL Server</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Administrateur des serveurs de licences</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Administrateur AD / PKI</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r>
        <w:trPr>
          <w:cantSplit/>
        </w:trPr>
        <w:tc>
          <w:tcPr>
            <w:tcW w:w="3212" w:type="dxa"/>
          </w:tcPr>
          <w:p>
            <w:pPr>
              <w:pStyle w:val="TableText"/>
            </w:pPr>
            <w:r>
              <w:rPr>
                <w:sz w:val="18"/>
                <w:szCs w:val="18"/>
              </w:rPr>
              <w:t xml:space="preserve">RSSI</w:t>
            </w:r>
          </w:p>
        </w:tc>
        <w:tc>
          <w:tcPr>
            <w:tcW w:w="2141" w:type="dxa"/>
          </w:tcPr>
          <w:p>
            <w:pPr>
              <w:pStyle w:val="TableText"/>
            </w:pPr>
          </w:p>
        </w:tc>
        <w:tc>
          <w:tcPr>
            <w:tcW w:w="1874" w:type="dxa"/>
          </w:tcPr>
          <w:p>
            <w:pPr>
              <w:pStyle w:val="TableText"/>
            </w:pPr>
          </w:p>
        </w:tc>
        <w:tc>
          <w:tcPr>
            <w:tcW w:w="2409" w:type="dxa"/>
          </w:tcPr>
          <w:p>
            <w:pPr>
              <w:pStyle w:val="TableText"/>
            </w:pPr>
          </w:p>
        </w:tc>
      </w:tr>
      <w:tr>
        <w:trPr>
          <w:cantSplit/>
        </w:trPr>
        <w:tc>
          <w:tcPr>
            <w:tcW w:w="3212" w:type="dxa"/>
            <w:shd w:val="clear" w:color="auto" w:fill="F4F7FC"/>
          </w:tcPr>
          <w:p>
            <w:pPr>
              <w:pStyle w:val="TableText"/>
            </w:pPr>
            <w:r>
              <w:rPr>
                <w:sz w:val="18"/>
                <w:szCs w:val="18"/>
              </w:rPr>
              <w:t xml:space="preserve">DPO</w:t>
            </w:r>
          </w:p>
        </w:tc>
        <w:tc>
          <w:tcPr>
            <w:tcW w:w="2141" w:type="dxa"/>
            <w:shd w:val="clear" w:color="auto" w:fill="F4F7FC"/>
          </w:tcPr>
          <w:p>
            <w:pPr>
              <w:pStyle w:val="TableText"/>
            </w:pPr>
          </w:p>
        </w:tc>
        <w:tc>
          <w:tcPr>
            <w:tcW w:w="1874" w:type="dxa"/>
            <w:shd w:val="clear" w:color="auto" w:fill="F4F7FC"/>
          </w:tcPr>
          <w:p>
            <w:pPr>
              <w:pStyle w:val="TableText"/>
            </w:pPr>
          </w:p>
        </w:tc>
        <w:tc>
          <w:tcPr>
            <w:tcW w:w="2409" w:type="dxa"/>
            <w:shd w:val="clear" w:color="auto" w:fill="F4F7FC"/>
          </w:tcPr>
          <w:p>
            <w:pPr>
              <w:pStyle w:val="TableText"/>
            </w:pPr>
          </w:p>
        </w:tc>
      </w:tr>
    </w:tbl>
    <w:p>
      <w:pPr>
        <w:spacing w:after="80"/>
      </w:pPr>
    </w:p>
    <w:p>
      <w:pPr>
        <w:pStyle w:val="Heading2"/>
      </w:pPr>
      <w:bookmarkStart w:id="131" w:name="_Toc00131"/>
      <w:r>
        <w:rPr/>
        <w:t xml:space="preserve">14.2 Matrice des responsabilités (RACI)</w:t>
      </w:r>
      <w:bookmarkEnd w:id="131"/>
    </w:p>
    <w:p>
      <w:pPr/>
      <w:r>
        <w:rPr/>
        <w:t xml:space="preserve">R = réalise, A = approuve, C = consulté, I = informé.</w:t>
      </w:r>
    </w:p>
    <w:p>
      <w:pPr>
        <w:pStyle w:val="Caption"/>
        <w:keepNext/>
      </w:pPr>
      <w:r>
        <w:rPr/>
        <w:t xml:space="preserve">Tableau 35 – Matrice RACI (proposition)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3341"/>
        <w:gridCol w:w="1413"/>
        <w:gridCol w:w="1413"/>
        <w:gridCol w:w="1028"/>
        <w:gridCol w:w="1413"/>
        <w:gridCol w:w="1028"/>
      </w:tblGrid>
      <w:tr>
        <w:trPr>
          <w:tblHeader/>
          <w:cantSplit/>
        </w:trPr>
        <w:tc>
          <w:tcPr>
            <w:tcW w:w="3341" w:type="dxa"/>
            <w:shd w:val="clear" w:color="auto" w:fill="2A78D6"/>
          </w:tcPr>
          <w:p>
            <w:pPr>
              <w:pStyle w:val="TableText"/>
            </w:pPr>
            <w:r>
              <w:rPr>
                <w:b/>
                <w:color w:val="FFFFFF"/>
                <w:sz w:val="18"/>
                <w:szCs w:val="18"/>
              </w:rPr>
              <w:t xml:space="preserve">Activité</w:t>
            </w:r>
          </w:p>
        </w:tc>
        <w:tc>
          <w:tcPr>
            <w:tcW w:w="1413" w:type="dxa"/>
            <w:shd w:val="clear" w:color="auto" w:fill="2A78D6"/>
          </w:tcPr>
          <w:p>
            <w:pPr>
              <w:pStyle w:val="TableText"/>
            </w:pPr>
            <w:r>
              <w:rPr>
                <w:b/>
                <w:color w:val="FFFFFF"/>
                <w:sz w:val="18"/>
                <w:szCs w:val="18"/>
              </w:rPr>
              <w:t xml:space="preserve">Resp. applicatif</w:t>
            </w:r>
          </w:p>
        </w:tc>
        <w:tc>
          <w:tcPr>
            <w:tcW w:w="1413" w:type="dxa"/>
            <w:shd w:val="clear" w:color="auto" w:fill="2A78D6"/>
          </w:tcPr>
          <w:p>
            <w:pPr>
              <w:pStyle w:val="TableText"/>
            </w:pPr>
            <w:r>
              <w:rPr>
                <w:b/>
                <w:color w:val="FFFFFF"/>
                <w:sz w:val="18"/>
                <w:szCs w:val="18"/>
              </w:rPr>
              <w:t xml:space="preserve">Exploitation</w:t>
            </w:r>
          </w:p>
        </w:tc>
        <w:tc>
          <w:tcPr>
            <w:tcW w:w="1028" w:type="dxa"/>
            <w:shd w:val="clear" w:color="auto" w:fill="2A78D6"/>
          </w:tcPr>
          <w:p>
            <w:pPr>
              <w:pStyle w:val="TableText"/>
            </w:pPr>
            <w:r>
              <w:rPr>
                <w:b/>
                <w:color w:val="FFFFFF"/>
                <w:sz w:val="18"/>
                <w:szCs w:val="18"/>
              </w:rPr>
              <w:t xml:space="preserve">DBA</w:t>
            </w:r>
          </w:p>
        </w:tc>
        <w:tc>
          <w:tcPr>
            <w:tcW w:w="1413" w:type="dxa"/>
            <w:shd w:val="clear" w:color="auto" w:fill="2A78D6"/>
          </w:tcPr>
          <w:p>
            <w:pPr>
              <w:pStyle w:val="TableText"/>
            </w:pPr>
            <w:r>
              <w:rPr>
                <w:b/>
                <w:color w:val="FFFFFF"/>
                <w:sz w:val="18"/>
                <w:szCs w:val="18"/>
              </w:rPr>
              <w:t xml:space="preserve">Admin licences</w:t>
            </w:r>
          </w:p>
        </w:tc>
        <w:tc>
          <w:tcPr>
            <w:tcW w:w="1028" w:type="dxa"/>
            <w:shd w:val="clear" w:color="auto" w:fill="2A78D6"/>
          </w:tcPr>
          <w:p>
            <w:pPr>
              <w:pStyle w:val="TableText"/>
            </w:pPr>
            <w:r>
              <w:rPr>
                <w:b/>
                <w:color w:val="FFFFFF"/>
                <w:sz w:val="18"/>
                <w:szCs w:val="18"/>
              </w:rPr>
              <w:t xml:space="preserve">RSSI</w:t>
            </w:r>
          </w:p>
        </w:tc>
      </w:tr>
      <w:tr>
        <w:trPr>
          <w:cantSplit/>
        </w:trPr>
        <w:tc>
          <w:tcPr>
            <w:tcW w:w="3341" w:type="dxa"/>
          </w:tcPr>
          <w:p>
            <w:pPr>
              <w:pStyle w:val="TableText"/>
            </w:pPr>
            <w:r>
              <w:rPr>
                <w:sz w:val="18"/>
                <w:szCs w:val="18"/>
              </w:rPr>
              <w:t xml:space="preserve">Contrôles quotidiens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Modification de configuration</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Ajout d'un serveur de licences</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p>
        </w:tc>
        <w:tc>
          <w:tcPr>
            <w:tcW w:w="1413" w:type="dxa"/>
          </w:tcPr>
          <w:p>
            <w:pPr>
              <w:pStyle w:val="TableText"/>
            </w:pPr>
            <w:r>
              <w:rPr>
                <w:sz w:val="18"/>
                <w:szCs w:val="18"/>
              </w:rPr>
              <w:t xml:space="preserve">R</w:t>
            </w:r>
          </w:p>
        </w:tc>
        <w:tc>
          <w:tcPr>
            <w:tcW w:w="1028" w:type="dxa"/>
          </w:tcPr>
          <w:p>
            <w:pPr>
              <w:pStyle w:val="TableText"/>
            </w:pPr>
          </w:p>
        </w:tc>
      </w:tr>
      <w:tr>
        <w:trPr>
          <w:cantSplit/>
        </w:trPr>
        <w:tc>
          <w:tcPr>
            <w:tcW w:w="3341" w:type="dxa"/>
            <w:shd w:val="clear" w:color="auto" w:fill="F4F7FC"/>
          </w:tcPr>
          <w:p>
            <w:pPr>
              <w:pStyle w:val="TableText"/>
            </w:pPr>
            <w:r>
              <w:rPr>
                <w:sz w:val="18"/>
                <w:szCs w:val="18"/>
              </w:rPr>
              <w:t xml:space="preserve">Sauvegarde / restauration de la base</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C</w:t>
            </w:r>
          </w:p>
        </w:tc>
        <w:tc>
          <w:tcPr>
            <w:tcW w:w="1028" w:type="dxa"/>
            <w:shd w:val="clear" w:color="auto" w:fill="F4F7FC"/>
          </w:tcPr>
          <w:p>
            <w:pPr>
              <w:pStyle w:val="TableText"/>
            </w:pPr>
            <w:r>
              <w:rPr>
                <w:sz w:val="18"/>
                <w:szCs w:val="18"/>
              </w:rPr>
              <w:t xml:space="preserve">R/A</w:t>
            </w:r>
          </w:p>
        </w:tc>
        <w:tc>
          <w:tcPr>
            <w:tcW w:w="1413" w:type="dxa"/>
            <w:shd w:val="clear" w:color="auto" w:fill="F4F7FC"/>
          </w:tcPr>
          <w:p>
            <w:pPr>
              <w:pStyle w:val="TableText"/>
            </w:pPr>
          </w:p>
        </w:tc>
        <w:tc>
          <w:tcPr>
            <w:tcW w:w="1028" w:type="dxa"/>
            <w:shd w:val="clear" w:color="auto" w:fill="F4F7FC"/>
          </w:tcPr>
          <w:p>
            <w:pPr>
              <w:pStyle w:val="TableText"/>
            </w:pPr>
          </w:p>
        </w:tc>
      </w:tr>
      <w:tr>
        <w:trPr>
          <w:cantSplit/>
        </w:trPr>
        <w:tc>
          <w:tcPr>
            <w:tcW w:w="3341" w:type="dxa"/>
          </w:tcPr>
          <w:p>
            <w:pPr>
              <w:pStyle w:val="TableText"/>
            </w:pPr>
            <w:r>
              <w:rPr>
                <w:sz w:val="18"/>
                <w:szCs w:val="18"/>
              </w:rPr>
              <w:t xml:space="preserve">Mise à jour de version</w:t>
            </w:r>
          </w:p>
        </w:tc>
        <w:tc>
          <w:tcPr>
            <w:tcW w:w="1413" w:type="dxa"/>
          </w:tcPr>
          <w:p>
            <w:pPr>
              <w:pStyle w:val="TableText"/>
            </w:pPr>
            <w:r>
              <w:rPr>
                <w:sz w:val="18"/>
                <w:szCs w:val="18"/>
              </w:rPr>
              <w:t xml:space="preserve">A</w:t>
            </w:r>
          </w:p>
        </w:tc>
        <w:tc>
          <w:tcPr>
            <w:tcW w:w="1413" w:type="dxa"/>
          </w:tcPr>
          <w:p>
            <w:pPr>
              <w:pStyle w:val="TableText"/>
            </w:pPr>
            <w:r>
              <w:rPr>
                <w:sz w:val="18"/>
                <w:szCs w:val="18"/>
              </w:rPr>
              <w:t xml:space="preserve">R</w:t>
            </w:r>
          </w:p>
        </w:tc>
        <w:tc>
          <w:tcPr>
            <w:tcW w:w="1028" w:type="dxa"/>
          </w:tcPr>
          <w:p>
            <w:pPr>
              <w:pStyle w:val="TableText"/>
            </w:pPr>
            <w:r>
              <w:rPr>
                <w:sz w:val="18"/>
                <w:szCs w:val="18"/>
              </w:rPr>
              <w:t xml:space="preserve">R</w:t>
            </w: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Gestion des accès (groupe AD)</w:t>
            </w:r>
          </w:p>
        </w:tc>
        <w:tc>
          <w:tcPr>
            <w:tcW w:w="1413" w:type="dxa"/>
            <w:shd w:val="clear" w:color="auto" w:fill="F4F7FC"/>
          </w:tcPr>
          <w:p>
            <w:pPr>
              <w:pStyle w:val="TableText"/>
            </w:pPr>
            <w:r>
              <w:rPr>
                <w:sz w:val="18"/>
                <w:szCs w:val="18"/>
              </w:rPr>
              <w:t xml:space="preserve">A</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C</w:t>
            </w:r>
          </w:p>
        </w:tc>
      </w:tr>
      <w:tr>
        <w:trPr>
          <w:cantSplit/>
        </w:trPr>
        <w:tc>
          <w:tcPr>
            <w:tcW w:w="3341" w:type="dxa"/>
          </w:tcPr>
          <w:p>
            <w:pPr>
              <w:pStyle w:val="TableText"/>
            </w:pPr>
            <w:r>
              <w:rPr>
                <w:sz w:val="18"/>
                <w:szCs w:val="18"/>
              </w:rPr>
              <w:t xml:space="preserve">Renouvellement des certificats</w:t>
            </w:r>
          </w:p>
        </w:tc>
        <w:tc>
          <w:tcPr>
            <w:tcW w:w="1413" w:type="dxa"/>
          </w:tcPr>
          <w:p>
            <w:pPr>
              <w:pStyle w:val="TableText"/>
            </w:pPr>
            <w:r>
              <w:rPr>
                <w:sz w:val="18"/>
                <w:szCs w:val="18"/>
              </w:rPr>
              <w:t xml:space="preserve">I</w:t>
            </w:r>
          </w:p>
        </w:tc>
        <w:tc>
          <w:tcPr>
            <w:tcW w:w="1413" w:type="dxa"/>
          </w:tcPr>
          <w:p>
            <w:pPr>
              <w:pStyle w:val="TableText"/>
            </w:pPr>
            <w:r>
              <w:rPr>
                <w:sz w:val="18"/>
                <w:szCs w:val="18"/>
              </w:rPr>
              <w:t xml:space="preserve">R/A</w:t>
            </w:r>
          </w:p>
        </w:tc>
        <w:tc>
          <w:tcPr>
            <w:tcW w:w="1028" w:type="dxa"/>
          </w:tcPr>
          <w:p>
            <w:pPr>
              <w:pStyle w:val="TableText"/>
            </w:pPr>
          </w:p>
        </w:tc>
        <w:tc>
          <w:tcPr>
            <w:tcW w:w="1413" w:type="dxa"/>
          </w:tcPr>
          <w:p>
            <w:pPr>
              <w:pStyle w:val="TableText"/>
            </w:pPr>
          </w:p>
        </w:tc>
        <w:tc>
          <w:tcPr>
            <w:tcW w:w="1028" w:type="dxa"/>
          </w:tcPr>
          <w:p>
            <w:pPr>
              <w:pStyle w:val="TableText"/>
            </w:pPr>
            <w:r>
              <w:rPr>
                <w:sz w:val="18"/>
                <w:szCs w:val="18"/>
              </w:rPr>
              <w:t xml:space="preserve">C</w:t>
            </w:r>
          </w:p>
        </w:tc>
      </w:tr>
      <w:tr>
        <w:trPr>
          <w:cantSplit/>
        </w:trPr>
        <w:tc>
          <w:tcPr>
            <w:tcW w:w="3341" w:type="dxa"/>
            <w:shd w:val="clear" w:color="auto" w:fill="F4F7FC"/>
          </w:tcPr>
          <w:p>
            <w:pPr>
              <w:pStyle w:val="TableText"/>
            </w:pPr>
            <w:r>
              <w:rPr>
                <w:sz w:val="18"/>
                <w:szCs w:val="18"/>
              </w:rPr>
              <w:t xml:space="preserve">Analyse des incidents de sécurité</w:t>
            </w:r>
          </w:p>
        </w:tc>
        <w:tc>
          <w:tcPr>
            <w:tcW w:w="1413" w:type="dxa"/>
            <w:shd w:val="clear" w:color="auto" w:fill="F4F7FC"/>
          </w:tcPr>
          <w:p>
            <w:pPr>
              <w:pStyle w:val="TableText"/>
            </w:pPr>
            <w:r>
              <w:rPr>
                <w:sz w:val="18"/>
                <w:szCs w:val="18"/>
              </w:rPr>
              <w:t xml:space="preserve">I</w:t>
            </w:r>
          </w:p>
        </w:tc>
        <w:tc>
          <w:tcPr>
            <w:tcW w:w="1413" w:type="dxa"/>
            <w:shd w:val="clear" w:color="auto" w:fill="F4F7FC"/>
          </w:tcPr>
          <w:p>
            <w:pPr>
              <w:pStyle w:val="TableText"/>
            </w:pPr>
            <w:r>
              <w:rPr>
                <w:sz w:val="18"/>
                <w:szCs w:val="18"/>
              </w:rPr>
              <w:t xml:space="preserve">R</w:t>
            </w:r>
          </w:p>
        </w:tc>
        <w:tc>
          <w:tcPr>
            <w:tcW w:w="1028" w:type="dxa"/>
            <w:shd w:val="clear" w:color="auto" w:fill="F4F7FC"/>
          </w:tcPr>
          <w:p>
            <w:pPr>
              <w:pStyle w:val="TableText"/>
            </w:pPr>
          </w:p>
        </w:tc>
        <w:tc>
          <w:tcPr>
            <w:tcW w:w="1413" w:type="dxa"/>
            <w:shd w:val="clear" w:color="auto" w:fill="F4F7FC"/>
          </w:tcPr>
          <w:p>
            <w:pPr>
              <w:pStyle w:val="TableText"/>
            </w:pPr>
          </w:p>
        </w:tc>
        <w:tc>
          <w:tcPr>
            <w:tcW w:w="1028" w:type="dxa"/>
            <w:shd w:val="clear" w:color="auto" w:fill="F4F7FC"/>
          </w:tcPr>
          <w:p>
            <w:pPr>
              <w:pStyle w:val="TableText"/>
            </w:pPr>
            <w:r>
              <w:rPr>
                <w:sz w:val="18"/>
                <w:szCs w:val="18"/>
              </w:rPr>
              <w:t xml:space="preserve">A</w:t>
            </w:r>
          </w:p>
        </w:tc>
      </w:tr>
      <w:tr>
        <w:trPr>
          <w:cantSplit/>
        </w:trPr>
        <w:tc>
          <w:tcPr>
            <w:tcW w:w="3341" w:type="dxa"/>
          </w:tcPr>
          <w:p>
            <w:pPr>
              <w:pStyle w:val="TableText"/>
            </w:pPr>
            <w:r>
              <w:rPr>
                <w:sz w:val="18"/>
                <w:szCs w:val="18"/>
              </w:rPr>
              <w:t xml:space="preserve">Exploitation des rapports</w:t>
            </w:r>
          </w:p>
        </w:tc>
        <w:tc>
          <w:tcPr>
            <w:tcW w:w="1413" w:type="dxa"/>
          </w:tcPr>
          <w:p>
            <w:pPr>
              <w:pStyle w:val="TableText"/>
            </w:pPr>
            <w:r>
              <w:rPr>
                <w:sz w:val="18"/>
                <w:szCs w:val="18"/>
              </w:rPr>
              <w:t xml:space="preserve">R/A</w:t>
            </w:r>
          </w:p>
        </w:tc>
        <w:tc>
          <w:tcPr>
            <w:tcW w:w="1413" w:type="dxa"/>
          </w:tcPr>
          <w:p>
            <w:pPr>
              <w:pStyle w:val="TableText"/>
            </w:pPr>
          </w:p>
        </w:tc>
        <w:tc>
          <w:tcPr>
            <w:tcW w:w="1028" w:type="dxa"/>
          </w:tcPr>
          <w:p>
            <w:pPr>
              <w:pStyle w:val="TableText"/>
            </w:pPr>
          </w:p>
        </w:tc>
        <w:tc>
          <w:tcPr>
            <w:tcW w:w="1413" w:type="dxa"/>
          </w:tcPr>
          <w:p>
            <w:pPr>
              <w:pStyle w:val="TableText"/>
            </w:pPr>
          </w:p>
        </w:tc>
        <w:tc>
          <w:tcPr>
            <w:tcW w:w="1028" w:type="dxa"/>
          </w:tcPr>
          <w:p>
            <w:pPr>
              <w:pStyle w:val="TableText"/>
            </w:pPr>
          </w:p>
        </w:tc>
      </w:tr>
    </w:tbl>
    <w:p>
      <w:pPr>
        <w:spacing w:after="80"/>
      </w:pPr>
    </w:p>
    <w:p>
      <w:pPr>
        <w:pStyle w:val="Heading1"/>
      </w:pPr>
      <w:bookmarkStart w:id="132" w:name="_Toc00132"/>
      <w:r>
        <w:rPr/>
        <w:t xml:space="preserve">Annexe A. Référence des commandes</w:t>
      </w:r>
      <w:bookmarkEnd w:id="132"/>
    </w:p>
    <w:p>
      <w:pPr/>
      <w:r>
        <w:rPr/>
        <w:t xml:space="preserve">Syntaxe : </w:t>
      </w:r>
      <w:r>
        <w:rPr>
          <w:rFonts w:ascii="Consolas" w:hAnsi="Consolas" w:cs="Consolas"/>
          <w:color w:val="1C5CAB"/>
          <w:sz w:val="18"/>
          <w:szCs w:val="18"/>
          <w:shd w:val="clear" w:color="auto" w:fill="EEF3FA"/>
        </w:rPr>
        <w:t xml:space="preserve">FreeLM.exe [-c freelm.yaml] [-v] &lt;commande&gt; [options]</w:t>
      </w:r>
      <w:r>
        <w:rPr/>
        <w:t xml:space="preserve"> (identique avec </w:t>
      </w:r>
      <w:r>
        <w:rPr>
          <w:rFonts w:ascii="Consolas" w:hAnsi="Consolas" w:cs="Consolas"/>
          <w:color w:val="1C5CAB"/>
          <w:sz w:val="18"/>
          <w:szCs w:val="18"/>
          <w:shd w:val="clear" w:color="auto" w:fill="EEF3FA"/>
        </w:rPr>
        <w:t xml:space="preserve">freelm</w:t>
      </w:r>
      <w:r>
        <w:rPr/>
        <w:t xml:space="preserve"> en installation Python). Sans argument, </w:t>
      </w:r>
      <w:r>
        <w:rPr>
          <w:rFonts w:ascii="Consolas" w:hAnsi="Consolas" w:cs="Consolas"/>
          <w:color w:val="1C5CAB"/>
          <w:sz w:val="18"/>
          <w:szCs w:val="18"/>
          <w:shd w:val="clear" w:color="auto" w:fill="EEF3FA"/>
        </w:rPr>
        <w:t xml:space="preserve">FreeLM.exe</w:t>
      </w:r>
      <w:r>
        <w:rPr/>
        <w:t xml:space="preserve"> ouvre l'interface sur la configuration trouvée, ou sur des données de démonstration.</w:t>
      </w:r>
    </w:p>
    <w:p>
      <w:pPr>
        <w:pStyle w:val="Caption"/>
        <w:keepNext/>
      </w:pPr>
      <w:r>
        <w:rPr/>
        <w:t xml:space="preserve">Tableau 36 – Commandes</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927"/>
        <w:gridCol w:w="3855"/>
        <w:gridCol w:w="3855"/>
      </w:tblGrid>
      <w:tr>
        <w:trPr>
          <w:tblHeader/>
          <w:cantSplit/>
        </w:trPr>
        <w:tc>
          <w:tcPr>
            <w:tcW w:w="1927" w:type="dxa"/>
            <w:shd w:val="clear" w:color="auto" w:fill="2A78D6"/>
          </w:tcPr>
          <w:p>
            <w:pPr>
              <w:pStyle w:val="TableText"/>
            </w:pPr>
            <w:r>
              <w:rPr>
                <w:b/>
                <w:color w:val="FFFFFF"/>
                <w:sz w:val="18"/>
                <w:szCs w:val="18"/>
              </w:rPr>
              <w:t xml:space="preserve">Commande</w:t>
            </w:r>
          </w:p>
        </w:tc>
        <w:tc>
          <w:tcPr>
            <w:tcW w:w="3855" w:type="dxa"/>
            <w:shd w:val="clear" w:color="auto" w:fill="2A78D6"/>
          </w:tcPr>
          <w:p>
            <w:pPr>
              <w:pStyle w:val="TableText"/>
            </w:pPr>
            <w:r>
              <w:rPr>
                <w:b/>
                <w:color w:val="FFFFFF"/>
                <w:sz w:val="18"/>
                <w:szCs w:val="18"/>
              </w:rPr>
              <w:t xml:space="preserve">Options principales</w:t>
            </w:r>
          </w:p>
        </w:tc>
        <w:tc>
          <w:tcPr>
            <w:tcW w:w="3855" w:type="dxa"/>
            <w:shd w:val="clear" w:color="auto" w:fill="2A78D6"/>
          </w:tcPr>
          <w:p>
            <w:pPr>
              <w:pStyle w:val="TableText"/>
            </w:pPr>
            <w:r>
              <w:rPr>
                <w:b/>
                <w:color w:val="FFFFFF"/>
                <w:sz w:val="18"/>
                <w:szCs w:val="18"/>
              </w:rPr>
              <w:t xml:space="preserve">Rôle</w:t>
            </w:r>
          </w:p>
        </w:tc>
      </w:tr>
      <w:tr>
        <w:trPr>
          <w:cantSplit/>
        </w:trPr>
        <w:tc>
          <w:tcPr>
            <w:tcW w:w="1927" w:type="dxa"/>
          </w:tcPr>
          <w:p>
            <w:pPr>
              <w:pStyle w:val="TableText"/>
            </w:pPr>
            <w:r>
              <w:rPr>
                <w:sz w:val="18"/>
                <w:szCs w:val="18"/>
              </w:rPr>
              <w:t xml:space="preserve">init-db</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Crée ou met à jour le schéma, référence les serveurs</w:t>
            </w:r>
          </w:p>
        </w:tc>
      </w:tr>
      <w:tr>
        <w:trPr>
          <w:cantSplit/>
        </w:trPr>
        <w:tc>
          <w:tcPr>
            <w:tcW w:w="1927" w:type="dxa"/>
            <w:shd w:val="clear" w:color="auto" w:fill="F4F7FC"/>
          </w:tcPr>
          <w:p>
            <w:pPr>
              <w:pStyle w:val="TableText"/>
            </w:pPr>
            <w:r>
              <w:rPr>
                <w:sz w:val="18"/>
                <w:szCs w:val="18"/>
              </w:rPr>
              <w:t xml:space="preserve">collect</w:t>
            </w:r>
          </w:p>
        </w:tc>
        <w:tc>
          <w:tcPr>
            <w:tcW w:w="3855" w:type="dxa"/>
            <w:shd w:val="clear" w:color="auto" w:fill="F4F7FC"/>
          </w:tcPr>
          <w:p>
            <w:pPr>
              <w:pStyle w:val="TableText"/>
            </w:pPr>
            <w:r>
              <w:rPr>
                <w:sz w:val="18"/>
                <w:szCs w:val="18"/>
              </w:rPr>
              <w:t xml:space="preserve">--server X (répétable)</w:t>
            </w:r>
          </w:p>
        </w:tc>
        <w:tc>
          <w:tcPr>
            <w:tcW w:w="3855" w:type="dxa"/>
            <w:shd w:val="clear" w:color="auto" w:fill="F4F7FC"/>
          </w:tcPr>
          <w:p>
            <w:pPr>
              <w:pStyle w:val="TableText"/>
            </w:pPr>
            <w:r>
              <w:rPr>
                <w:sz w:val="18"/>
                <w:szCs w:val="18"/>
              </w:rPr>
              <w:t xml:space="preserve">Une collecte (tâche planifiée) ; code 2 si un serveur est en échec</w:t>
            </w:r>
          </w:p>
        </w:tc>
      </w:tr>
      <w:tr>
        <w:trPr>
          <w:cantSplit/>
        </w:trPr>
        <w:tc>
          <w:tcPr>
            <w:tcW w:w="1927" w:type="dxa"/>
          </w:tcPr>
          <w:p>
            <w:pPr>
              <w:pStyle w:val="TableText"/>
            </w:pPr>
            <w:r>
              <w:rPr>
                <w:sz w:val="18"/>
                <w:szCs w:val="18"/>
              </w:rPr>
              <w:t xml:space="preserve">web</w:t>
            </w:r>
          </w:p>
        </w:tc>
        <w:tc>
          <w:tcPr>
            <w:tcW w:w="3855" w:type="dxa"/>
          </w:tcPr>
          <w:p>
            <w:pPr>
              <w:pStyle w:val="TableText"/>
            </w:pPr>
            <w:r>
              <w:rPr>
                <w:sz w:val="18"/>
                <w:szCs w:val="18"/>
              </w:rPr>
              <w:t xml:space="preserve">--host, --port, --open, --demo</w:t>
            </w:r>
          </w:p>
        </w:tc>
        <w:tc>
          <w:tcPr>
            <w:tcW w:w="3855" w:type="dxa"/>
          </w:tcPr>
          <w:p>
            <w:pPr>
              <w:pStyle w:val="TableText"/>
            </w:pPr>
            <w:r>
              <w:rPr>
                <w:sz w:val="18"/>
                <w:szCs w:val="18"/>
              </w:rPr>
              <w:t xml:space="preserve">Interface web</w:t>
            </w:r>
          </w:p>
        </w:tc>
      </w:tr>
      <w:tr>
        <w:trPr>
          <w:cantSplit/>
        </w:trPr>
        <w:tc>
          <w:tcPr>
            <w:tcW w:w="1927" w:type="dxa"/>
            <w:shd w:val="clear" w:color="auto" w:fill="F4F7FC"/>
          </w:tcPr>
          <w:p>
            <w:pPr>
              <w:pStyle w:val="TableText"/>
            </w:pPr>
            <w:r>
              <w:rPr>
                <w:sz w:val="18"/>
                <w:szCs w:val="18"/>
              </w:rPr>
              <w:t xml:space="preserve">report</w:t>
            </w:r>
          </w:p>
        </w:tc>
        <w:tc>
          <w:tcPr>
            <w:tcW w:w="3855" w:type="dxa"/>
            <w:shd w:val="clear" w:color="auto" w:fill="F4F7FC"/>
          </w:tcPr>
          <w:p>
            <w:pPr>
              <w:pStyle w:val="TableText"/>
            </w:pPr>
            <w:r>
              <w:rPr>
                <w:sz w:val="18"/>
                <w:szCs w:val="18"/>
              </w:rPr>
              <w:t xml:space="preserve">--period, --from, --to, --server, -o, --skip-existing</w:t>
            </w:r>
          </w:p>
        </w:tc>
        <w:tc>
          <w:tcPr>
            <w:tcW w:w="3855" w:type="dxa"/>
            <w:shd w:val="clear" w:color="auto" w:fill="F4F7FC"/>
          </w:tcPr>
          <w:p>
            <w:pPr>
              <w:pStyle w:val="TableText"/>
            </w:pPr>
            <w:r>
              <w:rPr>
                <w:sz w:val="18"/>
                <w:szCs w:val="18"/>
              </w:rPr>
              <w:t xml:space="preserve">Rapport Excel</w:t>
            </w:r>
          </w:p>
        </w:tc>
      </w:tr>
      <w:tr>
        <w:trPr>
          <w:cantSplit/>
        </w:trPr>
        <w:tc>
          <w:tcPr>
            <w:tcW w:w="1927" w:type="dxa"/>
          </w:tcPr>
          <w:p>
            <w:pPr>
              <w:pStyle w:val="TableText"/>
            </w:pPr>
            <w:r>
              <w:rPr>
                <w:sz w:val="18"/>
                <w:szCs w:val="18"/>
              </w:rPr>
              <w:t xml:space="preserve">send-report</w:t>
            </w:r>
          </w:p>
        </w:tc>
        <w:tc>
          <w:tcPr>
            <w:tcW w:w="3855" w:type="dxa"/>
          </w:tcPr>
          <w:p>
            <w:pPr>
              <w:pStyle w:val="TableText"/>
            </w:pPr>
            <w:r>
              <w:rPr>
                <w:sz w:val="18"/>
                <w:szCs w:val="18"/>
              </w:rPr>
              <w:t xml:space="preserve">--subscription, --period, --to, --skip-sent, --dry-run DOSSIER</w:t>
            </w:r>
          </w:p>
        </w:tc>
        <w:tc>
          <w:tcPr>
            <w:tcW w:w="3855" w:type="dxa"/>
          </w:tcPr>
          <w:p>
            <w:pPr>
              <w:pStyle w:val="TableText"/>
            </w:pPr>
            <w:r>
              <w:rPr>
                <w:sz w:val="18"/>
                <w:szCs w:val="18"/>
              </w:rPr>
              <w:t xml:space="preserve">Envoi aux abonnés ; aperçu .eml avec --dry-run</w:t>
            </w:r>
          </w:p>
        </w:tc>
      </w:tr>
      <w:tr>
        <w:trPr>
          <w:cantSplit/>
        </w:trPr>
        <w:tc>
          <w:tcPr>
            <w:tcW w:w="1927" w:type="dxa"/>
            <w:shd w:val="clear" w:color="auto" w:fill="F4F7FC"/>
          </w:tcPr>
          <w:p>
            <w:pPr>
              <w:pStyle w:val="TableText"/>
            </w:pPr>
            <w:r>
              <w:rPr>
                <w:sz w:val="18"/>
                <w:szCs w:val="18"/>
              </w:rPr>
              <w:t xml:space="preserve">import-log</w:t>
            </w:r>
          </w:p>
        </w:tc>
        <w:tc>
          <w:tcPr>
            <w:tcW w:w="3855" w:type="dxa"/>
            <w:shd w:val="clear" w:color="auto" w:fill="F4F7FC"/>
          </w:tcPr>
          <w:p>
            <w:pPr>
              <w:pStyle w:val="TableText"/>
            </w:pPr>
            <w:r>
              <w:rPr>
                <w:sz w:val="18"/>
                <w:szCs w:val="18"/>
              </w:rPr>
              <w:t xml:space="preserve">--server X fichiers…</w:t>
            </w:r>
          </w:p>
        </w:tc>
        <w:tc>
          <w:tcPr>
            <w:tcW w:w="3855" w:type="dxa"/>
            <w:shd w:val="clear" w:color="auto" w:fill="F4F7FC"/>
          </w:tcPr>
          <w:p>
            <w:pPr>
              <w:pStyle w:val="TableText"/>
            </w:pPr>
            <w:r>
              <w:rPr>
                <w:sz w:val="18"/>
                <w:szCs w:val="18"/>
              </w:rPr>
              <w:t xml:space="preserve">Reprise d'historique depuis des logs archivés</w:t>
            </w:r>
          </w:p>
        </w:tc>
      </w:tr>
      <w:tr>
        <w:trPr>
          <w:cantSplit/>
        </w:trPr>
        <w:tc>
          <w:tcPr>
            <w:tcW w:w="1927" w:type="dxa"/>
          </w:tcPr>
          <w:p>
            <w:pPr>
              <w:pStyle w:val="TableText"/>
            </w:pPr>
            <w:r>
              <w:rPr>
                <w:sz w:val="18"/>
                <w:szCs w:val="18"/>
              </w:rPr>
              <w:t xml:space="preserve">import-users</w:t>
            </w:r>
          </w:p>
        </w:tc>
        <w:tc>
          <w:tcPr>
            <w:tcW w:w="3855" w:type="dxa"/>
          </w:tcPr>
          <w:p>
            <w:pPr>
              <w:pStyle w:val="TableText"/>
            </w:pPr>
            <w:r>
              <w:rPr>
                <w:sz w:val="18"/>
                <w:szCs w:val="18"/>
              </w:rPr>
              <w:t xml:space="preserve">fichier.csv</w:t>
            </w:r>
          </w:p>
        </w:tc>
        <w:tc>
          <w:tcPr>
            <w:tcW w:w="3855" w:type="dxa"/>
          </w:tcPr>
          <w:p>
            <w:pPr>
              <w:pStyle w:val="TableText"/>
            </w:pPr>
            <w:r>
              <w:rPr>
                <w:sz w:val="18"/>
                <w:szCs w:val="18"/>
              </w:rPr>
              <w:t xml:space="preserve">Noms et services (export AD / RH)</w:t>
            </w:r>
          </w:p>
        </w:tc>
      </w:tr>
      <w:tr>
        <w:trPr>
          <w:cantSplit/>
        </w:trPr>
        <w:tc>
          <w:tcPr>
            <w:tcW w:w="1927" w:type="dxa"/>
            <w:shd w:val="clear" w:color="auto" w:fill="F4F7FC"/>
          </w:tcPr>
          <w:p>
            <w:pPr>
              <w:pStyle w:val="TableText"/>
            </w:pPr>
            <w:r>
              <w:rPr>
                <w:sz w:val="18"/>
                <w:szCs w:val="18"/>
              </w:rPr>
              <w:t xml:space="preserve">apply-products</w:t>
            </w:r>
          </w:p>
        </w:tc>
        <w:tc>
          <w:tcPr>
            <w:tcW w:w="3855" w:type="dxa"/>
            <w:shd w:val="clear" w:color="auto" w:fill="F4F7FC"/>
          </w:tcPr>
          <w:p>
            <w:pPr>
              <w:pStyle w:val="TableText"/>
            </w:pPr>
            <w:r>
              <w:rPr>
                <w:sz w:val="18"/>
                <w:szCs w:val="18"/>
              </w:rPr>
              <w:t xml:space="preserve">—</w:t>
            </w:r>
          </w:p>
        </w:tc>
        <w:tc>
          <w:tcPr>
            <w:tcW w:w="3855" w:type="dxa"/>
            <w:shd w:val="clear" w:color="auto" w:fill="F4F7FC"/>
          </w:tcPr>
          <w:p>
            <w:pPr>
              <w:pStyle w:val="TableText"/>
            </w:pPr>
            <w:r>
              <w:rPr>
                <w:sz w:val="18"/>
                <w:szCs w:val="18"/>
              </w:rPr>
              <w:t xml:space="preserve">Réapplique les règles de produits à l'historique</w:t>
            </w:r>
          </w:p>
        </w:tc>
      </w:tr>
      <w:tr>
        <w:trPr>
          <w:cantSplit/>
        </w:trPr>
        <w:tc>
          <w:tcPr>
            <w:tcW w:w="1927" w:type="dxa"/>
          </w:tcPr>
          <w:p>
            <w:pPr>
              <w:pStyle w:val="TableText"/>
            </w:pPr>
            <w:r>
              <w:rPr>
                <w:sz w:val="18"/>
                <w:szCs w:val="18"/>
              </w:rPr>
              <w:t xml:space="preserve">purge</w:t>
            </w:r>
          </w:p>
        </w:tc>
        <w:tc>
          <w:tcPr>
            <w:tcW w:w="3855" w:type="dxa"/>
          </w:tcPr>
          <w:p>
            <w:pPr>
              <w:pStyle w:val="TableText"/>
            </w:pPr>
            <w:r>
              <w:rPr>
                <w:sz w:val="18"/>
                <w:szCs w:val="18"/>
              </w:rPr>
              <w:t xml:space="preserve">—</w:t>
            </w:r>
          </w:p>
        </w:tc>
        <w:tc>
          <w:tcPr>
            <w:tcW w:w="3855" w:type="dxa"/>
          </w:tcPr>
          <w:p>
            <w:pPr>
              <w:pStyle w:val="TableText"/>
            </w:pPr>
            <w:r>
              <w:rPr>
                <w:sz w:val="18"/>
                <w:szCs w:val="18"/>
              </w:rPr>
              <w:t xml:space="preserve">Applique la rétention</w:t>
            </w:r>
          </w:p>
        </w:tc>
      </w:tr>
      <w:tr>
        <w:trPr>
          <w:cantSplit/>
        </w:trPr>
        <w:tc>
          <w:tcPr>
            <w:tcW w:w="1927" w:type="dxa"/>
            <w:shd w:val="clear" w:color="auto" w:fill="F4F7FC"/>
          </w:tcPr>
          <w:p>
            <w:pPr>
              <w:pStyle w:val="TableText"/>
            </w:pPr>
            <w:r>
              <w:rPr>
                <w:sz w:val="18"/>
                <w:szCs w:val="18"/>
              </w:rPr>
              <w:t xml:space="preserve">test-server</w:t>
            </w:r>
          </w:p>
        </w:tc>
        <w:tc>
          <w:tcPr>
            <w:tcW w:w="3855" w:type="dxa"/>
            <w:shd w:val="clear" w:color="auto" w:fill="F4F7FC"/>
          </w:tcPr>
          <w:p>
            <w:pPr>
              <w:pStyle w:val="TableText"/>
            </w:pPr>
            <w:r>
              <w:rPr>
                <w:sz w:val="18"/>
                <w:szCs w:val="18"/>
              </w:rPr>
              <w:t xml:space="preserve">--server X</w:t>
            </w:r>
          </w:p>
        </w:tc>
        <w:tc>
          <w:tcPr>
            <w:tcW w:w="3855" w:type="dxa"/>
            <w:shd w:val="clear" w:color="auto" w:fill="F4F7FC"/>
          </w:tcPr>
          <w:p>
            <w:pPr>
              <w:pStyle w:val="TableText"/>
            </w:pPr>
            <w:r>
              <w:rPr>
                <w:sz w:val="18"/>
                <w:szCs w:val="18"/>
              </w:rPr>
              <w:t xml:space="preserve">Interroge un serveur sans rien écrire</w:t>
            </w:r>
          </w:p>
        </w:tc>
      </w:tr>
      <w:tr>
        <w:trPr>
          <w:cantSplit/>
        </w:trPr>
        <w:tc>
          <w:tcPr>
            <w:tcW w:w="1927" w:type="dxa"/>
          </w:tcPr>
          <w:p>
            <w:pPr>
              <w:pStyle w:val="TableText"/>
            </w:pPr>
            <w:r>
              <w:rPr>
                <w:sz w:val="18"/>
                <w:szCs w:val="18"/>
              </w:rPr>
              <w:t xml:space="preserve">parse-lmstat / parse-log</w:t>
            </w:r>
          </w:p>
        </w:tc>
        <w:tc>
          <w:tcPr>
            <w:tcW w:w="3855" w:type="dxa"/>
          </w:tcPr>
          <w:p>
            <w:pPr>
              <w:pStyle w:val="TableText"/>
            </w:pPr>
            <w:r>
              <w:rPr>
                <w:sz w:val="18"/>
                <w:szCs w:val="18"/>
              </w:rPr>
              <w:t xml:space="preserve">fichier</w:t>
            </w:r>
          </w:p>
        </w:tc>
        <w:tc>
          <w:tcPr>
            <w:tcW w:w="3855" w:type="dxa"/>
          </w:tcPr>
          <w:p>
            <w:pPr>
              <w:pStyle w:val="TableText"/>
            </w:pPr>
            <w:r>
              <w:rPr>
                <w:sz w:val="18"/>
                <w:szCs w:val="18"/>
              </w:rPr>
              <w:t xml:space="preserve">Diagnostic des parsers (sans base)</w:t>
            </w:r>
          </w:p>
        </w:tc>
      </w:tr>
      <w:tr>
        <w:trPr>
          <w:cantSplit/>
        </w:trPr>
        <w:tc>
          <w:tcPr>
            <w:tcW w:w="1927" w:type="dxa"/>
            <w:shd w:val="clear" w:color="auto" w:fill="F4F7FC"/>
          </w:tcPr>
          <w:p>
            <w:pPr>
              <w:pStyle w:val="TableText"/>
            </w:pPr>
            <w:r>
              <w:rPr>
                <w:sz w:val="18"/>
                <w:szCs w:val="18"/>
              </w:rPr>
              <w:t xml:space="preserve">demo</w:t>
            </w:r>
          </w:p>
        </w:tc>
        <w:tc>
          <w:tcPr>
            <w:tcW w:w="3855" w:type="dxa"/>
            <w:shd w:val="clear" w:color="auto" w:fill="F4F7FC"/>
          </w:tcPr>
          <w:p>
            <w:pPr>
              <w:pStyle w:val="TableText"/>
            </w:pPr>
            <w:r>
              <w:rPr>
                <w:sz w:val="18"/>
                <w:szCs w:val="18"/>
              </w:rPr>
              <w:t xml:space="preserve">--days, --output-dir, --connection-string</w:t>
            </w:r>
          </w:p>
        </w:tc>
        <w:tc>
          <w:tcPr>
            <w:tcW w:w="3855" w:type="dxa"/>
            <w:shd w:val="clear" w:color="auto" w:fill="F4F7FC"/>
          </w:tcPr>
          <w:p>
            <w:pPr>
              <w:pStyle w:val="TableText"/>
            </w:pPr>
            <w:r>
              <w:rPr>
                <w:sz w:val="18"/>
                <w:szCs w:val="18"/>
              </w:rPr>
              <w:t xml:space="preserve">Environnement de démonstration simulé</w:t>
            </w:r>
          </w:p>
        </w:tc>
      </w:tr>
      <w:tr>
        <w:trPr>
          <w:cantSplit/>
        </w:trPr>
        <w:tc>
          <w:tcPr>
            <w:tcW w:w="1927" w:type="dxa"/>
          </w:tcPr>
          <w:p>
            <w:pPr>
              <w:pStyle w:val="TableText"/>
            </w:pPr>
            <w:r>
              <w:rPr>
                <w:sz w:val="18"/>
                <w:szCs w:val="18"/>
              </w:rPr>
              <w:t xml:space="preserve">ddl</w:t>
            </w:r>
          </w:p>
        </w:tc>
        <w:tc>
          <w:tcPr>
            <w:tcW w:w="3855" w:type="dxa"/>
          </w:tcPr>
          <w:p>
            <w:pPr>
              <w:pStyle w:val="TableText"/>
            </w:pPr>
            <w:r>
              <w:rPr>
                <w:sz w:val="18"/>
                <w:szCs w:val="18"/>
              </w:rPr>
              <w:t xml:space="preserve">--dialect mssql|sqlite</w:t>
            </w:r>
          </w:p>
        </w:tc>
        <w:tc>
          <w:tcPr>
            <w:tcW w:w="3855" w:type="dxa"/>
          </w:tcPr>
          <w:p>
            <w:pPr>
              <w:pStyle w:val="TableText"/>
            </w:pPr>
            <w:r>
              <w:rPr>
                <w:sz w:val="18"/>
                <w:szCs w:val="18"/>
              </w:rPr>
              <w:t xml:space="preserve">Affiche le script SQL du schéma</w:t>
            </w:r>
          </w:p>
        </w:tc>
      </w:tr>
    </w:tbl>
    <w:p>
      <w:pPr>
        <w:spacing w:after="80"/>
      </w:pPr>
    </w:p>
    <w:p>
      <w:pPr/>
      <w:r>
        <w:rPr/>
        <w:t xml:space="preserve">Périodes (</w:t>
      </w:r>
      <w:r>
        <w:rPr>
          <w:rFonts w:ascii="Consolas" w:hAnsi="Consolas" w:cs="Consolas"/>
          <w:color w:val="1C5CAB"/>
          <w:sz w:val="18"/>
          <w:szCs w:val="18"/>
          <w:shd w:val="clear" w:color="auto" w:fill="EEF3FA"/>
        </w:rPr>
        <w:t xml:space="preserve">--period</w:t>
      </w:r>
      <w:r>
        <w:rPr/>
        <w:t xml:space="preserve">) : </w:t>
      </w:r>
      <w:r>
        <w:rPr>
          <w:rFonts w:ascii="Consolas" w:hAnsi="Consolas" w:cs="Consolas"/>
          <w:color w:val="1C5CAB"/>
          <w:sz w:val="18"/>
          <w:szCs w:val="18"/>
          <w:shd w:val="clear" w:color="auto" w:fill="EEF3FA"/>
        </w:rPr>
        <w:t xml:space="preserve">last-month</w:t>
      </w:r>
      <w:r>
        <w:rPr/>
        <w:t xml:space="preserve"> (défaut), </w:t>
      </w:r>
      <w:r>
        <w:rPr>
          <w:rFonts w:ascii="Consolas" w:hAnsi="Consolas" w:cs="Consolas"/>
          <w:color w:val="1C5CAB"/>
          <w:sz w:val="18"/>
          <w:szCs w:val="18"/>
          <w:shd w:val="clear" w:color="auto" w:fill="EEF3FA"/>
        </w:rPr>
        <w:t xml:space="preserve">this-month</w:t>
      </w:r>
      <w:r>
        <w:rPr/>
        <w:t xml:space="preserve">, </w:t>
      </w:r>
      <w:r>
        <w:rPr>
          <w:rFonts w:ascii="Consolas" w:hAnsi="Consolas" w:cs="Consolas"/>
          <w:color w:val="1C5CAB"/>
          <w:sz w:val="18"/>
          <w:szCs w:val="18"/>
          <w:shd w:val="clear" w:color="auto" w:fill="EEF3FA"/>
        </w:rPr>
        <w:t xml:space="preserve">last-week</w:t>
      </w:r>
      <w:r>
        <w:rPr/>
        <w:t xml:space="preserve">, </w:t>
      </w:r>
      <w:r>
        <w:rPr>
          <w:rFonts w:ascii="Consolas" w:hAnsi="Consolas" w:cs="Consolas"/>
          <w:color w:val="1C5CAB"/>
          <w:sz w:val="18"/>
          <w:szCs w:val="18"/>
          <w:shd w:val="clear" w:color="auto" w:fill="EEF3FA"/>
        </w:rPr>
        <w:t xml:space="preserve">last-7d</w:t>
      </w:r>
      <w:r>
        <w:rPr/>
        <w:t xml:space="preserve">, </w:t>
      </w:r>
      <w:r>
        <w:rPr>
          <w:rFonts w:ascii="Consolas" w:hAnsi="Consolas" w:cs="Consolas"/>
          <w:color w:val="1C5CAB"/>
          <w:sz w:val="18"/>
          <w:szCs w:val="18"/>
          <w:shd w:val="clear" w:color="auto" w:fill="EEF3FA"/>
        </w:rPr>
        <w:t xml:space="preserve">last-year</w:t>
      </w:r>
      <w:r>
        <w:rPr/>
        <w:t xml:space="preserve">. Avec </w:t>
      </w:r>
      <w:r>
        <w:rPr>
          <w:rFonts w:ascii="Consolas" w:hAnsi="Consolas" w:cs="Consolas"/>
          <w:color w:val="1C5CAB"/>
          <w:sz w:val="18"/>
          <w:szCs w:val="18"/>
          <w:shd w:val="clear" w:color="auto" w:fill="EEF3FA"/>
        </w:rPr>
        <w:t xml:space="preserve">--from</w:t>
      </w:r>
      <w:r>
        <w:rPr/>
        <w:t xml:space="preserve"> / </w:t>
      </w:r>
      <w:r>
        <w:rPr>
          <w:rFonts w:ascii="Consolas" w:hAnsi="Consolas" w:cs="Consolas"/>
          <w:color w:val="1C5CAB"/>
          <w:sz w:val="18"/>
          <w:szCs w:val="18"/>
          <w:shd w:val="clear" w:color="auto" w:fill="EEF3FA"/>
        </w:rPr>
        <w:t xml:space="preserve">--to</w:t>
      </w:r>
      <w:r>
        <w:rPr/>
        <w:t xml:space="preserve">, la date de fin est exclue.</w:t>
      </w:r>
    </w:p>
    <w:p>
      <w:pPr>
        <w:pStyle w:val="Heading1"/>
      </w:pPr>
      <w:bookmarkStart w:id="133" w:name="_Toc00133"/>
      <w:r>
        <w:rPr/>
        <w:t xml:space="preserve">Annexe B. Exemple de configuration</w:t>
      </w:r>
      <w:bookmarkEnd w:id="133"/>
    </w:p>
    <w:p>
      <w:pPr/>
      <w:r>
        <w:rPr/>
        <w:t xml:space="preserve">Fichier </w:t>
      </w:r>
      <w:r>
        <w:rPr>
          <w:rFonts w:ascii="Consolas" w:hAnsi="Consolas" w:cs="Consolas"/>
          <w:color w:val="1C5CAB"/>
          <w:sz w:val="18"/>
          <w:szCs w:val="18"/>
          <w:shd w:val="clear" w:color="auto" w:fill="EEF3FA"/>
        </w:rPr>
        <w:t xml:space="preserve">config/freelm.example.yaml</w:t>
      </w:r>
      <w:r>
        <w:rPr/>
        <w:t xml:space="preserve"> fourni avec l'application :</w:t>
      </w:r>
    </w:p>
    <w:p>
      <w:pPr>
        <w:pStyle w:val="Code"/>
      </w:pPr>
      <w:r>
        <w:t xml:space="preserve"># ---------------------------------------------------------------------------</w:t>
      </w:r>
    </w:p>
    <w:p>
      <w:pPr>
        <w:pStyle w:val="Code"/>
      </w:pPr>
      <w:r>
        <w:t xml:space="preserve"># FreeLM - fichier de configuration (copier en freelm.yaml et adapter)</w:t>
      </w:r>
    </w:p>
    <w:p>
      <w:pPr>
        <w:pStyle w:val="Code"/>
      </w:pPr>
      <w:r>
        <w:t xml:space="preserve"># Les variables d'environnement sont développées : %FREELM_HOME% ou ${VAR}</w:t>
      </w:r>
    </w:p>
    <w:p>
      <w:pPr>
        <w:pStyle w:val="Code"/>
      </w:pPr>
      <w:r>
        <w:t xml:space="preserve"># ---------------------------------------------------------------------------</w:t>
      </w:r>
    </w:p>
    <w:p>
      <w:pPr>
        <w:pStyle w:val="Code"/>
      </w:pPr>
      <w:r>
        <w:t xml:space="preserve"> </w:t>
      </w:r>
    </w:p>
    <w:p>
      <w:pPr>
        <w:pStyle w:val="Code"/>
      </w:pPr>
      <w:r>
        <w:t xml:space="preserve">database:</w:t>
      </w:r>
    </w:p>
    <w:p>
      <w:pPr>
        <w:pStyle w:val="Code"/>
      </w:pPr>
      <w:r>
        <w:t xml:space="preserve">  # SQL Server via ODBC (authentification Windows du compte de la tâche planifiée).</w:t>
      </w:r>
    </w:p>
    <w:p>
      <w:pPr>
        <w:pStyle w:val="Code"/>
      </w:pPr>
      <w:r>
        <w:t xml:space="preserve">  # Encrypt=yes : échanges chiffrés ET certificat du serveur SQL vérifié (nom complet</w:t>
      </w:r>
    </w:p>
    <w:p>
      <w:pPr>
        <w:pStyle w:val="Code"/>
      </w:pPr>
      <w:r>
        <w:t xml:space="preserve">  # du serveur = nom du certificat). Ne mettre TrustServerCertificate=yes qu'en test.</w:t>
      </w:r>
    </w:p>
    <w:p>
      <w:pPr>
        <w:pStyle w:val="Code"/>
      </w:pPr>
      <w:r>
        <w:t xml:space="preserve">  connection_string: "DRIVER={ODBC Driver 18 for SQL Server};SERVER=sqlsrv01.entreprise.local;DATABASE=FreeLM;Trusted_Connection=yes;Encrypt=yes"</w:t>
      </w:r>
    </w:p>
    <w:p>
      <w:pPr>
        <w:pStyle w:val="Code"/>
      </w:pPr>
      <w:r>
        <w:t xml:space="preserve">  # Authentification SQL (mot de passe via variable d'environnement) :</w:t>
      </w:r>
    </w:p>
    <w:p>
      <w:pPr>
        <w:pStyle w:val="Code"/>
      </w:pPr>
      <w:r>
        <w:t xml:space="preserve">  # connection_string: "DRIVER={ODBC Driver 18 for SQL Server};SERVER=sqlsrv01.entreprise.local;DATABASE=FreeLM;UID=freelm;PWD=${FREELM_DB_PASSWORD};Encrypt=yes"</w:t>
      </w:r>
    </w:p>
    <w:p>
      <w:pPr>
        <w:pStyle w:val="Code"/>
      </w:pPr>
      <w:r>
        <w:t xml:space="preserve">  # Pour un essai local sans SQL Server :</w:t>
      </w:r>
    </w:p>
    <w:p>
      <w:pPr>
        <w:pStyle w:val="Code"/>
      </w:pPr>
      <w:r>
        <w:t xml:space="preserve">  # connection_string: "sqlite:///C:/FreeLM/data/freelm.db"</w:t>
      </w:r>
    </w:p>
    <w:p>
      <w:pPr>
        <w:pStyle w:val="Code"/>
      </w:pPr>
      <w:r>
        <w:t xml:space="preserve"> </w:t>
      </w:r>
    </w:p>
    <w:p>
      <w:pPr>
        <w:pStyle w:val="Code"/>
      </w:pPr>
      <w:r>
        <w:t xml:space="preserve"># Chemin de lmutil.exe (fourni avec le gestionnaire de licences, ex. Autodesk NLM)</w:t>
      </w:r>
    </w:p>
    <w:p>
      <w:pPr>
        <w:pStyle w:val="Code"/>
      </w:pPr>
      <w:r>
        <w:t xml:space="preserve">lmutil_path: "C:/FreeLM/bin/lmutil.exe"</w:t>
      </w:r>
    </w:p>
    <w:p>
      <w:pPr>
        <w:pStyle w:val="Code"/>
      </w:pPr>
      <w:r>
        <w:t xml:space="preserve"> </w:t>
      </w:r>
    </w:p>
    <w:p>
      <w:pPr>
        <w:pStyle w:val="Code"/>
      </w:pPr>
      <w:r>
        <w:t xml:space="preserve">logging:</w:t>
      </w:r>
    </w:p>
    <w:p>
      <w:pPr>
        <w:pStyle w:val="Code"/>
      </w:pPr>
      <w:r>
        <w:t xml:space="preserve">  file: "C:/FreeLM/logs/freelm.log"</w:t>
      </w:r>
    </w:p>
    <w:p>
      <w:pPr>
        <w:pStyle w:val="Code"/>
      </w:pPr>
      <w:r>
        <w:t xml:space="preserve">  level: INFO</w:t>
      </w:r>
    </w:p>
    <w:p>
      <w:pPr>
        <w:pStyle w:val="Code"/>
      </w:pPr>
      <w:r>
        <w:t xml:space="preserve"> </w:t>
      </w:r>
    </w:p>
    <w:p>
      <w:pPr>
        <w:pStyle w:val="Code"/>
      </w:pPr>
      <w:r>
        <w:t xml:space="preserve">servers:</w:t>
      </w:r>
    </w:p>
    <w:p>
      <w:pPr>
        <w:pStyle w:val="Code"/>
      </w:pPr>
      <w:r>
        <w:t xml:space="preserve">  # Collecte par lmstat uniquement (cas le plus simple, aucun accès fichier)</w:t>
      </w:r>
    </w:p>
    <w:p>
      <w:pPr>
        <w:pStyle w:val="Code"/>
      </w:pPr>
      <w:r>
        <w:t xml:space="preserve">  - name: AUTODESK</w:t>
      </w:r>
    </w:p>
    <w:p>
      <w:pPr>
        <w:pStyle w:val="Code"/>
      </w:pPr>
      <w:r>
        <w:t xml:space="preserve">    port_at_host: "27000@licsrv1"</w:t>
      </w:r>
    </w:p>
    <w:p>
      <w:pPr>
        <w:pStyle w:val="Code"/>
      </w:pPr>
      <w:r>
        <w:t xml:space="preserve">    collectors: [lmstat]</w:t>
      </w:r>
    </w:p>
    <w:p>
      <w:pPr>
        <w:pStyle w:val="Code"/>
      </w:pPr>
      <w:r>
        <w:t xml:space="preserve">    sessions_from: lmstat</w:t>
      </w:r>
    </w:p>
    <w:p>
      <w:pPr>
        <w:pStyle w:val="Code"/>
      </w:pPr>
      <w:r>
        <w:t xml:space="preserve"> </w:t>
      </w:r>
    </w:p>
    <w:p>
      <w:pPr>
        <w:pStyle w:val="Code"/>
      </w:pPr>
      <w:r>
        <w:t xml:space="preserve">  # lmstat pour les jetons + log debug pour les refus et des sessions à la seconde</w:t>
      </w:r>
    </w:p>
    <w:p>
      <w:pPr>
        <w:pStyle w:val="Code"/>
      </w:pPr>
      <w:r>
        <w:t xml:space="preserve">  - name: ANSYS</w:t>
      </w:r>
    </w:p>
    <w:p>
      <w:pPr>
        <w:pStyle w:val="Code"/>
      </w:pPr>
      <w:r>
        <w:t xml:space="preserve">    port_at_host: "1055@licsrv2"</w:t>
      </w:r>
    </w:p>
    <w:p>
      <w:pPr>
        <w:pStyle w:val="Code"/>
      </w:pPr>
      <w:r>
        <w:t xml:space="preserve">    collectors: [lmstat, log]</w:t>
      </w:r>
    </w:p>
    <w:p>
      <w:pPr>
        <w:pStyle w:val="Code"/>
      </w:pPr>
      <w:r>
        <w:t xml:space="preserve">    sessions_from: log</w:t>
      </w:r>
    </w:p>
    <w:p>
      <w:pPr>
        <w:pStyle w:val="Code"/>
      </w:pPr>
      <w:r>
        <w:t xml:space="preserve">    log_path: "\\\\licsrv2\\ansys_logs$\\license.log"</w:t>
      </w:r>
    </w:p>
    <w:p>
      <w:pPr>
        <w:pStyle w:val="Code"/>
      </w:pPr>
      <w:r>
        <w:t xml:space="preserve"> </w:t>
      </w:r>
    </w:p>
    <w:p>
      <w:pPr>
        <w:pStyle w:val="Code"/>
      </w:pPr>
      <w:r>
        <w:t xml:space="preserve">  # Triade redondante : lister les trois serveurs</w:t>
      </w:r>
    </w:p>
    <w:p>
      <w:pPr>
        <w:pStyle w:val="Code"/>
      </w:pPr>
      <w:r>
        <w:t xml:space="preserve">  - name: MATLAB</w:t>
      </w:r>
    </w:p>
    <w:p>
      <w:pPr>
        <w:pStyle w:val="Code"/>
      </w:pPr>
      <w:r>
        <w:t xml:space="preserve">    port_at_host: "27000@mlm1:27000@mlm2:27000@mlm3"</w:t>
      </w:r>
    </w:p>
    <w:p>
      <w:pPr>
        <w:pStyle w:val="Code"/>
      </w:pPr>
      <w:r>
        <w:t xml:space="preserve">    collectors: [lmstat]</w:t>
      </w:r>
    </w:p>
    <w:p>
      <w:pPr>
        <w:pStyle w:val="Code"/>
      </w:pPr>
      <w:r>
        <w:t xml:space="preserve">    sessions_from: lmstat</w:t>
      </w:r>
    </w:p>
    <w:p>
      <w:pPr>
        <w:pStyle w:val="Code"/>
      </w:pPr>
      <w:r>
        <w:t xml:space="preserve">    timeout_s: 90</w:t>
      </w:r>
    </w:p>
    <w:p>
      <w:pPr>
        <w:pStyle w:val="Code"/>
      </w:pPr>
      <w:r>
        <w:t xml:space="preserve">    # lmutil_path: "C:/MATLAB/etc/win64/lmutil.exe"   # surcharge par serveur</w:t>
      </w:r>
    </w:p>
    <w:p>
      <w:pPr>
        <w:pStyle w:val="Code"/>
      </w:pPr>
      <w:r>
        <w:t xml:space="preserve">    # enabled: false</w:t>
      </w:r>
    </w:p>
    <w:p>
      <w:pPr>
        <w:pStyle w:val="Code"/>
      </w:pPr>
      <w:r>
        <w:t xml:space="preserve"> </w:t>
      </w:r>
    </w:p>
    <w:p>
      <w:pPr>
        <w:pStyle w:val="Code"/>
      </w:pPr>
      <w:r>
        <w:t xml:space="preserve"># Correspondance feature FlexLM -&gt; produit lisible dans les rapports.</w:t>
      </w:r>
    </w:p>
    <w:p>
      <w:pPr>
        <w:pStyle w:val="Code"/>
      </w:pPr>
      <w:r>
        <w:t xml:space="preserve"># Motifs fnmatch (* et ?), insensibles à la casse ; la première règle trouvée gagne.</w:t>
      </w:r>
    </w:p>
    <w:p>
      <w:pPr>
        <w:pStyle w:val="Code"/>
      </w:pPr>
      <w:r>
        <w:t xml:space="preserve"># Après modification : `freelm apply-products` pour réappliquer à l'historique.</w:t>
      </w:r>
    </w:p>
    <w:p>
      <w:pPr>
        <w:pStyle w:val="Code"/>
      </w:pPr>
      <w:r>
        <w:t xml:space="preserve"># annual_cost (optionnel) : coût annuel d'un jeton, dans la devise reporting.currency.</w:t>
      </w:r>
    </w:p>
    <w:p>
      <w:pPr>
        <w:pStyle w:val="Code"/>
      </w:pPr>
      <w:r>
        <w:t xml:space="preserve"># Active le chiffrage : coût du parc, économies potentielles, refacturation par service.</w:t>
      </w:r>
    </w:p>
    <w:p>
      <w:pPr>
        <w:pStyle w:val="Code"/>
      </w:pPr>
      <w:r>
        <w:t xml:space="preserve">products:</w:t>
      </w:r>
    </w:p>
    <w:p>
      <w:pPr>
        <w:pStyle w:val="Code"/>
      </w:pPr>
      <w:r>
        <w:t xml:space="preserve">  - { pattern: "87545ACD_2024_*",   product: "AutoCAD 2024",            publisher: Autodesk, annual_cost: 2300 }</w:t>
      </w:r>
    </w:p>
    <w:p>
      <w:pPr>
        <w:pStyle w:val="Code"/>
      </w:pPr>
      <w:r>
        <w:t xml:space="preserve">  - { pattern: "87048INVPROSA_*",   product: "Inventor Professional",   publisher: Autodesk, annual_cost: 3900 }</w:t>
      </w:r>
    </w:p>
    <w:p>
      <w:pPr>
        <w:pStyle w:val="Code"/>
      </w:pPr>
      <w:r>
        <w:t xml:space="preserve">  - { pattern: "*ACDLT*",           product: "AutoCAD LT",              publisher: Autodesk }</w:t>
      </w:r>
    </w:p>
    <w:p>
      <w:pPr>
        <w:pStyle w:val="Code"/>
      </w:pPr>
      <w:r>
        <w:t xml:space="preserve">  - { pattern: "MATLAB",            product: "MATLAB",                  publisher: MathWorks }</w:t>
      </w:r>
    </w:p>
    <w:p>
      <w:pPr>
        <w:pStyle w:val="Code"/>
      </w:pPr>
      <w:r>
        <w:t xml:space="preserve">  - { pattern: "SIMULINK",          product: "Simulink",                publisher: MathWorks }</w:t>
      </w:r>
    </w:p>
    <w:p>
      <w:pPr>
        <w:pStyle w:val="Code"/>
      </w:pPr>
      <w:r>
        <w:t xml:space="preserve">  - { pattern: "*_Toolbox",         product: "MATLAB Toolboxes",        publisher: MathWorks, vendor: MLM }</w:t>
      </w:r>
    </w:p>
    <w:p>
      <w:pPr>
        <w:pStyle w:val="Code"/>
      </w:pPr>
      <w:r>
        <w:t xml:space="preserve">  - { pattern: "ansys",             product: "Ansys Mechanical Enterprise", publisher: Ansys }</w:t>
      </w:r>
    </w:p>
    <w:p>
      <w:pPr>
        <w:pStyle w:val="Code"/>
      </w:pPr>
      <w:r>
        <w:t xml:space="preserve">  - { pattern: "a_spaceclaim_*",    product: "Ansys SpaceClaim",        publisher: Ansys }</w:t>
      </w:r>
    </w:p>
    <w:p>
      <w:pPr>
        <w:pStyle w:val="Code"/>
      </w:pPr>
      <w:r>
        <w:t xml:space="preserve"> </w:t>
      </w:r>
    </w:p>
    <w:p>
      <w:pPr>
        <w:pStyle w:val="Code"/>
      </w:pPr>
      <w:r>
        <w:t xml:space="preserve">reporting:</w:t>
      </w:r>
    </w:p>
    <w:p>
      <w:pPr>
        <w:pStyle w:val="Code"/>
      </w:pPr>
      <w:r>
        <w:t xml:space="preserve">  output_dir: "C:/FreeLM/reports"</w:t>
      </w:r>
    </w:p>
    <w:p>
      <w:pPr>
        <w:pStyle w:val="Code"/>
      </w:pPr>
      <w:r>
        <w:t xml:space="preserve">  top_n_chart: 10          # éléments affichés dans les graphiques</w:t>
      </w:r>
    </w:p>
    <w:p>
      <w:pPr>
        <w:pStyle w:val="Code"/>
      </w:pPr>
      <w:r>
        <w:t xml:space="preserve">  business_hours: [8, 19]  # plage des heures ouvrées (jours ouvrés lundi-vendredi)</w:t>
      </w:r>
    </w:p>
    <w:p>
      <w:pPr>
        <w:pStyle w:val="Code"/>
      </w:pPr>
      <w:r>
        <w:t xml:space="preserve">  currency: "€"            # devise des coûts (annual_cost)</w:t>
      </w:r>
    </w:p>
    <w:p>
      <w:pPr>
        <w:pStyle w:val="Code"/>
      </w:pPr>
      <w:r>
        <w:t xml:space="preserve">  target_coverage: 0.95    # jetons recommandés : couvrent 95 % du temps ouvré (0.5 à 0.999)</w:t>
      </w:r>
    </w:p>
    <w:p>
      <w:pPr>
        <w:pStyle w:val="Code"/>
      </w:pPr>
      <w:r>
        <w:t xml:space="preserve"> </w:t>
      </w:r>
    </w:p>
    <w:p>
      <w:pPr>
        <w:pStyle w:val="Code"/>
      </w:pPr>
      <w:r>
        <w:t xml:space="preserve"># ---------------------------------------------------------------------------</w:t>
      </w:r>
    </w:p>
    <w:p>
      <w:pPr>
        <w:pStyle w:val="Code"/>
      </w:pPr>
      <w:r>
        <w:t xml:space="preserve"># Interface web (freelm web / FreeLM.exe) — voir docs/AUTHENTIFICATION.md</w:t>
      </w:r>
    </w:p>
    <w:p>
      <w:pPr>
        <w:pStyle w:val="Code"/>
      </w:pPr>
      <w:r>
        <w:t xml:space="preserve"># ---------------------------------------------------------------------------</w:t>
      </w:r>
    </w:p>
    <w:p>
      <w:pPr>
        <w:pStyle w:val="Code"/>
      </w:pPr>
      <w:r>
        <w:t xml:space="preserve">web:</w:t>
      </w:r>
    </w:p>
    <w:p>
      <w:pPr>
        <w:pStyle w:val="Code"/>
      </w:pPr>
      <w:r>
        <w:t xml:space="preserve">  host: 127.0.0.1            # 0.0.0.0 pour un accès réseau (avec authentification + HTTPS)</w:t>
      </w:r>
    </w:p>
    <w:p>
      <w:pPr>
        <w:pStyle w:val="Code"/>
      </w:pPr>
      <w:r>
        <w:t xml:space="preserve">  port: 8765</w:t>
      </w:r>
    </w:p>
    <w:p>
      <w:pPr>
        <w:pStyle w:val="Code"/>
      </w:pPr>
      <w:r>
        <w:t xml:space="preserve">  # tls_cert: "C:/FreeLM/certs/freelm.pem"     # HTTPS (obligatoire avec ldap sur le réseau)</w:t>
      </w:r>
    </w:p>
    <w:p>
      <w:pPr>
        <w:pStyle w:val="Code"/>
      </w:pPr>
      <w:r>
        <w:t xml:space="preserve">  # tls_key:  "C:/FreeLM/certs/freelm.key"</w:t>
      </w:r>
    </w:p>
    <w:p>
      <w:pPr>
        <w:pStyle w:val="Code"/>
      </w:pPr>
      <w:r>
        <w:t xml:space="preserve">  # public_url: "https://freelm.entreprise.local:8765"   # lien cité dans les e-mails</w:t>
      </w:r>
    </w:p>
    <w:p>
      <w:pPr>
        <w:pStyle w:val="Code"/>
      </w:pPr>
      <w:r>
        <w:t xml:space="preserve">  # allowed_hosts: ["freelm", "10.1.2.3"]   # noms/IP acceptés en plus (anti « DNS rebinding »)</w:t>
      </w:r>
    </w:p>
    <w:p>
      <w:pPr>
        <w:pStyle w:val="Code"/>
      </w:pPr>
      <w:r>
        <w:t xml:space="preserve">  # request_timeout_s: 30                   # coupe les connexions lentes</w:t>
      </w:r>
    </w:p>
    <w:p>
      <w:pPr>
        <w:pStyle w:val="Code"/>
      </w:pPr>
      <w:r>
        <w:t xml:space="preserve">  # max_connections: 64                     # requêtes simultanées</w:t>
      </w:r>
    </w:p>
    <w:p>
      <w:pPr>
        <w:pStyle w:val="Code"/>
      </w:pPr>
      <w:r>
        <w:t xml:space="preserve">  auth:</w:t>
      </w:r>
    </w:p>
    <w:p>
      <w:pPr>
        <w:pStyle w:val="Code"/>
      </w:pPr>
      <w:r>
        <w:t xml:space="preserve">    mode: none               # none | ldap (identifiants Windows) | header (SSO via IIS)</w:t>
      </w:r>
    </w:p>
    <w:p>
      <w:pPr>
        <w:pStyle w:val="Code"/>
      </w:pPr>
      <w:r>
        <w:t xml:space="preserve">    # --- mode ldap ---</w:t>
      </w:r>
    </w:p>
    <w:p>
      <w:pPr>
        <w:pStyle w:val="Code"/>
      </w:pPr>
      <w:r>
        <w:t xml:space="preserve">    # ldap_servers: ["ldaps://dc01.entreprise.local", "ldaps://dc02.entreprise.local"]</w:t>
      </w:r>
    </w:p>
    <w:p>
      <w:pPr>
        <w:pStyle w:val="Code"/>
      </w:pPr>
      <w:r>
        <w:t xml:space="preserve">    # base_dn: "DC=entreprise,DC=local"</w:t>
      </w:r>
    </w:p>
    <w:p>
      <w:pPr>
        <w:pStyle w:val="Code"/>
      </w:pPr>
      <w:r>
        <w:t xml:space="preserve">    # upn_suffix: "entreprise.local"           # connexion en identifiant@entreprise.local</w:t>
      </w:r>
    </w:p>
    <w:p>
      <w:pPr>
        <w:pStyle w:val="Code"/>
      </w:pPr>
      <w:r>
        <w:t xml:space="preserve">    # allowed_groups: ["GG_FreeLM_Lecteurs"]   # vide = tout compte du domaine</w:t>
      </w:r>
    </w:p>
    <w:p>
      <w:pPr>
        <w:pStyle w:val="Code"/>
      </w:pPr>
      <w:r>
        <w:t xml:space="preserve">    # ldap_ca_file: "C:/FreeLM/certs/ac-interne.pem"   # si l'AC interne n'est pas reconnue</w:t>
      </w:r>
    </w:p>
    <w:p>
      <w:pPr>
        <w:pStyle w:val="Code"/>
      </w:pPr>
      <w:r>
        <w:t xml:space="preserve">    # session_hours: 8</w:t>
      </w:r>
    </w:p>
    <w:p>
      <w:pPr>
        <w:pStyle w:val="Code"/>
      </w:pPr>
      <w:r>
        <w:t xml:space="preserve">    # --- mode header (IIS + authentification Windows en frontal) ---</w:t>
      </w:r>
    </w:p>
    <w:p>
      <w:pPr>
        <w:pStyle w:val="Code"/>
      </w:pPr>
      <w:r>
        <w:t xml:space="preserve">    # header_name: X-Remote-User</w:t>
      </w:r>
    </w:p>
    <w:p>
      <w:pPr>
        <w:pStyle w:val="Code"/>
      </w:pPr>
      <w:r>
        <w:t xml:space="preserve">    # trusted_proxies: ["127.0.0.1"]</w:t>
      </w:r>
    </w:p>
    <w:p>
      <w:pPr>
        <w:pStyle w:val="Code"/>
      </w:pPr>
      <w:r>
        <w:t xml:space="preserve">    # allowed_users: []                         # vide = tout utilisateur authentifié par IIS</w:t>
      </w:r>
    </w:p>
    <w:p>
      <w:pPr>
        <w:pStyle w:val="Code"/>
      </w:pPr>
      <w:r>
        <w:t xml:space="preserve"> </w:t>
      </w:r>
    </w:p>
    <w:p>
      <w:pPr>
        <w:pStyle w:val="Code"/>
      </w:pPr>
      <w:r>
        <w:t xml:space="preserve"># ---------------------------------------------------------------------------</w:t>
      </w:r>
    </w:p>
    <w:p>
      <w:pPr>
        <w:pStyle w:val="Code"/>
      </w:pPr>
      <w:r>
        <w:t xml:space="preserve"># Envoi du rapport par e-mail (freelm send-report, tâche « Envoi des rapports »)</w:t>
      </w:r>
    </w:p>
    <w:p>
      <w:pPr>
        <w:pStyle w:val="Code"/>
      </w:pPr>
      <w:r>
        <w:t xml:space="preserve"># ---------------------------------------------------------------------------</w:t>
      </w:r>
    </w:p>
    <w:p>
      <w:pPr>
        <w:pStyle w:val="Code"/>
      </w:pPr>
      <w:r>
        <w:t xml:space="preserve"># email:</w:t>
      </w:r>
    </w:p>
    <w:p>
      <w:pPr>
        <w:pStyle w:val="Code"/>
      </w:pPr>
      <w:r>
        <w:t xml:space="preserve">#   smtp_host: smtp.entreprise.local</w:t>
      </w:r>
    </w:p>
    <w:p>
      <w:pPr>
        <w:pStyle w:val="Code"/>
      </w:pPr>
      <w:r>
        <w:t xml:space="preserve">#   smtp_port: 25                # 587 avec starttls + authentification, 465 avec ssl</w:t>
      </w:r>
    </w:p>
    <w:p>
      <w:pPr>
        <w:pStyle w:val="Code"/>
      </w:pPr>
      <w:r>
        <w:t xml:space="preserve">#   security: starttls           # starttls | ssl | none (none : interdit avec username)</w:t>
      </w:r>
    </w:p>
    <w:p>
      <w:pPr>
        <w:pStyle w:val="Code"/>
      </w:pPr>
      <w:r>
        <w:t xml:space="preserve">#   # username: svc_freelm@entreprise.local</w:t>
      </w:r>
    </w:p>
    <w:p>
      <w:pPr>
        <w:pStyle w:val="Code"/>
      </w:pPr>
      <w:r>
        <w:t xml:space="preserve">#   # password: ${FREELM_SMTP_PASSWORD}</w:t>
      </w:r>
    </w:p>
    <w:p>
      <w:pPr>
        <w:pStyle w:val="Code"/>
      </w:pPr>
      <w:r>
        <w:t xml:space="preserve">#   sender: "FreeLM &lt;freelm@entreprise.local&gt;"</w:t>
      </w:r>
    </w:p>
    <w:p>
      <w:pPr>
        <w:pStyle w:val="Code"/>
      </w:pPr>
      <w:r>
        <w:t xml:space="preserve">#   subscriptions:</w:t>
      </w:r>
    </w:p>
    <w:p>
      <w:pPr>
        <w:pStyle w:val="Code"/>
      </w:pPr>
      <w:r>
        <w:t xml:space="preserve">#     - name: Direction</w:t>
      </w:r>
    </w:p>
    <w:p>
      <w:pPr>
        <w:pStyle w:val="Code"/>
      </w:pPr>
      <w:r>
        <w:t xml:space="preserve">#       recipients: [dsi@entreprise.local, achats@entreprise.local]</w:t>
      </w:r>
    </w:p>
    <w:p>
      <w:pPr>
        <w:pStyle w:val="Code"/>
      </w:pPr>
      <w:r>
        <w:t xml:space="preserve">#       period: last-month       # last-month | last-week | last-7d | this-month | last-year</w:t>
      </w:r>
    </w:p>
    <w:p>
      <w:pPr>
        <w:pStyle w:val="Code"/>
      </w:pPr>
      <w:r>
        <w:t xml:space="preserve">#     - name: Simulation</w:t>
      </w:r>
    </w:p>
    <w:p>
      <w:pPr>
        <w:pStyle w:val="Code"/>
      </w:pPr>
      <w:r>
        <w:t xml:space="preserve">#       recipients: [responsable.simulation@entreprise.local]</w:t>
      </w:r>
    </w:p>
    <w:p>
      <w:pPr>
        <w:pStyle w:val="Code"/>
      </w:pPr>
      <w:r>
        <w:t xml:space="preserve">#       servers: [ANSYS]</w:t>
      </w:r>
    </w:p>
    <w:p>
      <w:pPr>
        <w:pStyle w:val="Code"/>
      </w:pPr>
      <w:r>
        <w:t xml:space="preserve">#       attach_excel: true</w:t>
      </w:r>
    </w:p>
    <w:p>
      <w:pPr>
        <w:pStyle w:val="Code"/>
      </w:pPr>
      <w:r>
        <w:t xml:space="preserve"> </w:t>
      </w:r>
    </w:p>
    <w:p>
      <w:pPr>
        <w:pStyle w:val="Code"/>
      </w:pPr>
      <w:r>
        <w:t xml:space="preserve">retention:</w:t>
      </w:r>
    </w:p>
    <w:p>
      <w:pPr>
        <w:pStyle w:val="Code"/>
      </w:pPr>
      <w:r>
        <w:t xml:space="preserve">  snapshots_days: 90       # sondages bruts ; les agrégats horaires sont conservés</w:t>
      </w:r>
    </w:p>
    <w:p>
      <w:pPr>
        <w:pStyle w:val="Code"/>
      </w:pPr>
      <w:r>
        <w:t xml:space="preserve">  events_days: 730         # refus, journal des collectes</w:t>
      </w:r>
    </w:p>
    <w:p>
      <w:pPr>
        <w:pStyle w:val="Heading1"/>
      </w:pPr>
      <w:bookmarkStart w:id="134" w:name="_Toc00134"/>
      <w:r>
        <w:rPr/>
        <w:t xml:space="preserve">Annexe C. Requêtes SQL utiles</w:t>
      </w:r>
      <w:bookmarkEnd w:id="134"/>
    </w:p>
    <w:p>
      <w:pPr/>
      <w:r>
        <w:rPr>
          <w:b/>
        </w:rPr>
        <w:t xml:space="preserve">Dernière collecte réussie par serveur</w:t>
      </w:r>
      <w:r>
        <w:rPr/>
        <w:t xml:space="preserve"> (supervision) :</w:t>
      </w:r>
    </w:p>
    <w:p>
      <w:pPr>
        <w:pStyle w:val="Code"/>
      </w:pPr>
      <w:r>
        <w:t xml:space="preserve">SELECT s.name, r.collector, MAX(r.started_at) AS derniere_ok</w:t>
      </w:r>
    </w:p>
    <w:p>
      <w:pPr>
        <w:pStyle w:val="Code"/>
      </w:pPr>
      <w:r>
        <w:t xml:space="preserve">FROM collection_run r</w:t>
      </w:r>
    </w:p>
    <w:p>
      <w:pPr>
        <w:pStyle w:val="Code"/>
      </w:pPr>
      <w:r>
        <w:t xml:space="preserve">JOIN license_server s ON s.id = r.server_id</w:t>
      </w:r>
    </w:p>
    <w:p>
      <w:pPr>
        <w:pStyle w:val="Code"/>
      </w:pPr>
      <w:r>
        <w:t xml:space="preserve">WHERE r.status = 'OK'</w:t>
      </w:r>
    </w:p>
    <w:p>
      <w:pPr>
        <w:pStyle w:val="Code"/>
      </w:pPr>
      <w:r>
        <w:t xml:space="preserve">GROUP BY s.name, r.collector</w:t>
      </w:r>
    </w:p>
    <w:p>
      <w:pPr>
        <w:pStyle w:val="Code"/>
      </w:pPr>
      <w:r>
        <w:t xml:space="preserve">ORDER BY derniere_ok;</w:t>
      </w:r>
    </w:p>
    <w:p>
      <w:pPr/>
      <w:r>
        <w:rPr>
          <w:b/>
        </w:rPr>
        <w:t xml:space="preserve">Échecs de collecte des dernières 24 heures</w:t>
      </w:r>
      <w:r>
        <w:rPr/>
        <w:t xml:space="preserve"> :</w:t>
      </w:r>
    </w:p>
    <w:p>
      <w:pPr>
        <w:pStyle w:val="Code"/>
      </w:pPr>
      <w:r>
        <w:t xml:space="preserve">SELECT s.name, r.collector, r.started_at, r.message</w:t>
      </w:r>
    </w:p>
    <w:p>
      <w:pPr>
        <w:pStyle w:val="Code"/>
      </w:pPr>
      <w:r>
        <w:t xml:space="preserve">FROM collection_run r</w:t>
      </w:r>
    </w:p>
    <w:p>
      <w:pPr>
        <w:pStyle w:val="Code"/>
      </w:pPr>
      <w:r>
        <w:t xml:space="preserve">JOIN license_server s ON s.id = r.server_id</w:t>
      </w:r>
    </w:p>
    <w:p>
      <w:pPr>
        <w:pStyle w:val="Code"/>
      </w:pPr>
      <w:r>
        <w:t xml:space="preserve">WHERE r.status = 'ERROR'</w:t>
      </w:r>
    </w:p>
    <w:p>
      <w:pPr>
        <w:pStyle w:val="Code"/>
      </w:pPr>
      <w:r>
        <w:t xml:space="preserve">  AND r.started_at &gt;= DATEADD(HOUR, -24, SYSDATETIME())</w:t>
      </w:r>
    </w:p>
    <w:p>
      <w:pPr>
        <w:pStyle w:val="Code"/>
      </w:pPr>
      <w:r>
        <w:t xml:space="preserve">ORDER BY r.started_at DESC;</w:t>
      </w:r>
    </w:p>
    <w:p>
      <w:pPr/>
      <w:r>
        <w:rPr>
          <w:b/>
        </w:rPr>
        <w:t xml:space="preserve">Sessions en cours</w:t>
      </w:r>
      <w:r>
        <w:rPr/>
        <w:t xml:space="preserve"> :</w:t>
      </w:r>
    </w:p>
    <w:p>
      <w:pPr>
        <w:pStyle w:val="Code"/>
      </w:pPr>
      <w:r>
        <w:t xml:space="preserve">SELECT * FROM v_session_detail WHERE checkin_time IS NULL ORDER BY checkout_time;</w:t>
      </w:r>
    </w:p>
    <w:p>
      <w:pPr/>
      <w:r>
        <w:rPr>
          <w:b/>
        </w:rPr>
        <w:t xml:space="preserve">Taille de la base et des tables</w:t>
      </w:r>
      <w:r>
        <w:rPr/>
        <w:t xml:space="preserve"> :</w:t>
      </w:r>
    </w:p>
    <w:p>
      <w:pPr>
        <w:pStyle w:val="Code"/>
      </w:pPr>
      <w:r>
        <w:t xml:space="preserve">EXEC sp_spaceused;</w:t>
      </w:r>
    </w:p>
    <w:p>
      <w:pPr>
        <w:pStyle w:val="Code"/>
      </w:pPr>
      <w:r>
        <w:t xml:space="preserve">EXEC sp_spaceused 'usage_snapshot';</w:t>
      </w:r>
    </w:p>
    <w:p>
      <w:pPr>
        <w:pStyle w:val="Code"/>
      </w:pPr>
      <w:r>
        <w:t xml:space="preserve">EXEC sp_spaceused 'license_session';</w:t>
      </w:r>
    </w:p>
    <w:p>
      <w:pPr/>
      <w:r>
        <w:rPr>
          <w:b/>
        </w:rPr>
        <w:t xml:space="preserve">Version du schéma</w:t>
      </w:r>
      <w:r>
        <w:rPr/>
        <w:t xml:space="preserve"> :</w:t>
      </w:r>
    </w:p>
    <w:p>
      <w:pPr>
        <w:pStyle w:val="Code"/>
      </w:pPr>
      <w:r>
        <w:t xml:space="preserve">SELECT * FROM schema_info;</w:t>
      </w:r>
    </w:p>
    <w:p>
      <w:pPr/>
      <w:r>
        <w:rPr>
          <w:b/>
        </w:rPr>
        <w:t xml:space="preserve">Purge complémentaire des sessions de plus de 3 ans</w:t>
      </w:r>
      <w:r>
        <w:rPr/>
        <w:t xml:space="preserve"> (si décidé avec le DPO ; sauvegarder avant) :</w:t>
      </w:r>
    </w:p>
    <w:p>
      <w:pPr>
        <w:pStyle w:val="Code"/>
      </w:pPr>
      <w:r>
        <w:t xml:space="preserve">DELETE FROM license_session WHERE checkout_time &lt; DATEADD(YEAR, -3, SYSDATETIME());</w:t>
      </w:r>
    </w:p>
    <w:p>
      <w:pPr>
        <w:pStyle w:val="Heading1"/>
      </w:pPr>
      <w:bookmarkStart w:id="135" w:name="_Toc00135"/>
      <w:r>
        <w:rPr/>
        <w:t xml:space="preserve">Annexe D. Fiche de contrôle quotidien</w:t>
      </w:r>
      <w:bookmarkEnd w:id="135"/>
    </w:p>
    <w:p>
      <w:pPr>
        <w:pStyle w:val="Caption"/>
        <w:keepNext/>
      </w:pPr>
      <w:r>
        <w:rPr/>
        <w:t xml:space="preserve">Tableau 37 – Fiche de contrôle quotidien</w:t>
      </w:r>
    </w:p>
    <w:tbl>
      <w:tblPr>
        <w:tblW w:w="9638" w:type="dxa"/>
        <w:tblBorders>
          <w:top w:val="single" w:sz="4" w:color="D9D8D2"/>
          <w:left w:val="single" w:sz="4" w:color="D9D8D2"/>
          <w:bottom w:val="single" w:sz="4" w:color="D9D8D2"/>
          <w:right w:val="single" w:sz="4" w:color="D9D8D2"/>
          <w:insideH w:val="single" w:sz="4" w:color="D9D8D2"/>
          <w:insideV w:val="single" w:sz="4" w:color="D9D8D2"/>
        </w:tblBorders>
        <w:tblLayout w:type="fixed"/>
        <w:tblCellMar>
          <w:top w:w="50" w:type="dxa"/>
          <w:left w:w="90" w:type="dxa"/>
          <w:bottom w:w="50" w:type="dxa"/>
          <w:right w:w="90" w:type="dxa"/>
        </w:tblCellMar>
      </w:tblPr>
      <w:tblGrid>
        <w:gridCol w:w="1268"/>
        <w:gridCol w:w="1648"/>
        <w:gridCol w:w="1648"/>
        <w:gridCol w:w="1268"/>
        <w:gridCol w:w="2789"/>
        <w:gridCol w:w="1014"/>
      </w:tblGrid>
      <w:tr>
        <w:trPr>
          <w:tblHeader/>
          <w:cantSplit/>
        </w:trPr>
        <w:tc>
          <w:tcPr>
            <w:tcW w:w="1268" w:type="dxa"/>
            <w:shd w:val="clear" w:color="auto" w:fill="2A78D6"/>
          </w:tcPr>
          <w:p>
            <w:pPr>
              <w:pStyle w:val="TableText"/>
            </w:pPr>
            <w:r>
              <w:rPr>
                <w:b/>
                <w:color w:val="FFFFFF"/>
                <w:sz w:val="18"/>
                <w:szCs w:val="18"/>
              </w:rPr>
              <w:t xml:space="preserve">Date</w:t>
            </w:r>
          </w:p>
        </w:tc>
        <w:tc>
          <w:tcPr>
            <w:tcW w:w="1648" w:type="dxa"/>
            <w:shd w:val="clear" w:color="auto" w:fill="2A78D6"/>
          </w:tcPr>
          <w:p>
            <w:pPr>
              <w:pStyle w:val="TableText"/>
            </w:pPr>
            <w:r>
              <w:rPr>
                <w:b/>
                <w:color w:val="FFFFFF"/>
                <w:sz w:val="18"/>
                <w:szCs w:val="18"/>
              </w:rPr>
              <w:t xml:space="preserve">Badge « Collectes OK »</w:t>
            </w:r>
          </w:p>
        </w:tc>
        <w:tc>
          <w:tcPr>
            <w:tcW w:w="1648" w:type="dxa"/>
            <w:shd w:val="clear" w:color="auto" w:fill="2A78D6"/>
          </w:tcPr>
          <w:p>
            <w:pPr>
              <w:pStyle w:val="TableText"/>
            </w:pPr>
            <w:r>
              <w:rPr>
                <w:b/>
                <w:color w:val="FFFFFF"/>
                <w:sz w:val="18"/>
                <w:szCs w:val="18"/>
              </w:rPr>
              <w:t xml:space="preserve">Alertes critiques</w:t>
            </w:r>
          </w:p>
        </w:tc>
        <w:tc>
          <w:tcPr>
            <w:tcW w:w="1268" w:type="dxa"/>
            <w:shd w:val="clear" w:color="auto" w:fill="2A78D6"/>
          </w:tcPr>
          <w:p>
            <w:pPr>
              <w:pStyle w:val="TableText"/>
            </w:pPr>
            <w:r>
              <w:rPr>
                <w:b/>
                <w:color w:val="FFFFFF"/>
                <w:sz w:val="18"/>
                <w:szCs w:val="18"/>
              </w:rPr>
              <w:t xml:space="preserve">Tâches 0x0</w:t>
            </w:r>
          </w:p>
        </w:tc>
        <w:tc>
          <w:tcPr>
            <w:tcW w:w="2789" w:type="dxa"/>
            <w:shd w:val="clear" w:color="auto" w:fill="2A78D6"/>
          </w:tcPr>
          <w:p>
            <w:pPr>
              <w:pStyle w:val="TableText"/>
            </w:pPr>
            <w:r>
              <w:rPr>
                <w:b/>
                <w:color w:val="FFFFFF"/>
                <w:sz w:val="18"/>
                <w:szCs w:val="18"/>
              </w:rPr>
              <w:t xml:space="preserve">Action / incident</w:t>
            </w:r>
          </w:p>
        </w:tc>
        <w:tc>
          <w:tcPr>
            <w:tcW w:w="1014" w:type="dxa"/>
            <w:shd w:val="clear" w:color="auto" w:fill="2A78D6"/>
          </w:tcPr>
          <w:p>
            <w:pPr>
              <w:pStyle w:val="TableText"/>
            </w:pPr>
            <w:r>
              <w:rPr>
                <w:b/>
                <w:color w:val="FFFFFF"/>
                <w:sz w:val="18"/>
                <w:szCs w:val="18"/>
              </w:rPr>
              <w:t xml:space="preserve">Visa</w:t>
            </w: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r>
        <w:trPr>
          <w:cantSplit/>
        </w:trPr>
        <w:tc>
          <w:tcPr>
            <w:tcW w:w="1268" w:type="dxa"/>
          </w:tcPr>
          <w:p>
            <w:pPr>
              <w:pStyle w:val="TableText"/>
            </w:pPr>
          </w:p>
        </w:tc>
        <w:tc>
          <w:tcPr>
            <w:tcW w:w="1648" w:type="dxa"/>
          </w:tcPr>
          <w:p>
            <w:pPr>
              <w:pStyle w:val="TableText"/>
            </w:pPr>
            <w:r>
              <w:rPr>
                <w:sz w:val="18"/>
                <w:szCs w:val="18"/>
              </w:rPr>
              <w:t xml:space="preserve">☐</w:t>
            </w:r>
          </w:p>
        </w:tc>
        <w:tc>
          <w:tcPr>
            <w:tcW w:w="1648" w:type="dxa"/>
          </w:tcPr>
          <w:p>
            <w:pPr>
              <w:pStyle w:val="TableText"/>
            </w:pPr>
            <w:r>
              <w:rPr>
                <w:sz w:val="18"/>
                <w:szCs w:val="18"/>
              </w:rPr>
              <w:t xml:space="preserve">☐ aucune</w:t>
            </w:r>
          </w:p>
        </w:tc>
        <w:tc>
          <w:tcPr>
            <w:tcW w:w="1268" w:type="dxa"/>
          </w:tcPr>
          <w:p>
            <w:pPr>
              <w:pStyle w:val="TableText"/>
            </w:pPr>
            <w:r>
              <w:rPr>
                <w:sz w:val="18"/>
                <w:szCs w:val="18"/>
              </w:rPr>
              <w:t xml:space="preserve">☐</w:t>
            </w:r>
          </w:p>
        </w:tc>
        <w:tc>
          <w:tcPr>
            <w:tcW w:w="2789" w:type="dxa"/>
          </w:tcPr>
          <w:p>
            <w:pPr>
              <w:pStyle w:val="TableText"/>
            </w:pPr>
          </w:p>
        </w:tc>
        <w:tc>
          <w:tcPr>
            <w:tcW w:w="1014" w:type="dxa"/>
          </w:tcPr>
          <w:p>
            <w:pPr>
              <w:pStyle w:val="TableText"/>
            </w:pPr>
          </w:p>
        </w:tc>
      </w:tr>
      <w:tr>
        <w:trPr>
          <w:cantSplit/>
        </w:trPr>
        <w:tc>
          <w:tcPr>
            <w:tcW w:w="1268" w:type="dxa"/>
            <w:shd w:val="clear" w:color="auto" w:fill="F4F7FC"/>
          </w:tcPr>
          <w:p>
            <w:pPr>
              <w:pStyle w:val="TableText"/>
            </w:pPr>
          </w:p>
        </w:tc>
        <w:tc>
          <w:tcPr>
            <w:tcW w:w="1648" w:type="dxa"/>
            <w:shd w:val="clear" w:color="auto" w:fill="F4F7FC"/>
          </w:tcPr>
          <w:p>
            <w:pPr>
              <w:pStyle w:val="TableText"/>
            </w:pPr>
            <w:r>
              <w:rPr>
                <w:sz w:val="18"/>
                <w:szCs w:val="18"/>
              </w:rPr>
              <w:t xml:space="preserve">☐</w:t>
            </w:r>
          </w:p>
        </w:tc>
        <w:tc>
          <w:tcPr>
            <w:tcW w:w="1648" w:type="dxa"/>
            <w:shd w:val="clear" w:color="auto" w:fill="F4F7FC"/>
          </w:tcPr>
          <w:p>
            <w:pPr>
              <w:pStyle w:val="TableText"/>
            </w:pPr>
            <w:r>
              <w:rPr>
                <w:sz w:val="18"/>
                <w:szCs w:val="18"/>
              </w:rPr>
              <w:t xml:space="preserve">☐ aucune</w:t>
            </w:r>
          </w:p>
        </w:tc>
        <w:tc>
          <w:tcPr>
            <w:tcW w:w="1268" w:type="dxa"/>
            <w:shd w:val="clear" w:color="auto" w:fill="F4F7FC"/>
          </w:tcPr>
          <w:p>
            <w:pPr>
              <w:pStyle w:val="TableText"/>
            </w:pPr>
            <w:r>
              <w:rPr>
                <w:sz w:val="18"/>
                <w:szCs w:val="18"/>
              </w:rPr>
              <w:t xml:space="preserve">☐</w:t>
            </w:r>
          </w:p>
        </w:tc>
        <w:tc>
          <w:tcPr>
            <w:tcW w:w="2789" w:type="dxa"/>
            <w:shd w:val="clear" w:color="auto" w:fill="F4F7FC"/>
          </w:tcPr>
          <w:p>
            <w:pPr>
              <w:pStyle w:val="TableText"/>
            </w:pPr>
          </w:p>
        </w:tc>
        <w:tc>
          <w:tcPr>
            <w:tcW w:w="1014" w:type="dxa"/>
            <w:shd w:val="clear" w:color="auto" w:fill="F4F7FC"/>
          </w:tcPr>
          <w:p>
            <w:pPr>
              <w:pStyle w:val="TableText"/>
            </w:pPr>
          </w:p>
        </w:tc>
      </w:tr>
    </w:tbl>
    <w:p>
      <w:pPr>
        <w:spacing w:after="80"/>
      </w:pPr>
    </w:p>
    <w:sectPr>
      <w:headerReference w:type="default" r:id="rIdHdr"/>
      <w:headerReference w:type="first" r:id="rIdHdr1"/>
      <w:footerReference w:type="default" r:id="rIdFtr"/>
      <w:footerReference w:type="first" r:id="rIdFtr1"/>
      <w:pgSz w:w="11906" w:h="16838"/>
      <w:pgMar w:top="1418" w:right="1134" w:bottom="1247" w:left="1134" w:header="567"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tabs>
        <w:tab w:val="right" w:pos="9638"/>
      </w:tabs>
    </w:pPr>
    <w:r>
      <w:rPr>
        <w:color w:val="5F5E5A"/>
        <w:sz w:val="16"/>
        <w:szCs w:val="16"/>
      </w:rPr>
      <w:t xml:space="preserve">Diffusion interne — FreeLM, logiciel libre (licence MIT)</w:t>
    </w:r>
    <w:r>
      <w:tab/>
    </w:r>
    <w:r>
      <w:rPr>
        <w:color w:val="5F5E5A"/>
        <w:sz w:val="16"/>
        <w:szCs w:val="16"/>
      </w:rPr>
      <w:t xml:space="preserve">Page </w:t>
    </w:r>
    <w:r>
      <w:rPr>
        <w:color w:val="5F5E5A"/>
        <w:sz w:val="16"/>
      </w:rPr>
      <w:fldChar w:fldCharType="begin"/>
    </w:r>
    <w:r>
      <w:rPr>
        <w:color w:val="5F5E5A"/>
        <w:sz w:val="16"/>
      </w:rPr>
      <w:instrText xml:space="preserve"> PAGE </w:instrText>
    </w:r>
    <w:r>
      <w:rPr>
        <w:color w:val="5F5E5A"/>
        <w:sz w:val="16"/>
      </w:rPr>
      <w:fldChar w:fldCharType="separate"/>
    </w:r>
    <w:r>
      <w:rPr>
        <w:color w:val="5F5E5A"/>
        <w:sz w:val="16"/>
      </w:rPr>
      <w:t>1</w:t>
    </w:r>
    <w:r>
      <w:rPr>
        <w:color w:val="5F5E5A"/>
        <w:sz w:val="16"/>
      </w:rPr>
      <w:fldChar w:fldCharType="end"/>
    </w:r>
    <w:r>
      <w:rPr>
        <w:color w:val="5F5E5A"/>
        <w:sz w:val="16"/>
        <w:szCs w:val="16"/>
      </w:rPr>
      <w:t xml:space="preserve"> / </w:t>
    </w:r>
    <w:r>
      <w:rPr>
        <w:color w:val="5F5E5A"/>
        <w:sz w:val="16"/>
      </w:rPr>
      <w:fldChar w:fldCharType="begin"/>
    </w:r>
    <w:r>
      <w:rPr>
        <w:color w:val="5F5E5A"/>
        <w:sz w:val="16"/>
      </w:rPr>
      <w:instrText xml:space="preserve"> NUMPAGES </w:instrText>
    </w:r>
    <w:r>
      <w:rPr>
        <w:color w:val="5F5E5A"/>
        <w:sz w:val="16"/>
      </w:rPr>
      <w:fldChar w:fldCharType="separate"/>
    </w:r>
    <w:r>
      <w:rPr>
        <w:color w:val="5F5E5A"/>
        <w:sz w:val="16"/>
      </w:rPr>
      <w:t>1</w:t>
    </w:r>
    <w:r>
      <w:rPr>
        <w:color w:val="5F5E5A"/>
        <w:sz w:val="16"/>
      </w:rP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tabs>
        <w:tab w:val="right" w:pos="9638"/>
      </w:tabs>
    </w:pPr>
    <w:r>
      <w:rPr>
        <w:color w:val="5F5E5A"/>
        <w:sz w:val="16"/>
        <w:szCs w:val="16"/>
      </w:rPr>
      <w:t xml:space="preserve">FreeLM — Dossier d'exploitation (DEX)</w:t>
    </w:r>
    <w:r>
      <w:tab/>
    </w:r>
    <w:r>
      <w:rPr>
        <w:color w:val="5F5E5A"/>
        <w:sz w:val="16"/>
        <w:szCs w:val="16"/>
      </w:rPr>
      <w:t xml:space="preserve">Version 1.0</w:t>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hd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hybridMultilevel"/>
    <w:lvl w:ilvl="0">
      <w:start w:val="1"/>
      <w:numFmt w:val="bullet"/>
      <w:lvlText w:val="•"/>
      <w:lvlJc w:val="left"/>
      <w:pPr>
        <w:ind w:left="426" w:hanging="284"/>
      </w:pPr>
      <w:rPr>
        <w:color w:val="2A78D6"/>
      </w:rPr>
    </w:lvl>
    <w:lvl w:ilvl="1">
      <w:start w:val="1"/>
      <w:numFmt w:val="bullet"/>
      <w:lvlText w:val="–"/>
      <w:lvlJc w:val="left"/>
      <w:pPr>
        <w:ind w:left="786" w:hanging="284"/>
      </w:pPr>
      <w:rPr>
        <w:color w:val="2A78D6"/>
      </w:rPr>
    </w:lvl>
    <w:lvl w:ilvl="2">
      <w:start w:val="1"/>
      <w:numFmt w:val="bullet"/>
      <w:lvlText w:val="▪"/>
      <w:lvlJc w:val="left"/>
      <w:pPr>
        <w:ind w:left="1146" w:hanging="284"/>
      </w:pPr>
      <w:rPr>
        <w:color w:val="2A78D6"/>
      </w:rPr>
    </w:lvl>
  </w:abstractNum>
  <w:abstractNum w:abstractNumId="2">
    <w:multiLevelType w:val="hybridMultilevel"/>
    <w:lvl w:ilvl="0">
      <w:start w:val="1"/>
      <w:numFmt w:val="decimal"/>
      <w:lvlText w:val="%1."/>
      <w:lvlJc w:val="left"/>
      <w:pPr>
        <w:ind w:left="426" w:hanging="284"/>
      </w:pPr>
      <w:rPr/>
    </w:lvl>
    <w:lvl w:ilvl="1">
      <w:start w:val="1"/>
      <w:numFmt w:val="lowerLetter"/>
      <w:lvlText w:val="%2."/>
      <w:lvlJc w:val="left"/>
      <w:pPr>
        <w:ind w:left="786" w:hanging="284"/>
      </w:pPr>
      <w:rPr/>
    </w:lvl>
    <w:lvl w:ilvl="2">
      <w:start w:val="1"/>
      <w:numFmt w:val="lowerRoman"/>
      <w:lvlText w:val="%3."/>
      <w:lvlJc w:val="left"/>
      <w:pPr>
        <w:ind w:left="1146" w:hanging="284"/>
      </w:pPr>
      <w:rPr/>
    </w:lvl>
  </w:abstractNum>
  <w:num w:numId="1">
    <w:abstractNumId w:val="1"/>
    <w:lvlOverride w:ilvl="0">
      <w:startOverride w:val="1"/>
    </w:lvlOverride>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2"/>
    <w:lvlOverride w:ilvl="0">
      <w:startOverride w:val="1"/>
    </w:lvlOverride>
  </w:num>
  <w:num w:numId="7">
    <w:abstractNumId w:val="1"/>
    <w:lvlOverride w:ilvl="0">
      <w:startOverride w:val="1"/>
    </w:lvlOverride>
  </w:num>
  <w:num w:numId="8">
    <w:abstractNumId w:val="2"/>
    <w:lvlOverride w:ilvl="0">
      <w:startOverride w:val="1"/>
    </w:lvlOverride>
  </w:num>
  <w:num w:numId="9">
    <w:abstractNumId w:val="1"/>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8"/>
  <w:characterSpacingControl w:val="doNotCompress"/>
  <w:updateFields w:val="true"/>
  <w:compat>
    <w:compatSetting w:name="compatibilityMode" w:uri="http://schemas.microsoft.com/office/word" w:val="15"/>
  </w:compat>
  <w:themeFontLang w:val="fr-FR"/>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eastAsia="Calibri" w:cs="Calibri"/>
        <w:color w:val="1B1B1B"/>
        <w:sz w:val="21"/>
        <w:szCs w:val="21"/>
        <w:lang w:val="fr-FR"/>
      </w:rPr>
    </w:rPrDefault>
    <w:pPrDefault>
      <w:pPr>
        <w:spacing w:after="120" w:line="276" w:lineRule="auto"/>
      </w:pPr>
    </w:pPrDefault>
  </w:docDefaults>
  <w:style w:type="paragraph" w:styleId="Normal">
    <w:name w:val="Normal"/>
    <w:qFormat/>
    <w:pPr/>
    <w:rPr/>
  </w:style>
  <w:style w:type="paragraph" w:styleId="Title">
    <w:name w:val="Title"/>
    <w:basedOn w:val="Normal"/>
    <w:qFormat/>
    <w:pPr>
      <w:spacing w:after="120"/>
    </w:pPr>
    <w:rPr>
      <w:b/>
      <w:color w:val="FFFFFF"/>
      <w:sz w:val="60"/>
      <w:szCs w:val="60"/>
    </w:rPr>
  </w:style>
  <w:style w:type="paragraph" w:styleId="Subtitle">
    <w:name w:val="Subtitle"/>
    <w:basedOn w:val="Normal"/>
    <w:qFormat/>
    <w:pPr/>
    <w:rPr>
      <w:color w:val="FFFFFF"/>
      <w:sz w:val="28"/>
    </w:rPr>
  </w:style>
  <w:style w:type="paragraph" w:styleId="Heading1">
    <w:name w:val="heading 1"/>
    <w:basedOn w:val="Normal"/>
    <w:next w:val="Normal"/>
    <w:uiPriority w:val="9"/>
    <w:qFormat/>
    <w:pPr>
      <w:keepNext/>
      <w:keepLines/>
      <w:pageBreakBefore/>
      <w:pBdr>
        <w:bottom w:val="single" w:sz="12" w:space="6" w:color="2A78D6"/>
      </w:pBdr>
      <w:spacing w:before="0" w:after="240"/>
      <w:outlineLvl w:val="0"/>
    </w:pPr>
    <w:rPr>
      <w:b/>
      <w:color w:val="1C5CAB"/>
      <w:sz w:val="36"/>
      <w:szCs w:val="36"/>
    </w:rPr>
  </w:style>
  <w:style w:type="paragraph" w:styleId="Heading2">
    <w:name w:val="heading 2"/>
    <w:basedOn w:val="Normal"/>
    <w:next w:val="Normal"/>
    <w:uiPriority w:val="9"/>
    <w:qFormat/>
    <w:pPr>
      <w:keepNext/>
      <w:keepLines/>
      <w:spacing w:before="320" w:after="120"/>
      <w:outlineLvl w:val="1"/>
    </w:pPr>
    <w:rPr>
      <w:b/>
      <w:color w:val="2A78D6"/>
      <w:sz w:val="28"/>
      <w:szCs w:val="28"/>
    </w:rPr>
  </w:style>
  <w:style w:type="paragraph" w:styleId="Heading3">
    <w:name w:val="heading 3"/>
    <w:basedOn w:val="Normal"/>
    <w:next w:val="Normal"/>
    <w:uiPriority w:val="9"/>
    <w:qFormat/>
    <w:pPr>
      <w:keepNext/>
      <w:keepLines/>
      <w:spacing w:before="220" w:after="80"/>
      <w:outlineLvl w:val="2"/>
    </w:pPr>
    <w:rPr>
      <w:b/>
      <w:color w:val="1B1B1B"/>
      <w:sz w:val="23"/>
      <w:szCs w:val="23"/>
    </w:rPr>
  </w:style>
  <w:style w:type="paragraph" w:styleId="TOCHeading">
    <w:name w:val="TOC Heading"/>
    <w:basedOn w:val="Normal"/>
    <w:qFormat/>
    <w:pPr>
      <w:spacing w:after="240"/>
    </w:pPr>
    <w:rPr>
      <w:b/>
      <w:color w:val="1C5CAB"/>
      <w:sz w:val="36"/>
    </w:rPr>
  </w:style>
  <w:style w:type="paragraph" w:styleId="TOC1">
    <w:name w:val="toc 1"/>
    <w:basedOn w:val="Normal"/>
    <w:uiPriority w:val="39"/>
    <w:qFormat/>
    <w:pPr>
      <w:tabs>
        <w:tab w:val="right" w:leader="dot" w:pos="9638"/>
      </w:tabs>
      <w:spacing w:before="120" w:after="40"/>
      <w:ind w:left="0"/>
    </w:pPr>
    <w:rPr>
      <w:b/>
      <w:color w:val="1C5CAB"/>
    </w:rPr>
  </w:style>
  <w:style w:type="paragraph" w:styleId="TOC2">
    <w:name w:val="toc 2"/>
    <w:basedOn w:val="Normal"/>
    <w:uiPriority w:val="39"/>
    <w:qFormat/>
    <w:pPr>
      <w:tabs>
        <w:tab w:val="right" w:leader="dot" w:pos="9638"/>
      </w:tabs>
      <w:spacing w:before="0" w:after="40"/>
      <w:ind w:left="300"/>
    </w:pPr>
    <w:rPr/>
  </w:style>
  <w:style w:type="paragraph" w:styleId="TOC3">
    <w:name w:val="toc 3"/>
    <w:basedOn w:val="Normal"/>
    <w:uiPriority w:val="39"/>
    <w:qFormat/>
    <w:pPr>
      <w:tabs>
        <w:tab w:val="right" w:leader="dot" w:pos="9638"/>
      </w:tabs>
      <w:spacing w:before="0" w:after="40"/>
      <w:ind w:left="600"/>
    </w:pPr>
    <w:rPr>
      <w:sz w:val="20"/>
    </w:rPr>
  </w:style>
  <w:style w:type="paragraph" w:styleId="TableofFigures">
    <w:name w:val="table of figures"/>
    <w:basedOn w:val="Normal"/>
    <w:uiPriority w:val="99"/>
    <w:qFormat/>
    <w:pPr>
      <w:tabs>
        <w:tab w:val="right" w:leader="dot" w:pos="9638"/>
      </w:tabs>
      <w:spacing w:after="40"/>
    </w:pPr>
    <w:rPr>
      <w:sz w:val="20"/>
    </w:rPr>
  </w:style>
  <w:style w:type="paragraph" w:styleId="Caption">
    <w:name w:val="caption"/>
    <w:basedOn w:val="Normal"/>
    <w:next w:val="Normal"/>
    <w:uiPriority w:val="35"/>
    <w:qFormat/>
    <w:pPr>
      <w:spacing w:before="60" w:after="200"/>
      <w:jc w:val="center"/>
    </w:pPr>
    <w:rPr>
      <w:i/>
      <w:color w:val="5F5E5A"/>
      <w:sz w:val="18"/>
    </w:rPr>
  </w:style>
  <w:style w:type="paragraph" w:styleId="Figure">
    <w:name w:val="Figure"/>
    <w:basedOn w:val="Normal"/>
    <w:qFormat/>
    <w:pPr>
      <w:spacing w:before="120" w:after="40"/>
      <w:jc w:val="center"/>
    </w:pPr>
    <w:rPr/>
  </w:style>
  <w:style w:type="paragraph" w:styleId="ListParagraph">
    <w:name w:val="List Paragraph"/>
    <w:basedOn w:val="Normal"/>
    <w:uiPriority w:val="34"/>
    <w:qFormat/>
    <w:pPr>
      <w:spacing w:after="60"/>
      <w:ind w:left="720"/>
      <w:contextualSpacing/>
    </w:pPr>
    <w:rPr/>
  </w:style>
  <w:style w:type="paragraph" w:styleId="TableText">
    <w:name w:val="Table Text"/>
    <w:basedOn w:val="Normal"/>
    <w:qFormat/>
    <w:pPr>
      <w:spacing w:before="0" w:after="0" w:line="252" w:lineRule="auto"/>
    </w:pPr>
    <w:rPr>
      <w:sz w:val="18"/>
    </w:rPr>
  </w:style>
  <w:style w:type="paragraph" w:styleId="Code">
    <w:name w:val="Code"/>
    <w:basedOn w:val="Normal"/>
    <w:qFormat/>
    <w:pPr>
      <w:pBdr>
        <w:top w:val="single" w:sz="4" w:space="4" w:color="D9D8D2"/>
        <w:left w:val="single" w:sz="4" w:space="4" w:color="D9D8D2"/>
        <w:bottom w:val="single" w:sz="4" w:space="4" w:color="D9D8D2"/>
        <w:right w:val="single" w:sz="4" w:space="4" w:color="D9D8D2"/>
      </w:pBdr>
      <w:shd w:val="clear" w:color="auto" w:fill="F4F4F1"/>
      <w:spacing w:before="0" w:after="0" w:line="240" w:lineRule="auto"/>
      <w:ind w:left="113" w:right="113"/>
    </w:pPr>
    <w:rPr>
      <w:rFonts w:ascii="Consolas" w:hAnsi="Consolas" w:cs="Consolas"/>
      <w:color w:val="1B1B1B"/>
      <w:sz w:val="17"/>
    </w:rPr>
  </w:style>
  <w:style w:type="paragraph" w:styleId="Header">
    <w:name w:val="header"/>
    <w:basedOn w:val="Normal"/>
    <w:qFormat/>
    <w:pPr>
      <w:spacing w:after="0"/>
    </w:pPr>
    <w:rPr>
      <w:sz w:val="16"/>
    </w:rPr>
  </w:style>
  <w:style w:type="paragraph" w:styleId="Footer">
    <w:name w:val="footer"/>
    <w:basedOn w:val="Normal"/>
    <w:qFormat/>
    <w:pPr>
      <w:spacing w:after="0"/>
    </w:pPr>
    <w:rPr>
      <w:sz w:val="16"/>
    </w:rPr>
  </w:style>
  <w:style w:type="character" w:styleId="Hyperlink">
    <w:name w:val="Hyperlink"/>
    <w:rPr>
      <w:color w:val="2A78D6"/>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Hdr1" Type="http://schemas.openxmlformats.org/officeDocument/2006/relationships/header" Target="header2.xml"/><Relationship Id="rIdFtr1" Type="http://schemas.openxmlformats.org/officeDocument/2006/relationships/footer" Target="footer2.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 Id="rIdImg18" Type="http://schemas.openxmlformats.org/officeDocument/2006/relationships/image" Target="media/image18.png"/><Relationship Id="rIdImg19" Type="http://schemas.openxmlformats.org/officeDocument/2006/relationships/image" Target="media/image19.png"/><Relationship Id="rIdImg20" Type="http://schemas.openxmlformats.org/officeDocument/2006/relationships/image" Target="media/image20.png"/><Relationship Id="rIdImg21" Type="http://schemas.openxmlformats.org/officeDocument/2006/relationships/image" Target="media/image21.png"/><Relationship Id="rIdImg22" Type="http://schemas.openxmlformats.org/officeDocument/2006/relationships/image" Target="media/image22.png"/><Relationship Id="rIdImg23" Type="http://schemas.openxmlformats.org/officeDocument/2006/relationships/image" Target="media/image23.png"/><Relationship Id="rIdImg24" Type="http://schemas.openxmlformats.org/officeDocument/2006/relationships/image" Target="media/image24.png"/><Relationship Id="rIdImg25" Type="http://schemas.openxmlformats.org/officeDocument/2006/relationships/image" Target="media/image25.png"/><Relationship Id="rIdImg26" Type="http://schemas.openxmlformats.org/officeDocument/2006/relationships/image" Target="media/image26.png"/><Relationship Id="rIdImg27" Type="http://schemas.openxmlformats.org/officeDocument/2006/relationships/image" Target="media/image27.png"/><Relationship Id="rIdImg28" Type="http://schemas.openxmlformats.org/officeDocument/2006/relationships/image" Target="media/image28.png"/><Relationship Id="rIdImg29" Type="http://schemas.openxmlformats.org/officeDocument/2006/relationships/image" Target="media/image29.png"/><Relationship Id="rIdImg30" Type="http://schemas.openxmlformats.org/officeDocument/2006/relationships/image" Target="media/image30.png"/><Relationship Id="rIdImg31" Type="http://schemas.openxmlformats.org/officeDocument/2006/relationships/image" Target="media/image31.png"/><Relationship Id="rIdImg32" Type="http://schemas.openxmlformats.org/officeDocument/2006/relationships/image" Target="media/image32.png"/></Relationships>
</file>

<file path=docProps/app.xml><?xml version="1.0" encoding="utf-8"?>
<Properties xmlns="http://schemas.openxmlformats.org/officeDocument/2006/extended-properties">
  <Application>FreeLM</Application>
</Properties>
</file>

<file path=docProps/core.xml><?xml version="1.0" encoding="utf-8"?>
<cp:coreProperties xmlns:cp="http://schemas.openxmlformats.org/package/2006/metadata/core-properties" xmlns:dc="http://purl.org/dc/elements/1.1/" xmlns:dcterms="http://purl.org/dc/terms/" xmlns:xsi="http://www.w3.org/2001/XMLSchema-instance">
  <dc:title>FreeLM — Dossier d'exploitation</dc:title>
  <dc:subject>Dossier d'exploitation de l'application FreeLM</dc:subject>
  <dc:creator>Équipe FreeLM</dc:creator>
  <cp:lastModifiedBy>Équipe FreeLM</cp:lastModifiedBy>
  <dc:language>fr-FR</dc:language>
  <dcterms:created xsi:type="dcterms:W3CDTF">2026-09-27T15:40:27Z</dcterms:created>
  <dcterms:modified xsi:type="dcterms:W3CDTF">2026-09-27T15:40:27Z</dcterms:modified>
</cp:coreProperties>
</file>