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1.12  ·  Application HeptagonesLM 26.4.0  ·  05/10/2026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1.12 du 05/10/2026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26.4.0 (schéma de base v9)</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r>
        <w:trPr>
          <w:cantSplit/>
        </w:trPr>
        <w:tc>
          <w:tcPr>
            <w:tcW w:w="1070" w:type="dxa"/>
            <w:shd w:val="clear" w:color="auto" w:fill="F4F7FC"/>
          </w:tcPr>
          <w:p>
            <w:pPr>
              <w:pStyle w:val="TableText"/>
            </w:pPr>
            <w:r>
              <w:rPr>
                <w:sz w:val="18"/>
                <w:szCs w:val="18"/>
              </w:rPr>
              <w:t xml:space="preserve">1.7</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26.3.0 : tickets ITSM ServiceNow, Jira, GLPI et webhook (§ 6.2, 8.12), rôles par service (§ 6.2, 8.13), emprunts, réservations, multi-sites et licences inutilisées (§ 8.14).</w:t>
            </w:r>
          </w:p>
        </w:tc>
      </w:tr>
      <w:tr>
        <w:trPr>
          <w:cantSplit/>
        </w:trPr>
        <w:tc>
          <w:tcPr>
            <w:tcW w:w="1070" w:type="dxa"/>
          </w:tcPr>
          <w:p>
            <w:pPr>
              <w:pStyle w:val="TableText"/>
            </w:pPr>
            <w:r>
              <w:rPr>
                <w:sz w:val="18"/>
                <w:szCs w:val="18"/>
              </w:rPr>
              <w:t xml:space="preserve">1.8</w:t>
            </w:r>
          </w:p>
        </w:tc>
        <w:tc>
          <w:tcPr>
            <w:tcW w:w="1338" w:type="dxa"/>
          </w:tcPr>
          <w:p>
            <w:pPr>
              <w:pStyle w:val="TableText"/>
            </w:pPr>
            <w:r>
              <w:rPr>
                <w:sz w:val="18"/>
                <w:szCs w:val="18"/>
              </w:rPr>
              <w:t xml:space="preserve">01/10/2026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Version 26.3.0 publiée : HeptagonesLM-Setup.exe seul fichier livré (§ 3.2, 5.2), bouton « Rechercher l'outil » et chemin de lmutil (dossier ou script accepté, § 5.1), bandeau « Démonstration » et lancement de HeptagonesLM.exe (§ 11.2, annexe A).</w:t>
            </w:r>
          </w:p>
        </w:tc>
      </w:tr>
      <w:tr>
        <w:trPr>
          <w:cantSplit/>
        </w:trPr>
        <w:tc>
          <w:tcPr>
            <w:tcW w:w="1070" w:type="dxa"/>
            <w:shd w:val="clear" w:color="auto" w:fill="F4F7FC"/>
          </w:tcPr>
          <w:p>
            <w:pPr>
              <w:pStyle w:val="TableText"/>
            </w:pPr>
            <w:r>
              <w:rPr>
                <w:sz w:val="18"/>
                <w:szCs w:val="18"/>
              </w:rPr>
              <w:t xml:space="preserve">1.9</w:t>
            </w:r>
          </w:p>
        </w:tc>
        <w:tc>
          <w:tcPr>
            <w:tcW w:w="1338" w:type="dxa"/>
            <w:shd w:val="clear" w:color="auto" w:fill="F4F7FC"/>
          </w:tcPr>
          <w:p>
            <w:pPr>
              <w:pStyle w:val="TableText"/>
            </w:pPr>
            <w:r>
              <w:rPr>
                <w:sz w:val="18"/>
                <w:szCs w:val="18"/>
              </w:rPr>
              <w:t xml:space="preserve">01/10/2026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Assistant : étape « Tickets ITSM » avec ticket de test (§ 5.1, 8.12) ; mot de passe ou jetons de l'outil ITSM chiffrés par Windows (DPAPI) dans secrets (§ 5.1, 9.1, 10.1, 13).</w:t>
            </w:r>
          </w:p>
        </w:tc>
      </w:tr>
      <w:tr>
        <w:trPr>
          <w:cantSplit/>
        </w:trPr>
        <w:tc>
          <w:tcPr>
            <w:tcW w:w="1070" w:type="dxa"/>
          </w:tcPr>
          <w:p>
            <w:pPr>
              <w:pStyle w:val="TableText"/>
            </w:pPr>
            <w:r>
              <w:rPr>
                <w:sz w:val="18"/>
                <w:szCs w:val="18"/>
              </w:rPr>
              <w:t xml:space="preserve">1.10</w:t>
            </w:r>
          </w:p>
        </w:tc>
        <w:tc>
          <w:tcPr>
            <w:tcW w:w="1338" w:type="dxa"/>
          </w:tcPr>
          <w:p>
            <w:pPr>
              <w:pStyle w:val="TableText"/>
            </w:pPr>
            <w:r>
              <w:rPr>
                <w:sz w:val="18"/>
                <w:szCs w:val="18"/>
              </w:rPr>
              <w:t xml:space="preserve">02/10/2026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Lot 26.3.1 : vérification du serveur accélérée, recette sur site dans l'assistant (comparaison feature par feature avec lmstat / rlmstat, refus hors du groupe, PV de recette Word et archive des preuves, § 5.1 et 5.3) ; licences Autodesk « utilisateur nommé » importées des exports du portail Autodesk Account (§ 6.2, 7.1, 8.15, 12.1).</w:t>
            </w:r>
          </w:p>
        </w:tc>
      </w:tr>
      <w:tr>
        <w:trPr>
          <w:cantSplit/>
        </w:trPr>
        <w:tc>
          <w:tcPr>
            <w:tcW w:w="1070" w:type="dxa"/>
            <w:shd w:val="clear" w:color="auto" w:fill="F4F7FC"/>
          </w:tcPr>
          <w:p>
            <w:pPr>
              <w:pStyle w:val="TableText"/>
            </w:pPr>
            <w:r>
              <w:rPr>
                <w:sz w:val="18"/>
                <w:szCs w:val="18"/>
              </w:rPr>
              <w:t xml:space="preserve">1.11</w:t>
            </w:r>
          </w:p>
        </w:tc>
        <w:tc>
          <w:tcPr>
            <w:tcW w:w="1338" w:type="dxa"/>
            <w:shd w:val="clear" w:color="auto" w:fill="F4F7FC"/>
          </w:tcPr>
          <w:p>
            <w:pPr>
              <w:pStyle w:val="TableText"/>
            </w:pPr>
            <w:r>
              <w:rPr>
                <w:sz w:val="18"/>
                <w:szCs w:val="18"/>
              </w:rPr>
              <w:t xml:space="preserve">04/10/2026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26.3.3 : mise à jour en place depuis le Setup et réglages personnalisés conservés (§ 5.1, 12.1), Setup sans console, icône sur le bureau et relance automatique de l'interface (§ 5.1, 7.1, 11.2), connecteur API Autodesk et licences nommées dans toutes les rubriques (§ 3.5, 8.15), rubrique Administration et groupe des administrateurs (§ 8.16, 10.2, 12.2, 12.3), garde-fou contre le simulateur de serveurs de licences (§ 10.6, 11.2).</w:t>
            </w:r>
          </w:p>
        </w:tc>
      </w:tr>
      <w:tr>
        <w:trPr>
          <w:cantSplit/>
        </w:trPr>
        <w:tc>
          <w:tcPr>
            <w:tcW w:w="1070" w:type="dxa"/>
          </w:tcPr>
          <w:p>
            <w:pPr>
              <w:pStyle w:val="TableText"/>
            </w:pPr>
            <w:r>
              <w:rPr>
                <w:sz w:val="18"/>
                <w:szCs w:val="18"/>
              </w:rPr>
              <w:t xml:space="preserve">1.12</w:t>
            </w:r>
          </w:p>
        </w:tc>
        <w:tc>
          <w:tcPr>
            <w:tcW w:w="1338" w:type="dxa"/>
          </w:tcPr>
          <w:p>
            <w:pPr>
              <w:pStyle w:val="TableText"/>
            </w:pPr>
            <w:r>
              <w:rPr>
                <w:sz w:val="18"/>
                <w:szCs w:val="18"/>
              </w:rPr>
              <w:t xml:space="preserve">05/10/2026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26.4.0 : prévision du besoin à 3, 6 et 12 mois et rapport de renouvellement (§ 8.17), refacturation par projet et import de l'affectation des utilisateurs (§ 8.18, 6.2), rapports planifiés sur mesure et leur gestion dans l'Administration (§ 8.11, 8.16, 6.2), schéma v9 (§ 12.1).</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6" w:history="1">
        <w:r>
          <w:t xml:space="preserve">Authentification unique : SPN, zone Intranet et test depuis un poste</w:t>
        </w:r>
        <w:r>
          <w:tab/>
        </w:r>
        <w:r>
          <w:t>21</w:t>
        </w:r>
      </w:hyperlink>
    </w:p>
    <w:p>
      <w:pPr>
        <w:pStyle w:val="TOC3"/>
      </w:pPr>
      <w:hyperlink w:anchor="_Toc00038" w:history="1">
        <w:r>
          <w:t xml:space="preserve">Installation silencieuse et serveur hors ligne</w:t>
        </w:r>
        <w:r>
          <w:tab/>
        </w:r>
        <w:r>
          <w:t>22</w:t>
        </w:r>
      </w:hyperlink>
    </w:p>
    <w:p>
      <w:pPr>
        <w:pStyle w:val="TOC3"/>
      </w:pPr>
      <w:hyperlink w:anchor="_Toc00039" w:history="1">
        <w:r>
          <w:t xml:space="preserve">Mise à jour, réglages et fermeture de l'assistant</w:t>
        </w:r>
        <w:r>
          <w:tab/>
        </w:r>
        <w:r>
          <w:t>24</w:t>
        </w:r>
      </w:hyperlink>
    </w:p>
    <w:p>
      <w:pPr>
        <w:pStyle w:val="TOC2"/>
      </w:pPr>
      <w:hyperlink w:anchor="_Toc00040" w:history="1">
        <w:r>
          <w:t xml:space="preserve">5.2 Installation manuelle</w:t>
        </w:r>
        <w:r>
          <w:tab/>
        </w:r>
        <w:r>
          <w:t>24</w:t>
        </w:r>
      </w:hyperlink>
    </w:p>
    <w:p>
      <w:pPr>
        <w:pStyle w:val="TOC3"/>
      </w:pPr>
      <w:hyperlink w:anchor="_Toc00041" w:history="1">
        <w:r>
          <w:t xml:space="preserve">5.2.1 Création de la base (DBA)</w:t>
        </w:r>
        <w:r>
          <w:tab/>
        </w:r>
        <w:r>
          <w:t>24</w:t>
        </w:r>
      </w:hyperlink>
    </w:p>
    <w:p>
      <w:pPr>
        <w:pStyle w:val="TOC3"/>
      </w:pPr>
      <w:hyperlink w:anchor="_Toc00042" w:history="1">
        <w:r>
          <w:t xml:space="preserve">5.2.2 Déploiement des binaires</w:t>
        </w:r>
        <w:r>
          <w:tab/>
        </w:r>
        <w:r>
          <w:t>24</w:t>
        </w:r>
      </w:hyperlink>
    </w:p>
    <w:p>
      <w:pPr>
        <w:pStyle w:val="TOC3"/>
      </w:pPr>
      <w:hyperlink w:anchor="_Toc00043" w:history="1">
        <w:r>
          <w:t xml:space="preserve">5.2.3 Configuration</w:t>
        </w:r>
        <w:r>
          <w:tab/>
        </w:r>
        <w:r>
          <w:t>24</w:t>
        </w:r>
      </w:hyperlink>
    </w:p>
    <w:p>
      <w:pPr>
        <w:pStyle w:val="TOC3"/>
      </w:pPr>
      <w:hyperlink w:anchor="_Toc00044" w:history="1">
        <w:r>
          <w:t xml:space="preserve">5.2.4 Initialisation du schéma</w:t>
        </w:r>
        <w:r>
          <w:tab/>
        </w:r>
        <w:r>
          <w:t>24</w:t>
        </w:r>
      </w:hyperlink>
    </w:p>
    <w:p>
      <w:pPr>
        <w:pStyle w:val="TOC3"/>
      </w:pPr>
      <w:hyperlink w:anchor="_Toc00045" w:history="1">
        <w:r>
          <w:t xml:space="preserve">5.2.5 Vérification des serveurs de licences</w:t>
        </w:r>
        <w:r>
          <w:tab/>
        </w:r>
        <w:r>
          <w:t>25</w:t>
        </w:r>
      </w:hyperlink>
    </w:p>
    <w:p>
      <w:pPr>
        <w:pStyle w:val="TOC3"/>
      </w:pPr>
      <w:hyperlink w:anchor="_Toc00046" w:history="1">
        <w:r>
          <w:t xml:space="preserve">5.2.6 Planification des tâches</w:t>
        </w:r>
        <w:r>
          <w:tab/>
        </w:r>
        <w:r>
          <w:t>25</w:t>
        </w:r>
      </w:hyperlink>
    </w:p>
    <w:p>
      <w:pPr>
        <w:pStyle w:val="TOC3"/>
      </w:pPr>
      <w:hyperlink w:anchor="_Toc00047" w:history="1">
        <w:r>
          <w:t xml:space="preserve">5.2.7 Référentiel utilisateurs</w:t>
        </w:r>
        <w:r>
          <w:tab/>
        </w:r>
        <w:r>
          <w:t>25</w:t>
        </w:r>
      </w:hyperlink>
    </w:p>
    <w:p>
      <w:pPr>
        <w:pStyle w:val="TOC3"/>
      </w:pPr>
      <w:hyperlink w:anchor="_Toc00048" w:history="1">
        <w:r>
          <w:t xml:space="preserve">5.2.8 Reprise d'historique (option)</w:t>
        </w:r>
        <w:r>
          <w:tab/>
        </w:r>
        <w:r>
          <w:t>25</w:t>
        </w:r>
      </w:hyperlink>
    </w:p>
    <w:p>
      <w:pPr>
        <w:pStyle w:val="TOC3"/>
      </w:pPr>
      <w:hyperlink w:anchor="_Toc00049" w:history="1">
        <w:r>
          <w:t xml:space="preserve">5.2.9 Ouverture de l'interface sur le réseau</w:t>
        </w:r>
        <w:r>
          <w:tab/>
        </w:r>
        <w:r>
          <w:t>27</w:t>
        </w:r>
      </w:hyperlink>
    </w:p>
    <w:p>
      <w:pPr>
        <w:pStyle w:val="TOC2"/>
      </w:pPr>
      <w:hyperlink w:anchor="_Toc00050" w:history="1">
        <w:r>
          <w:t xml:space="preserve">5.3 Recette de mise en service</w:t>
        </w:r>
        <w:r>
          <w:tab/>
        </w:r>
        <w:r>
          <w:t>27</w:t>
        </w:r>
      </w:hyperlink>
    </w:p>
    <w:p>
      <w:pPr>
        <w:pStyle w:val="TOC1"/>
      </w:pPr>
      <w:hyperlink w:anchor="_Toc00053" w:history="1">
        <w:r>
          <w:t xml:space="preserve">6. Configuration de référence</w:t>
        </w:r>
        <w:r>
          <w:tab/>
        </w:r>
        <w:r>
          <w:t>29</w:t>
        </w:r>
      </w:hyperlink>
    </w:p>
    <w:p>
      <w:pPr>
        <w:pStyle w:val="TOC2"/>
      </w:pPr>
      <w:hyperlink w:anchor="_Toc00054" w:history="1">
        <w:r>
          <w:t xml:space="preserve">6.1 Sections du fichier</w:t>
        </w:r>
        <w:r>
          <w:tab/>
        </w:r>
        <w:r>
          <w:t>29</w:t>
        </w:r>
      </w:hyperlink>
    </w:p>
    <w:p>
      <w:pPr>
        <w:pStyle w:val="TOC2"/>
      </w:pPr>
      <w:hyperlink w:anchor="_Toc00055" w:history="1">
        <w:r>
          <w:t xml:space="preserve">6.2 Paramètres détaillés</w:t>
        </w:r>
        <w:r>
          <w:tab/>
        </w:r>
        <w:r>
          <w:t>29</w:t>
        </w:r>
      </w:hyperlink>
    </w:p>
    <w:p>
      <w:pPr>
        <w:pStyle w:val="TOC3"/>
      </w:pPr>
      <w:hyperlink w:anchor="_Toc00056" w:history="1">
        <w:r>
          <w:t xml:space="preserve">database, lmutil_path, logging</w:t>
        </w:r>
        <w:r>
          <w:tab/>
        </w:r>
        <w:r>
          <w:t>30</w:t>
        </w:r>
      </w:hyperlink>
    </w:p>
    <w:p>
      <w:pPr>
        <w:pStyle w:val="TOC3"/>
      </w:pPr>
      <w:hyperlink w:anchor="_Toc00057" w:history="1">
        <w:r>
          <w:t xml:space="preserve">servers (un bloc par serveur de licences)</w:t>
        </w:r>
        <w:r>
          <w:tab/>
        </w:r>
        <w:r>
          <w:t>30</w:t>
        </w:r>
      </w:hyperlink>
    </w:p>
    <w:p>
      <w:pPr>
        <w:pStyle w:val="TOC3"/>
      </w:pPr>
      <w:hyperlink w:anchor="_Toc00058" w:history="1">
        <w:r>
          <w:t xml:space="preserve">products (règles de correspondance)</w:t>
        </w:r>
        <w:r>
          <w:tab/>
        </w:r>
        <w:r>
          <w:t>30</w:t>
        </w:r>
      </w:hyperlink>
    </w:p>
    <w:p>
      <w:pPr>
        <w:pStyle w:val="TOC3"/>
      </w:pPr>
      <w:hyperlink w:anchor="_Toc00059" w:history="1">
        <w:r>
          <w:t xml:space="preserve">reporting</w:t>
        </w:r>
        <w:r>
          <w:tab/>
        </w:r>
        <w:r>
          <w:t>31</w:t>
        </w:r>
      </w:hyperlink>
    </w:p>
    <w:p>
      <w:pPr>
        <w:pStyle w:val="TOC3"/>
      </w:pPr>
      <w:hyperlink w:anchor="_Toc00060" w:history="1">
        <w:r>
          <w:t xml:space="preserve">web et web.auth</w:t>
        </w:r>
        <w:r>
          <w:tab/>
        </w:r>
        <w:r>
          <w:t>31</w:t>
        </w:r>
      </w:hyperlink>
    </w:p>
    <w:p>
      <w:pPr>
        <w:pStyle w:val="TOC3"/>
      </w:pPr>
      <w:hyperlink w:anchor="_Toc00061" w:history="1">
        <w:r>
          <w:t xml:space="preserve">email</w:t>
        </w:r>
        <w:r>
          <w:tab/>
        </w:r>
        <w:r>
          <w:t>32</w:t>
        </w:r>
      </w:hyperlink>
    </w:p>
    <w:p>
      <w:pPr>
        <w:pStyle w:val="TOC3"/>
      </w:pPr>
      <w:hyperlink w:anchor="_Toc00062" w:history="1">
        <w:r>
          <w:t xml:space="preserve">alerts (alertes immédiates et tickets ITSM)</w:t>
        </w:r>
        <w:r>
          <w:tab/>
        </w:r>
        <w:r>
          <w:t>32</w:t>
        </w:r>
      </w:hyperlink>
    </w:p>
    <w:p>
      <w:pPr>
        <w:pStyle w:val="TOC3"/>
      </w:pPr>
      <w:hyperlink w:anchor="_Toc00063" w:history="1">
        <w:r>
          <w:t xml:space="preserve">sites</w:t>
        </w:r>
        <w:r>
          <w:tab/>
        </w:r>
        <w:r>
          <w:t>32</w:t>
        </w:r>
      </w:hyperlink>
    </w:p>
    <w:p>
      <w:pPr>
        <w:pStyle w:val="TOC3"/>
      </w:pPr>
      <w:hyperlink w:anchor="_Toc00064" w:history="1">
        <w:r>
          <w:t xml:space="preserve">autodesk (licences « utilisateur nommé »)</w:t>
        </w:r>
        <w:r>
          <w:tab/>
        </w:r>
        <w:r>
          <w:t>32</w:t>
        </w:r>
      </w:hyperlink>
    </w:p>
    <w:p>
      <w:pPr>
        <w:pStyle w:val="TOC3"/>
      </w:pPr>
      <w:hyperlink w:anchor="_Toc00065" w:history="1">
        <w:r>
          <w:t xml:space="preserve">projects et échéances des produits</w:t>
        </w:r>
        <w:r>
          <w:tab/>
        </w:r>
        <w:r>
          <w:t>33</w:t>
        </w:r>
      </w:hyperlink>
    </w:p>
    <w:p>
      <w:pPr>
        <w:pStyle w:val="TOC3"/>
      </w:pPr>
      <w:hyperlink w:anchor="_Toc00066" w:history="1">
        <w:r>
          <w:t xml:space="preserve">retention</w:t>
        </w:r>
        <w:r>
          <w:tab/>
        </w:r>
        <w:r>
          <w:t>34</w:t>
        </w:r>
      </w:hyperlink>
    </w:p>
    <w:p>
      <w:pPr>
        <w:pStyle w:val="TOC2"/>
      </w:pPr>
      <w:hyperlink w:anchor="_Toc00067" w:history="1">
        <w:r>
          <w:t xml:space="preserve">6.3 Procédure de modification de la configuration</w:t>
        </w:r>
        <w:r>
          <w:tab/>
        </w:r>
        <w:r>
          <w:t>34</w:t>
        </w:r>
      </w:hyperlink>
    </w:p>
    <w:p>
      <w:pPr>
        <w:pStyle w:val="TOC1"/>
      </w:pPr>
      <w:hyperlink w:anchor="_Toc00068" w:history="1">
        <w:r>
          <w:t xml:space="preserve">7. Exploitation courante</w:t>
        </w:r>
        <w:r>
          <w:tab/>
        </w:r>
        <w:r>
          <w:t>34</w:t>
        </w:r>
      </w:hyperlink>
    </w:p>
    <w:p>
      <w:pPr>
        <w:pStyle w:val="TOC2"/>
      </w:pPr>
      <w:hyperlink w:anchor="_Toc00069" w:history="1">
        <w:r>
          <w:t xml:space="preserve">7.1 Ordonnancement</w:t>
        </w:r>
        <w:r>
          <w:tab/>
        </w:r>
        <w:r>
          <w:t>35</w:t>
        </w:r>
      </w:hyperlink>
    </w:p>
    <w:p>
      <w:pPr>
        <w:pStyle w:val="TOC2"/>
      </w:pPr>
      <w:hyperlink w:anchor="_Toc00070" w:history="1">
        <w:r>
          <w:t xml:space="preserve">7.2 Démarrage et arrêt</w:t>
        </w:r>
        <w:r>
          <w:tab/>
        </w:r>
        <w:r>
          <w:t>35</w:t>
        </w:r>
      </w:hyperlink>
    </w:p>
    <w:p>
      <w:pPr>
        <w:pStyle w:val="TOC2"/>
      </w:pPr>
      <w:hyperlink w:anchor="_Toc00071" w:history="1">
        <w:r>
          <w:t xml:space="preserve">7.3 Contrôles quotidiens (N1, 5 minutes)</w:t>
        </w:r>
        <w:r>
          <w:tab/>
        </w:r>
        <w:r>
          <w:t>36</w:t>
        </w:r>
      </w:hyperlink>
    </w:p>
    <w:p>
      <w:pPr>
        <w:pStyle w:val="TOC2"/>
      </w:pPr>
      <w:hyperlink w:anchor="_Toc00072" w:history="1">
        <w:r>
          <w:t xml:space="preserve">7.4 Contrôles hebdomadaires et mensuels (N2)</w:t>
        </w:r>
        <w:r>
          <w:tab/>
        </w:r>
        <w:r>
          <w:t>36</w:t>
        </w:r>
      </w:hyperlink>
    </w:p>
    <w:p>
      <w:pPr>
        <w:pStyle w:val="TOC2"/>
      </w:pPr>
      <w:hyperlink w:anchor="_Toc00073" w:history="1">
        <w:r>
          <w:t xml:space="preserve">7.5 Supervision</w:t>
        </w:r>
        <w:r>
          <w:tab/>
        </w:r>
        <w:r>
          <w:t>37</w:t>
        </w:r>
      </w:hyperlink>
    </w:p>
    <w:p>
      <w:pPr>
        <w:pStyle w:val="TOC2"/>
      </w:pPr>
      <w:hyperlink w:anchor="_Toc00074" w:history="1">
        <w:r>
          <w:t xml:space="preserve">7.6 Journaux</w:t>
        </w:r>
        <w:r>
          <w:tab/>
        </w:r>
        <w:r>
          <w:t>37</w:t>
        </w:r>
      </w:hyperlink>
    </w:p>
    <w:p>
      <w:pPr>
        <w:pStyle w:val="TOC2"/>
      </w:pPr>
      <w:hyperlink w:anchor="_Toc00075" w:history="1">
        <w:r>
          <w:t xml:space="preserve">7.7 Codes retour</w:t>
        </w:r>
        <w:r>
          <w:tab/>
        </w:r>
        <w:r>
          <w:t>37</w:t>
        </w:r>
      </w:hyperlink>
    </w:p>
    <w:p>
      <w:pPr>
        <w:pStyle w:val="TOC1"/>
      </w:pPr>
      <w:hyperlink w:anchor="_Toc00076" w:history="1">
        <w:r>
          <w:t xml:space="preserve">8. Utilisation de l'interface web</w:t>
        </w:r>
        <w:r>
          <w:tab/>
        </w:r>
        <w:r>
          <w:t>37</w:t>
        </w:r>
      </w:hyperlink>
    </w:p>
    <w:p>
      <w:pPr>
        <w:pStyle w:val="TOC2"/>
      </w:pPr>
      <w:hyperlink w:anchor="_Toc00077" w:history="1">
        <w:r>
          <w:t xml:space="preserve">8.1 Accès et connexion</w:t>
        </w:r>
        <w:r>
          <w:tab/>
        </w:r>
        <w:r>
          <w:t/>
        </w:r>
      </w:hyperlink>
    </w:p>
    <w:p>
      <w:pPr>
        <w:pStyle w:val="TOC2"/>
      </w:pPr>
      <w:hyperlink w:anchor="_Toc00081" w:history="1">
        <w:r>
          <w:t xml:space="preserve">8.2 Navigation et filtres</w:t>
        </w:r>
        <w:r>
          <w:tab/>
        </w:r>
        <w:r>
          <w:t/>
        </w:r>
      </w:hyperlink>
    </w:p>
    <w:p>
      <w:pPr>
        <w:pStyle w:val="TOC2"/>
      </w:pPr>
      <w:hyperlink w:anchor="_Toc00085" w:history="1">
        <w:r>
          <w:t xml:space="preserve">8.3 Tableau de bord</w:t>
        </w:r>
        <w:r>
          <w:tab/>
        </w:r>
        <w:r>
          <w:t/>
        </w:r>
      </w:hyperlink>
    </w:p>
    <w:p>
      <w:pPr>
        <w:pStyle w:val="TOC3"/>
      </w:pPr>
      <w:hyperlink w:anchor="_Toc00087" w:history="1">
        <w:r>
          <w:t xml:space="preserve">Alertes</w:t>
        </w:r>
        <w:r>
          <w:tab/>
        </w:r>
        <w:r>
          <w:t/>
        </w:r>
      </w:hyperlink>
    </w:p>
    <w:p>
      <w:pPr>
        <w:pStyle w:val="TOC3"/>
      </w:pPr>
      <w:hyperlink w:anchor="_Toc00089" w:history="1">
        <w:r>
          <w:t xml:space="preserve">Indicateurs clés</w:t>
        </w:r>
        <w:r>
          <w:tab/>
        </w:r>
        <w:r>
          <w:t/>
        </w:r>
      </w:hyperlink>
    </w:p>
    <w:p>
      <w:pPr>
        <w:pStyle w:val="TOC3"/>
      </w:pPr>
      <w:hyperlink w:anchor="_Toc00091" w:history="1">
        <w:r>
          <w:t xml:space="preserve">Blocs de détail</w:t>
        </w:r>
        <w:r>
          <w:tab/>
        </w:r>
        <w:r>
          <w:t/>
        </w:r>
      </w:hyperlink>
    </w:p>
    <w:p>
      <w:pPr>
        <w:pStyle w:val="TOC2"/>
      </w:pPr>
      <w:hyperlink w:anchor="_Toc00093" w:history="1">
        <w:r>
          <w:t xml:space="preserve">8.4 En direct</w:t>
        </w:r>
        <w:r>
          <w:tab/>
        </w:r>
        <w:r>
          <w:t/>
        </w:r>
      </w:hyperlink>
    </w:p>
    <w:p>
      <w:pPr>
        <w:pStyle w:val="TOC2"/>
      </w:pPr>
      <w:hyperlink w:anchor="_Toc00095" w:history="1">
        <w:r>
          <w:t xml:space="preserve">8.5 Rapports d'analyse</w:t>
        </w:r>
        <w:r>
          <w:tab/>
        </w:r>
        <w:r>
          <w:t/>
        </w:r>
      </w:hyperlink>
    </w:p>
    <w:p>
      <w:pPr>
        <w:pStyle w:val="TOC2"/>
      </w:pPr>
      <w:hyperlink w:anchor="_Toc00101" w:history="1">
        <w:r>
          <w:t xml:space="preserve">8.6 Optimisation</w:t>
        </w:r>
        <w:r>
          <w:tab/>
        </w:r>
        <w:r>
          <w:t/>
        </w:r>
      </w:hyperlink>
    </w:p>
    <w:p>
      <w:pPr>
        <w:pStyle w:val="TOC2"/>
      </w:pPr>
      <w:hyperlink w:anchor="_Toc00107" w:history="1">
        <w:r>
          <w:t xml:space="preserve">8.7 Données</w:t>
        </w:r>
        <w:r>
          <w:tab/>
        </w:r>
        <w:r>
          <w:t/>
        </w:r>
      </w:hyperlink>
    </w:p>
    <w:p>
      <w:pPr>
        <w:pStyle w:val="TOC2"/>
      </w:pPr>
      <w:hyperlink w:anchor="_Toc00110" w:history="1">
        <w:r>
          <w:t xml:space="preserve">8.8 Exports</w:t>
        </w:r>
        <w:r>
          <w:tab/>
        </w:r>
        <w:r>
          <w:t>51</w:t>
        </w:r>
      </w:hyperlink>
    </w:p>
    <w:p>
      <w:pPr>
        <w:pStyle w:val="TOC2"/>
      </w:pPr>
      <w:hyperlink w:anchor="_Toc00111" w:history="1">
        <w:r>
          <w:t xml:space="preserve">8.9 Thème et affichage mobile</w:t>
        </w:r>
        <w:r>
          <w:tab/>
        </w:r>
        <w:r>
          <w:t/>
        </w:r>
      </w:hyperlink>
    </w:p>
    <w:p>
      <w:pPr>
        <w:pStyle w:val="TOC2"/>
      </w:pPr>
      <w:hyperlink w:anchor="_Toc00114" w:history="1">
        <w:r>
          <w:t xml:space="preserve">8.10 Rapport Excel mensuel</w:t>
        </w:r>
        <w:r>
          <w:tab/>
        </w:r>
        <w:r>
          <w:t>52</w:t>
        </w:r>
      </w:hyperlink>
    </w:p>
    <w:p>
      <w:pPr>
        <w:pStyle w:val="TOC2"/>
      </w:pPr>
      <w:hyperlink w:anchor="_Toc00115" w:history="1">
        <w:r>
          <w:t xml:space="preserve">8.11 Rapport par e-mail</w:t>
        </w:r>
        <w:r>
          <w:tab/>
        </w:r>
        <w:r>
          <w:t/>
        </w:r>
      </w:hyperlink>
    </w:p>
    <w:p>
      <w:pPr>
        <w:pStyle w:val="TOC2"/>
      </w:pPr>
      <w:hyperlink w:anchor="_Toc00117" w:history="1">
        <w:r>
          <w:t xml:space="preserve">8.12 Alertes immédiates</w:t>
        </w:r>
        <w:r>
          <w:tab/>
        </w:r>
        <w:r>
          <w:t/>
        </w:r>
      </w:hyperlink>
    </w:p>
    <w:p>
      <w:pPr>
        <w:pStyle w:val="TOC2"/>
      </w:pPr>
      <w:hyperlink w:anchor="_Toc00119" w:history="1">
        <w:r>
          <w:t xml:space="preserve">8.13 Rôles</w:t>
        </w:r>
        <w:r>
          <w:tab/>
        </w:r>
        <w:r>
          <w:t>54</w:t>
        </w:r>
      </w:hyperlink>
    </w:p>
    <w:p>
      <w:pPr>
        <w:pStyle w:val="TOC2"/>
      </w:pPr>
      <w:hyperlink w:anchor="_Toc00120" w:history="1">
        <w:r>
          <w:t xml:space="preserve">8.14 Licences inutilisées, réservations, emprunts et sites</w:t>
        </w:r>
        <w:r>
          <w:tab/>
        </w:r>
        <w:r>
          <w:t/>
        </w:r>
      </w:hyperlink>
    </w:p>
    <w:p>
      <w:pPr>
        <w:pStyle w:val="TOC2"/>
      </w:pPr>
      <w:hyperlink w:anchor="_Toc00123" w:history="1">
        <w:r>
          <w:t xml:space="preserve">8.15 Licences Autodesk « utilisateur nommé »</w:t>
        </w:r>
        <w:r>
          <w:tab/>
        </w:r>
        <w:r>
          <w:t/>
        </w:r>
      </w:hyperlink>
    </w:p>
    <w:p>
      <w:pPr>
        <w:pStyle w:val="TOC2"/>
      </w:pPr>
      <w:hyperlink w:anchor="_Toc00125" w:history="1">
        <w:r>
          <w:t xml:space="preserve">8.16 Administration</w:t>
        </w:r>
        <w:r>
          <w:tab/>
        </w:r>
        <w:r>
          <w:t/>
        </w:r>
      </w:hyperlink>
    </w:p>
    <w:p>
      <w:pPr>
        <w:pStyle w:val="TOC2"/>
      </w:pPr>
      <w:hyperlink w:anchor="_Toc00129" w:history="1">
        <w:r>
          <w:t xml:space="preserve">8.17 Achats : prévision et renouvellements</w:t>
        </w:r>
        <w:r>
          <w:tab/>
        </w:r>
        <w:r>
          <w:t>66</w:t>
        </w:r>
      </w:hyperlink>
    </w:p>
    <w:p>
      <w:pPr>
        <w:pStyle w:val="TOC2"/>
      </w:pPr>
      <w:hyperlink w:anchor="_Toc00132" w:history="1">
        <w:r>
          <w:t xml:space="preserve">8.18 Refacturation par projet</w:t>
        </w:r>
        <w:r>
          <w:tab/>
        </w:r>
        <w:r>
          <w:t>66</w:t>
        </w:r>
      </w:hyperlink>
    </w:p>
    <w:p>
      <w:pPr>
        <w:pStyle w:val="TOC1"/>
      </w:pPr>
      <w:hyperlink w:anchor="_Toc00134" w:history="1">
        <w:r>
          <w:t xml:space="preserve">9. Sauvegarde, restauration et rétention</w:t>
        </w:r>
        <w:r>
          <w:tab/>
        </w:r>
        <w:r>
          <w:t>67</w:t>
        </w:r>
      </w:hyperlink>
    </w:p>
    <w:p>
      <w:pPr>
        <w:pStyle w:val="TOC2"/>
      </w:pPr>
      <w:hyperlink w:anchor="_Toc00135" w:history="1">
        <w:r>
          <w:t xml:space="preserve">9.1 Éléments à sauvegarder</w:t>
        </w:r>
        <w:r>
          <w:tab/>
        </w:r>
        <w:r>
          <w:t>67</w:t>
        </w:r>
      </w:hyperlink>
    </w:p>
    <w:p>
      <w:pPr>
        <w:pStyle w:val="TOC2"/>
      </w:pPr>
      <w:hyperlink w:anchor="_Toc00136" w:history="1">
        <w:r>
          <w:t xml:space="preserve">9.2 Politique de rétention</w:t>
        </w:r>
        <w:r>
          <w:tab/>
        </w:r>
        <w:r>
          <w:t>68</w:t>
        </w:r>
      </w:hyperlink>
    </w:p>
    <w:p>
      <w:pPr>
        <w:pStyle w:val="TOC2"/>
      </w:pPr>
      <w:hyperlink w:anchor="_Toc00137" w:history="1">
        <w:r>
          <w:t xml:space="preserve">9.3 Procédure de sauvegarde SQL</w:t>
        </w:r>
        <w:r>
          <w:tab/>
        </w:r>
        <w:r>
          <w:t>68</w:t>
        </w:r>
      </w:hyperlink>
    </w:p>
    <w:p>
      <w:pPr>
        <w:pStyle w:val="TOC2"/>
      </w:pPr>
      <w:hyperlink w:anchor="_Toc00138" w:history="1">
        <w:r>
          <w:t xml:space="preserve">9.4 Procédure de restauration</w:t>
        </w:r>
        <w:r>
          <w:tab/>
        </w:r>
        <w:r>
          <w:t>68</w:t>
        </w:r>
      </w:hyperlink>
    </w:p>
    <w:p>
      <w:pPr>
        <w:pStyle w:val="TOC2"/>
      </w:pPr>
      <w:hyperlink w:anchor="_Toc00139" w:history="1">
        <w:r>
          <w:t xml:space="preserve">9.5 Purge manuelle</w:t>
        </w:r>
        <w:r>
          <w:tab/>
        </w:r>
        <w:r>
          <w:t>69</w:t>
        </w:r>
      </w:hyperlink>
    </w:p>
    <w:p>
      <w:pPr>
        <w:pStyle w:val="TOC1"/>
      </w:pPr>
      <w:hyperlink w:anchor="_Toc00140" w:history="1">
        <w:r>
          <w:t xml:space="preserve">10. Sécurité</w:t>
        </w:r>
        <w:r>
          <w:tab/>
        </w:r>
        <w:r>
          <w:t>70</w:t>
        </w:r>
      </w:hyperlink>
    </w:p>
    <w:p>
      <w:pPr>
        <w:pStyle w:val="TOC2"/>
      </w:pPr>
      <w:hyperlink w:anchor="_Toc00141" w:history="1">
        <w:r>
          <w:t xml:space="preserve">10.1 Principes</w:t>
        </w:r>
        <w:r>
          <w:tab/>
        </w:r>
        <w:r>
          <w:t>71</w:t>
        </w:r>
      </w:hyperlink>
    </w:p>
    <w:p>
      <w:pPr>
        <w:pStyle w:val="TOC2"/>
      </w:pPr>
      <w:hyperlink w:anchor="_Toc00142" w:history="1">
        <w:r>
          <w:t xml:space="preserve">10.2 Authentification et habilitations</w:t>
        </w:r>
        <w:r>
          <w:tab/>
        </w:r>
        <w:r>
          <w:t>71</w:t>
        </w:r>
      </w:hyperlink>
    </w:p>
    <w:p>
      <w:pPr>
        <w:pStyle w:val="TOC2"/>
      </w:pPr>
      <w:hyperlink w:anchor="_Toc00143" w:history="1">
        <w:r>
          <w:t xml:space="preserve">10.3 Chiffrement</w:t>
        </w:r>
        <w:r>
          <w:tab/>
        </w:r>
        <w:r>
          <w:t>71</w:t>
        </w:r>
      </w:hyperlink>
    </w:p>
    <w:p>
      <w:pPr>
        <w:pStyle w:val="TOC2"/>
      </w:pPr>
      <w:hyperlink w:anchor="_Toc00144" w:history="1">
        <w:r>
          <w:t xml:space="preserve">10.4 Traçabilité</w:t>
        </w:r>
        <w:r>
          <w:tab/>
        </w:r>
        <w:r>
          <w:t>71</w:t>
        </w:r>
      </w:hyperlink>
    </w:p>
    <w:p>
      <w:pPr>
        <w:pStyle w:val="TOC2"/>
      </w:pPr>
      <w:hyperlink w:anchor="_Toc00145" w:history="1">
        <w:r>
          <w:t xml:space="preserve">10.5 Données personnelles</w:t>
        </w:r>
        <w:r>
          <w:tab/>
        </w:r>
        <w:r>
          <w:t>71</w:t>
        </w:r>
      </w:hyperlink>
    </w:p>
    <w:p>
      <w:pPr>
        <w:pStyle w:val="TOC2"/>
      </w:pPr>
      <w:hyperlink w:anchor="_Toc00146" w:history="1">
        <w:r>
          <w:t xml:space="preserve">10.6 Liste de contrôle de déploiement</w:t>
        </w:r>
        <w:r>
          <w:tab/>
        </w:r>
        <w:r>
          <w:t>71</w:t>
        </w:r>
      </w:hyperlink>
    </w:p>
    <w:p>
      <w:pPr>
        <w:pStyle w:val="TOC2"/>
      </w:pPr>
      <w:hyperlink w:anchor="_Toc00147" w:history="1">
        <w:r>
          <w:t xml:space="preserve">10.7 Risques résiduels</w:t>
        </w:r>
        <w:r>
          <w:tab/>
        </w:r>
        <w:r>
          <w:t>72</w:t>
        </w:r>
      </w:hyperlink>
    </w:p>
    <w:p>
      <w:pPr>
        <w:pStyle w:val="TOC1"/>
      </w:pPr>
      <w:hyperlink w:anchor="_Toc00148" w:history="1">
        <w:r>
          <w:t xml:space="preserve">11. Gestion des incidents</w:t>
        </w:r>
        <w:r>
          <w:tab/>
        </w:r>
        <w:r>
          <w:t>73</w:t>
        </w:r>
      </w:hyperlink>
    </w:p>
    <w:p>
      <w:pPr>
        <w:pStyle w:val="TOC2"/>
      </w:pPr>
      <w:hyperlink w:anchor="_Toc00149" w:history="1">
        <w:r>
          <w:t xml:space="preserve">11.1 Démarche de diagnostic</w:t>
        </w:r>
        <w:r>
          <w:tab/>
        </w:r>
        <w:r>
          <w:t>73</w:t>
        </w:r>
      </w:hyperlink>
    </w:p>
    <w:p>
      <w:pPr>
        <w:pStyle w:val="TOC2"/>
      </w:pPr>
      <w:hyperlink w:anchor="_Toc00150" w:history="1">
        <w:r>
          <w:t xml:space="preserve">11.2 Incidents courants</w:t>
        </w:r>
        <w:r>
          <w:tab/>
        </w:r>
        <w:r>
          <w:t>73</w:t>
        </w:r>
      </w:hyperlink>
    </w:p>
    <w:p>
      <w:pPr>
        <w:pStyle w:val="TOC2"/>
      </w:pPr>
      <w:hyperlink w:anchor="_Toc00151" w:history="1">
        <w:r>
          <w:t xml:space="preserve">11.3 Commandes de diagnostic</w:t>
        </w:r>
        <w:r>
          <w:tab/>
        </w:r>
        <w:r>
          <w:t>73</w:t>
        </w:r>
      </w:hyperlink>
    </w:p>
    <w:p>
      <w:pPr>
        <w:pStyle w:val="TOC2"/>
      </w:pPr>
      <w:hyperlink w:anchor="_Toc00152" w:history="1">
        <w:r>
          <w:t xml:space="preserve">11.4 Escalade</w:t>
        </w:r>
        <w:r>
          <w:tab/>
        </w:r>
        <w:r>
          <w:t>74</w:t>
        </w:r>
      </w:hyperlink>
    </w:p>
    <w:p>
      <w:pPr>
        <w:pStyle w:val="TOC1"/>
      </w:pPr>
      <w:hyperlink w:anchor="_Toc00153" w:history="1">
        <w:r>
          <w:t xml:space="preserve">12. Maintenance et évolutions</w:t>
        </w:r>
        <w:r>
          <w:tab/>
        </w:r>
        <w:r>
          <w:t>74</w:t>
        </w:r>
      </w:hyperlink>
    </w:p>
    <w:p>
      <w:pPr>
        <w:pStyle w:val="TOC2"/>
      </w:pPr>
      <w:hyperlink w:anchor="_Toc00154" w:history="1">
        <w:r>
          <w:t xml:space="preserve">12.1 Mise à jour de version</w:t>
        </w:r>
        <w:r>
          <w:tab/>
        </w:r>
        <w:r>
          <w:t>74</w:t>
        </w:r>
      </w:hyperlink>
    </w:p>
    <w:p>
      <w:pPr>
        <w:pStyle w:val="TOC2"/>
      </w:pPr>
      <w:hyperlink w:anchor="_Toc00155" w:history="1">
        <w:r>
          <w:t xml:space="preserve">12.2 Ajout d'un serveur de licences</w:t>
        </w:r>
        <w:r>
          <w:tab/>
        </w:r>
        <w:r>
          <w:t>75</w:t>
        </w:r>
      </w:hyperlink>
    </w:p>
    <w:p>
      <w:pPr>
        <w:pStyle w:val="TOC2"/>
      </w:pPr>
      <w:hyperlink w:anchor="_Toc00156" w:history="1">
        <w:r>
          <w:t xml:space="preserve">12.3 Produits, coûts et abonnements</w:t>
        </w:r>
        <w:r>
          <w:tab/>
        </w:r>
        <w:r>
          <w:t>76</w:t>
        </w:r>
      </w:hyperlink>
    </w:p>
    <w:p>
      <w:pPr>
        <w:pStyle w:val="TOC2"/>
      </w:pPr>
      <w:hyperlink w:anchor="_Toc00157" w:history="1">
        <w:r>
          <w:t xml:space="preserve">12.4 Renouvellement des certificats</w:t>
        </w:r>
        <w:r>
          <w:tab/>
        </w:r>
        <w:r>
          <w:t>80</w:t>
        </w:r>
      </w:hyperlink>
    </w:p>
    <w:p>
      <w:pPr>
        <w:pStyle w:val="TOC2"/>
      </w:pPr>
      <w:hyperlink w:anchor="_Toc00158" w:history="1">
        <w:r>
          <w:t xml:space="preserve">12.5 Compte de service</w:t>
        </w:r>
        <w:r>
          <w:tab/>
        </w:r>
        <w:r>
          <w:t>81</w:t>
        </w:r>
      </w:hyperlink>
    </w:p>
    <w:p>
      <w:pPr>
        <w:pStyle w:val="TOC2"/>
      </w:pPr>
      <w:hyperlink w:anchor="_Toc00159" w:history="1">
        <w:r>
          <w:t xml:space="preserve">12.6 Ajout d'un autre gestionnaire de licences</w:t>
        </w:r>
        <w:r>
          <w:tab/>
        </w:r>
        <w:r>
          <w:t>81</w:t>
        </w:r>
      </w:hyperlink>
    </w:p>
    <w:p>
      <w:pPr>
        <w:pStyle w:val="TOC1"/>
      </w:pPr>
      <w:hyperlink w:anchor="_Toc00160" w:history="1">
        <w:r>
          <w:t xml:space="preserve">13. Continuité et reprise d'activité</w:t>
        </w:r>
        <w:r>
          <w:tab/>
        </w:r>
        <w:r>
          <w:t>81</w:t>
        </w:r>
      </w:hyperlink>
    </w:p>
    <w:p>
      <w:pPr>
        <w:pStyle w:val="TOC2"/>
      </w:pPr>
      <w:hyperlink w:anchor="_Toc00161" w:history="1">
        <w:r>
          <w:t xml:space="preserve">13.1 Impact d'une indisponibilité</w:t>
        </w:r>
        <w:r>
          <w:tab/>
        </w:r>
        <w:r>
          <w:t>81</w:t>
        </w:r>
      </w:hyperlink>
    </w:p>
    <w:p>
      <w:pPr>
        <w:pStyle w:val="TOC2"/>
      </w:pPr>
      <w:hyperlink w:anchor="_Toc00162" w:history="1">
        <w:r>
          <w:t xml:space="preserve">13.2 Scénarios de reprise</w:t>
        </w:r>
        <w:r>
          <w:tab/>
        </w:r>
        <w:r>
          <w:t>81</w:t>
        </w:r>
      </w:hyperlink>
    </w:p>
    <w:p>
      <w:pPr>
        <w:pStyle w:val="TOC2"/>
      </w:pPr>
      <w:hyperlink w:anchor="_Toc00163" w:history="1">
        <w:r>
          <w:t xml:space="preserve">13.3 Reconstruction complète</w:t>
        </w:r>
        <w:r>
          <w:tab/>
        </w:r>
        <w:r>
          <w:t/>
        </w:r>
      </w:hyperlink>
    </w:p>
    <w:p>
      <w:pPr>
        <w:pStyle w:val="TOC1"/>
      </w:pPr>
      <w:hyperlink w:anchor="_Toc00164" w:history="1">
        <w:r>
          <w:t xml:space="preserve">14. Contacts et responsabilités</w:t>
        </w:r>
        <w:r>
          <w:tab/>
        </w:r>
        <w:r>
          <w:t/>
        </w:r>
      </w:hyperlink>
    </w:p>
    <w:p>
      <w:pPr>
        <w:pStyle w:val="TOC2"/>
      </w:pPr>
      <w:hyperlink w:anchor="_Toc00165" w:history="1">
        <w:r>
          <w:t xml:space="preserve">14.1 Contacts</w:t>
        </w:r>
        <w:r>
          <w:tab/>
        </w:r>
        <w:r>
          <w:t/>
        </w:r>
      </w:hyperlink>
    </w:p>
    <w:p>
      <w:pPr>
        <w:pStyle w:val="TOC2"/>
      </w:pPr>
      <w:hyperlink w:anchor="_Toc00166" w:history="1">
        <w:r>
          <w:t xml:space="preserve">14.2 Matrice des responsabilités (RACI)</w:t>
        </w:r>
        <w:r>
          <w:tab/>
        </w:r>
        <w:r>
          <w:t/>
        </w:r>
      </w:hyperlink>
    </w:p>
    <w:p>
      <w:pPr>
        <w:pStyle w:val="TOC1"/>
      </w:pPr>
      <w:hyperlink w:anchor="_Toc00167" w:history="1">
        <w:r>
          <w:t xml:space="preserve">Annexe A. Référence des commandes</w:t>
        </w:r>
        <w:r>
          <w:tab/>
        </w:r>
        <w:r>
          <w:t/>
        </w:r>
      </w:hyperlink>
    </w:p>
    <w:p>
      <w:pPr>
        <w:pStyle w:val="TOC1"/>
      </w:pPr>
      <w:hyperlink w:anchor="_Toc00168" w:history="1">
        <w:r>
          <w:t xml:space="preserve">Annexe B. Exemple de configuration</w:t>
        </w:r>
        <w:r>
          <w:tab/>
        </w:r>
        <w:r>
          <w:t/>
        </w:r>
      </w:hyperlink>
    </w:p>
    <w:p>
      <w:pPr>
        <w:pStyle w:val="TOC1"/>
      </w:pPr>
      <w:hyperlink w:anchor="_Toc00169" w:history="1">
        <w:r>
          <w:t xml:space="preserve">Annexe C. Requêtes SQL utiles</w:t>
        </w:r>
        <w:r>
          <w:tab/>
        </w:r>
        <w:r>
          <w:t/>
        </w:r>
      </w:hyperlink>
    </w:p>
    <w:p>
      <w:pPr>
        <w:pStyle w:val="TOC1"/>
      </w:pPr>
      <w:hyperlink w:anchor="_Toc00170" w:history="1">
        <w:r>
          <w:t xml:space="preserve">Annexe D. Fiche de contrôle quotidien</w:t>
        </w:r>
        <w:r>
          <w:tab/>
        </w:r>
        <w:r>
          <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tickets ITSM et ticket de test (ServiceNow)</w:t>
        </w:r>
        <w:r>
          <w:tab/>
        </w:r>
        <w:r>
          <w:t>20</w:t>
        </w:r>
      </w:hyperlink>
    </w:p>
    <w:p>
      <w:pPr>
        <w:pStyle w:val="TableofFigures"/>
      </w:pPr>
      <w:hyperlink w:anchor="_Fig00033" w:history="1">
        <w:r>
          <w:t xml:space="preserve">Figure 8 – Assistant : récapitulatif avant installation</w:t>
        </w:r>
        <w:r>
          <w:tab/>
        </w:r>
        <w:r>
          <w:t>21</w:t>
        </w:r>
      </w:hyperlink>
    </w:p>
    <w:p>
      <w:pPr>
        <w:pStyle w:val="TableofFigures"/>
      </w:pPr>
      <w:hyperlink w:anchor="_Fig00034" w:history="1">
        <w:r>
          <w:t xml:space="preserve">Figure 9 – Assistant : installation avec barre de progression</w:t>
        </w:r>
        <w:r>
          <w:tab/>
        </w:r>
        <w:r>
          <w:t>21</w:t>
        </w:r>
      </w:hyperlink>
    </w:p>
    <w:p>
      <w:pPr>
        <w:pStyle w:val="TableofFigures"/>
      </w:pPr>
      <w:hyperlink w:anchor="_Fig00035" w:history="1">
        <w:r>
          <w:t xml:space="preserve">Figure 10 – Assistant : vérification finale de bout en bout</w:t>
        </w:r>
        <w:r>
          <w:tab/>
        </w:r>
        <w:r>
          <w:t>21</w:t>
        </w:r>
      </w:hyperlink>
    </w:p>
    <w:p>
      <w:pPr>
        <w:pStyle w:val="TableofFigures"/>
      </w:pPr>
      <w:hyperlink w:anchor="_Fig00037" w:history="1">
        <w:r>
          <w:t xml:space="preserve">Figure 11 – Page de test d'accès depuis un poste utilisateur (/acces)</w:t>
        </w:r>
        <w:r>
          <w:tab/>
        </w:r>
        <w:r>
          <w:t>21</w:t>
        </w:r>
      </w:hyperlink>
    </w:p>
    <w:p>
      <w:pPr>
        <w:pStyle w:val="TableofFigures"/>
      </w:pPr>
      <w:hyperlink w:anchor="_Fig00051" w:history="1">
        <w:r>
          <w:t xml:space="preserve">Figure 12 – Recette : comparaison avec les serveurs de licences</w:t>
        </w:r>
        <w:r>
          <w:tab/>
        </w:r>
        <w:r>
          <w:t>28</w:t>
        </w:r>
      </w:hyperlink>
    </w:p>
    <w:p>
      <w:pPr>
        <w:pStyle w:val="TableofFigures"/>
      </w:pPr>
      <w:hyperlink w:anchor="_Fig00052" w:history="1">
        <w:r>
          <w:t xml:space="preserve">Figure 13 – Recette : PV de recette et archive des preuves</w:t>
        </w:r>
        <w:r>
          <w:tab/>
        </w:r>
        <w:r>
          <w:t>28</w:t>
        </w:r>
      </w:hyperlink>
    </w:p>
    <w:p>
      <w:pPr>
        <w:pStyle w:val="TableofFigures"/>
      </w:pPr>
      <w:hyperlink w:anchor="_Fig00078" w:history="1">
        <w:r>
          <w:t xml:space="preserve">Figure 14 – Page de connexion</w:t>
        </w:r>
        <w:r>
          <w:tab/>
        </w:r>
        <w:r>
          <w:t>38</w:t>
        </w:r>
      </w:hyperlink>
    </w:p>
    <w:p>
      <w:pPr>
        <w:pStyle w:val="TableofFigures"/>
      </w:pPr>
      <w:hyperlink w:anchor="_Fig00079" w:history="1">
        <w:r>
          <w:t xml:space="preserve">Figure 15 – Message d'erreur de connexion</w:t>
        </w:r>
        <w:r>
          <w:tab/>
        </w:r>
        <w:r>
          <w:t>38</w:t>
        </w:r>
      </w:hyperlink>
    </w:p>
    <w:p>
      <w:pPr>
        <w:pStyle w:val="TableofFigures"/>
      </w:pPr>
      <w:hyperlink w:anchor="_Fig00080" w:history="1">
        <w:r>
          <w:t xml:space="preserve">Figure 16 – En-tête : badge d'état des collectes et utilisateur connecté</w:t>
        </w:r>
        <w:r>
          <w:tab/>
        </w:r>
        <w:r>
          <w:t/>
        </w:r>
      </w:hyperlink>
    </w:p>
    <w:p>
      <w:pPr>
        <w:pStyle w:val="TableofFigures"/>
      </w:pPr>
      <w:hyperlink w:anchor="_Fig00082" w:history="1">
        <w:r>
          <w:t xml:space="preserve">Figure 17 – Barre latérale de navigation</w:t>
        </w:r>
        <w:r>
          <w:tab/>
        </w:r>
        <w:r>
          <w:t>39</w:t>
        </w:r>
      </w:hyperlink>
    </w:p>
    <w:p>
      <w:pPr>
        <w:pStyle w:val="TableofFigures"/>
      </w:pPr>
      <w:hyperlink w:anchor="_Fig00083" w:history="1">
        <w:r>
          <w:t xml:space="preserve">Figure 18 – Barre de filtres et boutons d'export</w:t>
        </w:r>
        <w:r>
          <w:tab/>
        </w:r>
        <w:r>
          <w:t>39</w:t>
        </w:r>
      </w:hyperlink>
    </w:p>
    <w:p>
      <w:pPr>
        <w:pStyle w:val="TableofFigures"/>
      </w:pPr>
      <w:hyperlink w:anchor="_Fig00084" w:history="1">
        <w:r>
          <w:t xml:space="preserve">Figure 19 – Sélection multiple avec recherche (filtre Produits)</w:t>
        </w:r>
        <w:r>
          <w:tab/>
        </w:r>
        <w:r>
          <w:t/>
        </w:r>
      </w:hyperlink>
    </w:p>
    <w:p>
      <w:pPr>
        <w:pStyle w:val="TableofFigures"/>
      </w:pPr>
      <w:hyperlink w:anchor="_Fig00086" w:history="1">
        <w:r>
          <w:t xml:space="preserve">Figure 20 – Tableau de bord complet</w:t>
        </w:r>
        <w:r>
          <w:tab/>
        </w:r>
        <w:r>
          <w:t/>
        </w:r>
      </w:hyperlink>
    </w:p>
    <w:p>
      <w:pPr>
        <w:pStyle w:val="TableofFigures"/>
      </w:pPr>
      <w:hyperlink w:anchor="_Fig00088" w:history="1">
        <w:r>
          <w:t xml:space="preserve">Figure 21 – Bandeau d'alertes</w:t>
        </w:r>
        <w:r>
          <w:tab/>
        </w:r>
        <w:r>
          <w:t/>
        </w:r>
      </w:hyperlink>
    </w:p>
    <w:p>
      <w:pPr>
        <w:pStyle w:val="TableofFigures"/>
      </w:pPr>
      <w:hyperlink w:anchor="_Fig00090" w:history="1">
        <w:r>
          <w:t xml:space="preserve">Figure 22 – Indicateurs clés</w:t>
        </w:r>
        <w:r>
          <w:tab/>
        </w:r>
        <w:r>
          <w:t/>
        </w:r>
      </w:hyperlink>
    </w:p>
    <w:p>
      <w:pPr>
        <w:pStyle w:val="TableofFigures"/>
      </w:pPr>
      <w:hyperlink w:anchor="_Fig00092" w:history="1">
        <w:r>
          <w:t xml:space="preserve">Figure 23 – Bloc « Serveurs et échéances »</w:t>
        </w:r>
        <w:r>
          <w:tab/>
        </w:r>
        <w:r>
          <w:t/>
        </w:r>
      </w:hyperlink>
    </w:p>
    <w:p>
      <w:pPr>
        <w:pStyle w:val="TableofFigures"/>
      </w:pPr>
      <w:hyperlink w:anchor="_Fig00094" w:history="1">
        <w:r>
          <w:t xml:space="preserve">Figure 24 – Vue En direct</w:t>
        </w:r>
        <w:r>
          <w:tab/>
        </w:r>
        <w:r>
          <w:t/>
        </w:r>
      </w:hyperlink>
    </w:p>
    <w:p>
      <w:pPr>
        <w:pStyle w:val="TableofFigures"/>
      </w:pPr>
      <w:hyperlink w:anchor="_Fig00096" w:history="1">
        <w:r>
          <w:t xml:space="preserve">Figure 25 – Synthèse par produit</w:t>
        </w:r>
        <w:r>
          <w:tab/>
        </w:r>
        <w:r>
          <w:t>46</w:t>
        </w:r>
      </w:hyperlink>
    </w:p>
    <w:p>
      <w:pPr>
        <w:pStyle w:val="TableofFigures"/>
      </w:pPr>
      <w:hyperlink w:anchor="_Fig00097" w:history="1">
        <w:r>
          <w:t xml:space="preserve">Figure 26 – Usage dans le temps (taux d'occupation journalier)</w:t>
        </w:r>
        <w:r>
          <w:tab/>
        </w:r>
        <w:r>
          <w:t>46</w:t>
        </w:r>
      </w:hyperlink>
    </w:p>
    <w:p>
      <w:pPr>
        <w:pStyle w:val="TableofFigures"/>
      </w:pPr>
      <w:hyperlink w:anchor="_Fig00098" w:history="1">
        <w:r>
          <w:t xml:space="preserve">Figure 27 – Répartition par service (refacturation)</w:t>
        </w:r>
        <w:r>
          <w:tab/>
        </w:r>
        <w:r>
          <w:t>46</w:t>
        </w:r>
      </w:hyperlink>
    </w:p>
    <w:p>
      <w:pPr>
        <w:pStyle w:val="TableofFigures"/>
      </w:pPr>
      <w:hyperlink w:anchor="_Fig00099" w:history="1">
        <w:r>
          <w:t xml:space="preserve">Figure 28 – Croisement service × produit</w:t>
        </w:r>
        <w:r>
          <w:tab/>
        </w:r>
        <w:r>
          <w:t>46</w:t>
        </w:r>
      </w:hyperlink>
    </w:p>
    <w:p>
      <w:pPr>
        <w:pStyle w:val="TableofFigures"/>
      </w:pPr>
      <w:hyperlink w:anchor="_Fig00100" w:history="1">
        <w:r>
          <w:t xml:space="preserve">Figure 29 – Profil horaire</w:t>
        </w:r>
        <w:r>
          <w:tab/>
        </w:r>
        <w:r>
          <w:t/>
        </w:r>
      </w:hyperlink>
    </w:p>
    <w:p>
      <w:pPr>
        <w:pStyle w:val="TableofFigures"/>
      </w:pPr>
      <w:hyperlink w:anchor="_Fig00102" w:history="1">
        <w:r>
          <w:t xml:space="preserve">Figure 30 – Efficacité des jetons (comparaison des produits)</w:t>
        </w:r>
        <w:r>
          <w:tab/>
        </w:r>
        <w:r>
          <w:t>49</w:t>
        </w:r>
      </w:hyperlink>
    </w:p>
    <w:p>
      <w:pPr>
        <w:pStyle w:val="TableofFigures"/>
      </w:pPr>
      <w:hyperlink w:anchor="_Fig00103" w:history="1">
        <w:r>
          <w:t xml:space="preserve">Figure 31 – Efficacité d'un produit (MATLAB) en nombre de jetons</w:t>
        </w:r>
        <w:r>
          <w:tab/>
        </w:r>
        <w:r>
          <w:t>49</w:t>
        </w:r>
      </w:hyperlink>
    </w:p>
    <w:p>
      <w:pPr>
        <w:pStyle w:val="TableofFigures"/>
      </w:pPr>
      <w:hyperlink w:anchor="_Fig00104" w:history="1">
        <w:r>
          <w:t xml:space="preserve">Figure 32 – Optimisation et coûts</w:t>
        </w:r>
        <w:r>
          <w:tab/>
        </w:r>
        <w:r>
          <w:t>49</w:t>
        </w:r>
      </w:hyperlink>
    </w:p>
    <w:p>
      <w:pPr>
        <w:pStyle w:val="TableofFigures"/>
      </w:pPr>
      <w:hyperlink w:anchor="_Fig00105" w:history="1">
        <w:r>
          <w:t xml:space="preserve">Figure 33 – Contention</w:t>
        </w:r>
        <w:r>
          <w:tab/>
        </w:r>
        <w:r>
          <w:t>49</w:t>
        </w:r>
      </w:hyperlink>
    </w:p>
    <w:p>
      <w:pPr>
        <w:pStyle w:val="TableofFigures"/>
      </w:pPr>
      <w:hyperlink w:anchor="_Fig00106" w:history="1">
        <w:r>
          <w:t xml:space="preserve">Figure 34 – Refus de licence</w:t>
        </w:r>
        <w:r>
          <w:tab/>
        </w:r>
        <w:r>
          <w:t/>
        </w:r>
      </w:hyperlink>
    </w:p>
    <w:p>
      <w:pPr>
        <w:pStyle w:val="TableofFigures"/>
      </w:pPr>
      <w:hyperlink w:anchor="_Fig00108" w:history="1">
        <w:r>
          <w:t xml:space="preserve">Figure 35 – Sessions</w:t>
        </w:r>
        <w:r>
          <w:tab/>
        </w:r>
        <w:r>
          <w:t>50</w:t>
        </w:r>
      </w:hyperlink>
    </w:p>
    <w:p>
      <w:pPr>
        <w:pStyle w:val="TableofFigures"/>
      </w:pPr>
      <w:hyperlink w:anchor="_Fig00109" w:history="1">
        <w:r>
          <w:t xml:space="preserve">Figure 36 – Journal des collectes</w:t>
        </w:r>
        <w:r>
          <w:tab/>
        </w:r>
        <w:r>
          <w:t/>
        </w:r>
      </w:hyperlink>
    </w:p>
    <w:p>
      <w:pPr>
        <w:pStyle w:val="TableofFigures"/>
      </w:pPr>
      <w:hyperlink w:anchor="_Fig00112" w:history="1">
        <w:r>
          <w:t xml:space="preserve">Figure 37 – Tableau de bord en thème sombre</w:t>
        </w:r>
        <w:r>
          <w:tab/>
        </w:r>
        <w:r>
          <w:t>52</w:t>
        </w:r>
      </w:hyperlink>
    </w:p>
    <w:p>
      <w:pPr>
        <w:pStyle w:val="TableofFigures"/>
      </w:pPr>
      <w:hyperlink w:anchor="_Fig00113" w:history="1">
        <w:r>
          <w:t xml:space="preserve">Figure 38 – Affichage sur téléphone : tableau de bord et menu</w:t>
        </w:r>
        <w:r>
          <w:tab/>
        </w:r>
        <w:r>
          <w:t/>
        </w:r>
      </w:hyperlink>
    </w:p>
    <w:p>
      <w:pPr>
        <w:pStyle w:val="TableofFigures"/>
      </w:pPr>
      <w:hyperlink w:anchor="_Fig00116" w:history="1">
        <w:r>
          <w:t xml:space="preserve">Figure 39 – Rapport mensuel reçu par e-mail</w:t>
        </w:r>
        <w:r>
          <w:tab/>
        </w:r>
        <w:r>
          <w:t/>
        </w:r>
      </w:hyperlink>
    </w:p>
    <w:p>
      <w:pPr>
        <w:pStyle w:val="TableofFigures"/>
      </w:pPr>
      <w:hyperlink w:anchor="_Fig00118" w:history="1">
        <w:r>
          <w:t xml:space="preserve">Figure 40 – Message d'alertes immédiates</w:t>
        </w:r>
        <w:r>
          <w:tab/>
        </w:r>
        <w:r>
          <w:t/>
        </w:r>
      </w:hyperlink>
    </w:p>
    <w:p>
      <w:pPr>
        <w:pStyle w:val="TableofFigures"/>
      </w:pPr>
      <w:hyperlink w:anchor="_Fig00121" w:history="1">
        <w:r>
          <w:t xml:space="preserve">Figure 41 – Licences inutilisées</w:t>
        </w:r>
        <w:r>
          <w:tab/>
        </w:r>
        <w:r>
          <w:t>55</w:t>
        </w:r>
      </w:hyperlink>
    </w:p>
    <w:p>
      <w:pPr>
        <w:pStyle w:val="TableofFigures"/>
      </w:pPr>
      <w:hyperlink w:anchor="_Fig00122" w:history="1">
        <w:r>
          <w:t xml:space="preserve">Figure 42 – Réservations et taux d'usage</w:t>
        </w:r>
        <w:r>
          <w:tab/>
        </w:r>
        <w:r>
          <w:t/>
        </w:r>
      </w:hyperlink>
    </w:p>
    <w:p>
      <w:pPr>
        <w:pStyle w:val="TableofFigures"/>
      </w:pPr>
      <w:hyperlink w:anchor="_Fig00124" w:history="1">
        <w:r>
          <w:t xml:space="preserve">Figure 43 – Autodesk · utilisateurs nommés</w:t>
        </w:r>
        <w:r>
          <w:tab/>
        </w:r>
        <w:r>
          <w:t/>
        </w:r>
      </w:hyperlink>
    </w:p>
    <w:p>
      <w:pPr>
        <w:pStyle w:val="TableofFigures"/>
      </w:pPr>
      <w:hyperlink w:anchor="_Fig00126" w:history="1">
        <w:r>
          <w:t xml:space="preserve">Figure 44 – Rubrique Administration</w:t>
        </w:r>
        <w:r>
          <w:tab/>
        </w:r>
        <w:r>
          <w:t/>
        </w:r>
      </w:hyperlink>
    </w:p>
    <w:p>
      <w:pPr>
        <w:pStyle w:val="TableofFigures"/>
      </w:pPr>
      <w:hyperlink w:anchor="_Fig00127" w:history="1">
        <w:r>
          <w:t xml:space="preserve">Figure 45 – Administration : projets</w:t>
        </w:r>
        <w:r>
          <w:tab/>
        </w:r>
        <w:r>
          <w:t/>
        </w:r>
      </w:hyperlink>
    </w:p>
    <w:p>
      <w:pPr>
        <w:pStyle w:val="TableofFigures"/>
      </w:pPr>
      <w:hyperlink w:anchor="_Fig00128" w:history="1">
        <w:r>
          <w:t xml:space="preserve">Figure 46 – Administration : rapports planifiés</w:t>
        </w:r>
        <w:r>
          <w:tab/>
        </w:r>
        <w:r>
          <w:t/>
        </w:r>
      </w:hyperlink>
    </w:p>
    <w:p>
      <w:pPr>
        <w:pStyle w:val="TableofFigures"/>
      </w:pPr>
      <w:hyperlink w:anchor="_Fig00130" w:history="1">
        <w:r>
          <w:t xml:space="preserve">Figure 47 – Prévision du besoin</w:t>
        </w:r>
        <w:r>
          <w:tab/>
        </w:r>
        <w:r>
          <w:t/>
        </w:r>
      </w:hyperlink>
    </w:p>
    <w:p>
      <w:pPr>
        <w:pStyle w:val="TableofFigures"/>
      </w:pPr>
      <w:hyperlink w:anchor="_Fig00131" w:history="1">
        <w:r>
          <w:t xml:space="preserve">Figure 48 – Rapport de renouvellement</w:t>
        </w:r>
        <w:r>
          <w:tab/>
        </w:r>
        <w:r>
          <w:t/>
        </w:r>
      </w:hyperlink>
    </w:p>
    <w:p>
      <w:pPr>
        <w:pStyle w:val="TableofFigures"/>
      </w:pPr>
      <w:hyperlink w:anchor="_Fig00133" w:history="1">
        <w:r>
          <w:t xml:space="preserve">Figure 49 – Répartition par projet</w:t>
        </w:r>
        <w:r>
          <w:tab/>
        </w:r>
        <w:r>
          <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26.4.0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et tickets</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par e-mail et / ou ticket ServiceNow, Jira, GLPI, Teams / Slack, ouvert, complété puis résolu automatiquement.</w:t>
            </w:r>
          </w:p>
        </w:tc>
      </w:tr>
      <w:tr>
        <w:trPr>
          <w:cantSplit/>
        </w:trPr>
        <w:tc>
          <w:tcPr>
            <w:tcW w:w="2013" w:type="dxa"/>
          </w:tcPr>
          <w:p>
            <w:pPr>
              <w:pStyle w:val="TableText"/>
            </w:pPr>
            <w:r>
              <w:rPr>
                <w:b/>
                <w:sz w:val="18"/>
                <w:szCs w:val="18"/>
              </w:rPr>
              <w:t xml:space="preserve">Rôles</w:t>
            </w:r>
          </w:p>
        </w:tc>
        <w:tc>
          <w:tcPr>
            <w:tcW w:w="7624" w:type="dxa"/>
          </w:tcPr>
          <w:p>
            <w:pPr>
              <w:pStyle w:val="TableText"/>
            </w:pPr>
            <w:r>
              <w:rPr>
                <w:sz w:val="18"/>
                <w:szCs w:val="18"/>
              </w:rPr>
              <w:t xml:space="preserve">Administrateur, lecteur, responsable de service (ne voit que ses services, exports compris), par groupe AD ou par compte.</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26.4.0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Installé par l'assistant dans C:\HeptagonesLM (non livré à part) ; utilisé par les tâches planifiées</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Seul fichier livré : 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named_seat, named_import</w:t>
            </w:r>
          </w:p>
        </w:tc>
        <w:tc>
          <w:tcPr>
            <w:tcW w:w="3583" w:type="dxa"/>
          </w:tcPr>
          <w:p>
            <w:pPr>
              <w:pStyle w:val="TableText"/>
            </w:pPr>
            <w:r>
              <w:rPr>
                <w:sz w:val="18"/>
                <w:szCs w:val="18"/>
              </w:rPr>
              <w:t xml:space="preserve">Licences Autodesk « utilisateur nommé » (état par date) et fichiers importés</w:t>
            </w:r>
          </w:p>
        </w:tc>
        <w:tc>
          <w:tcPr>
            <w:tcW w:w="2224" w:type="dxa"/>
          </w:tcPr>
          <w:p>
            <w:pPr>
              <w:pStyle w:val="TableText"/>
            </w:pPr>
            <w:r>
              <w:rPr>
                <w:sz w:val="18"/>
                <w:szCs w:val="18"/>
              </w:rPr>
              <w:t xml:space="preserve">1 ligne / licence / import</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named_usage_day</w:t>
            </w:r>
          </w:p>
        </w:tc>
        <w:tc>
          <w:tcPr>
            <w:tcW w:w="3583" w:type="dxa"/>
            <w:shd w:val="clear" w:color="auto" w:fill="F4F7FC"/>
          </w:tcPr>
          <w:p>
            <w:pPr>
              <w:pStyle w:val="TableText"/>
            </w:pPr>
            <w:r>
              <w:rPr>
                <w:sz w:val="18"/>
                <w:szCs w:val="18"/>
              </w:rPr>
              <w:t xml:space="preserve">Usage quotidien des licences nommées lu par l'API Autodesk (utilisateur × produit × jour)</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(8)</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Serveurs (type FlexLM ou RLM, triades, log debug) ; lmutil / rlmutil : chemin, dossier ou bouton « Rechercher l'outil » (ce serveur et les serveurs de licences, copie dans bin)</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Tickets ITSM</w:t>
            </w:r>
          </w:p>
        </w:tc>
        <w:tc>
          <w:tcPr>
            <w:tcW w:w="4405" w:type="dxa"/>
            <w:shd w:val="clear" w:color="auto" w:fill="F4F7FC"/>
          </w:tcPr>
          <w:p>
            <w:pPr>
              <w:pStyle w:val="TableText"/>
            </w:pPr>
            <w:r>
              <w:rPr>
                <w:sz w:val="18"/>
                <w:szCs w:val="18"/>
              </w:rPr>
              <w:t xml:space="preserve">Optionnel : ServiceNow, Jira, GLPI ou Teams / Slack ; adresse, compte technique, mot de passe ou jetons (chiffrés par DPAPI), gravité minimale</w:t>
            </w:r>
          </w:p>
        </w:tc>
        <w:tc>
          <w:tcPr>
            <w:tcW w:w="3029" w:type="dxa"/>
            <w:shd w:val="clear" w:color="auto" w:fill="F4F7FC"/>
          </w:tcPr>
          <w:p>
            <w:pPr>
              <w:pStyle w:val="TableText"/>
            </w:pPr>
            <w:r>
              <w:rPr>
                <w:sz w:val="18"/>
                <w:szCs w:val="18"/>
              </w:rPr>
              <w:t xml:space="preserve">Ticket de test ouvert, commenté puis résolu</w:t>
            </w:r>
          </w:p>
        </w:tc>
      </w:tr>
      <w:tr>
        <w:trPr>
          <w:cantSplit/>
        </w:trPr>
        <w:tc>
          <w:tcPr>
            <w:tcW w:w="2202" w:type="dxa"/>
          </w:tcPr>
          <w:p>
            <w:pPr>
              <w:pStyle w:val="TableText"/>
            </w:pPr>
            <w:r>
              <w:rPr>
                <w:sz w:val="18"/>
                <w:szCs w:val="18"/>
              </w:rPr>
              <w:t xml:space="preserve">9. Récapitulatif</w:t>
            </w:r>
          </w:p>
        </w:tc>
        <w:tc>
          <w:tcPr>
            <w:tcW w:w="4405" w:type="dxa"/>
          </w:tcPr>
          <w:p>
            <w:pPr>
              <w:pStyle w:val="TableText"/>
            </w:pPr>
            <w:r>
              <w:rPr>
                <w:sz w:val="18"/>
                <w:szCs w:val="18"/>
              </w:rPr>
              <w:t xml:space="preserve">Configuration, prérequis, tâches, étapes, heptagoneslm.yaml généré</w:t>
            </w:r>
          </w:p>
        </w:tc>
        <w:tc>
          <w:tcPr>
            <w:tcW w:w="3029" w:type="dxa"/>
          </w:tcPr>
          <w:p>
            <w:pPr>
              <w:pStyle w:val="TableText"/>
            </w:pPr>
            <w:r>
              <w:rPr>
                <w:sz w:val="18"/>
                <w:szCs w:val="18"/>
              </w:rPr>
              <w:t xml:space="preserve">Prérequis bloquants</w:t>
            </w:r>
          </w:p>
        </w:tc>
      </w:tr>
      <w:tr>
        <w:trPr>
          <w:cantSplit/>
        </w:trPr>
        <w:tc>
          <w:tcPr>
            <w:tcW w:w="2202" w:type="dxa"/>
            <w:shd w:val="clear" w:color="auto" w:fill="F4F7FC"/>
          </w:tcPr>
          <w:p>
            <w:pPr>
              <w:pStyle w:val="TableText"/>
            </w:pPr>
            <w:r>
              <w:rPr>
                <w:sz w:val="18"/>
                <w:szCs w:val="18"/>
              </w:rPr>
              <w:t xml:space="preserve">10. Installation</w:t>
            </w:r>
          </w:p>
        </w:tc>
        <w:tc>
          <w:tcPr>
            <w:tcW w:w="4405" w:type="dxa"/>
            <w:shd w:val="clear" w:color="auto" w:fill="F4F7FC"/>
          </w:tcPr>
          <w:p>
            <w:pPr>
              <w:pStyle w:val="TableText"/>
            </w:pPr>
            <w:r>
              <w:rPr>
                <w:sz w:val="18"/>
                <w:szCs w:val="18"/>
              </w:rPr>
              <w:t xml:space="preserve">Barre de progression, étapes, journal détaillé ; reprise à l'étape en échec</w:t>
            </w:r>
          </w:p>
        </w:tc>
        <w:tc>
          <w:tcPr>
            <w:tcW w:w="3029" w:type="dxa"/>
            <w:shd w:val="clear" w:color="auto" w:fill="F4F7FC"/>
          </w:tcPr>
          <w:p>
            <w:pPr>
              <w:pStyle w:val="TableText"/>
            </w:pPr>
            <w:r>
              <w:rPr>
                <w:sz w:val="18"/>
                <w:szCs w:val="18"/>
              </w:rPr>
              <w:t xml:space="preserve">—</w:t>
            </w:r>
          </w:p>
        </w:tc>
      </w:tr>
      <w:tr>
        <w:trPr>
          <w:cantSplit/>
        </w:trPr>
        <w:tc>
          <w:tcPr>
            <w:tcW w:w="2202" w:type="dxa"/>
          </w:tcPr>
          <w:p>
            <w:pPr>
              <w:pStyle w:val="TableText"/>
            </w:pPr>
            <w:r>
              <w:rPr>
                <w:sz w:val="18"/>
                <w:szCs w:val="18"/>
              </w:rPr>
              <w:t xml:space="preserve">11. Vérification</w:t>
            </w:r>
          </w:p>
        </w:tc>
        <w:tc>
          <w:tcPr>
            <w:tcW w:w="4405" w:type="dxa"/>
          </w:tcPr>
          <w:p>
            <w:pPr>
              <w:pStyle w:val="TableText"/>
            </w:pPr>
            <w:r>
              <w:rPr>
                <w:sz w:val="18"/>
                <w:szCs w:val="18"/>
              </w:rPr>
              <w:t xml:space="preserve">Contrôle de bout en bout (dont le secret ITSM) et rapport d'installation</w:t>
            </w:r>
          </w:p>
        </w:tc>
        <w:tc>
          <w:tcPr>
            <w:tcW w:w="3029" w:type="dxa"/>
          </w:tcPr>
          <w:p>
            <w:pPr>
              <w:pStyle w:val="TableText"/>
            </w:pPr>
            <w:r>
              <w:rPr>
                <w:sz w:val="18"/>
                <w:szCs w:val="18"/>
              </w:rPr>
              <w:t xml:space="preserve">Voir ci-dessous</w:t>
            </w:r>
          </w:p>
        </w:tc>
      </w:tr>
      <w:tr>
        <w:trPr>
          <w:cantSplit/>
        </w:trPr>
        <w:tc>
          <w:tcPr>
            <w:tcW w:w="2202" w:type="dxa"/>
            <w:shd w:val="clear" w:color="auto" w:fill="F4F7FC"/>
          </w:tcPr>
          <w:p>
            <w:pPr>
              <w:pStyle w:val="TableText"/>
            </w:pPr>
            <w:r>
              <w:rPr>
                <w:sz w:val="18"/>
                <w:szCs w:val="18"/>
              </w:rPr>
              <w:t xml:space="preserve">12. Recette</w:t>
            </w:r>
          </w:p>
        </w:tc>
        <w:tc>
          <w:tcPr>
            <w:tcW w:w="4405" w:type="dxa"/>
            <w:shd w:val="clear" w:color="auto" w:fill="F4F7FC"/>
          </w:tcPr>
          <w:p>
            <w:pPr>
              <w:pStyle w:val="TableText"/>
            </w:pPr>
            <w:r>
              <w:rPr>
                <w:sz w:val="18"/>
                <w:szCs w:val="18"/>
              </w:rPr>
              <w:t xml:space="preserve">Comparaison avec les serveurs de licences, collecte sur N heures, accès et refus, notifications, rapport ; PV Word</w:t>
            </w:r>
          </w:p>
        </w:tc>
        <w:tc>
          <w:tcPr>
            <w:tcW w:w="3029" w:type="dxa"/>
            <w:shd w:val="clear" w:color="auto" w:fill="F4F7FC"/>
          </w:tcPr>
          <w:p>
            <w:pPr>
              <w:pStyle w:val="TableText"/>
            </w:pPr>
            <w:r>
              <w:rPr>
                <w:sz w:val="18"/>
                <w:szCs w:val="18"/>
              </w:rPr>
              <w:t xml:space="preserve">Voir § 5.3</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tickets ITSM et ticket de test (ServiceNow)"/>
            <wp:cNvGraphicFramePr>
              <a:graphicFrameLocks noChangeAspect="1"/>
            </wp:cNvGraphicFramePr>
            <a:graphic>
              <a:graphicData uri="http://schemas.openxmlformats.org/drawingml/2006/picture">
                <pic:pic>
                  <pic:nvPicPr>
                    <pic:cNvPr id="8" name="installation-itsm.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tickets ITSM et ticket de test (ServiceNow)</w:t>
      </w:r>
      <w:bookmarkEnd w:id="32"/>
    </w:p>
    <w:p>
      <w:pPr>
        <w:pStyle w:val="Figure"/>
        <w:keepNext/>
      </w:pPr>
      <w:r>
        <w:drawing>
          <wp:inline distT="0" distB="0" distL="0" distR="0">
            <wp:extent cx="5580000" cy="3749062"/>
            <wp:docPr id="9" name="Image 9" descr="Assistant : récapitulatif avant installation"/>
            <wp:cNvGraphicFramePr>
              <a:graphicFrameLocks noChangeAspect="1"/>
            </wp:cNvGraphicFramePr>
            <a:graphic>
              <a:graphicData uri="http://schemas.openxmlformats.org/drawingml/2006/picture">
                <pic:pic>
                  <pic:nvPicPr>
                    <pic:cNvPr id="9" name="installation-recapitulatif.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récapitulatif avant installation</w:t>
      </w:r>
      <w:bookmarkEnd w:id="33"/>
    </w:p>
    <w:p>
      <w:pPr>
        <w:pStyle w:val="Figure"/>
        <w:keepNext/>
      </w:pPr>
      <w:r>
        <w:drawing>
          <wp:inline distT="0" distB="0" distL="0" distR="0">
            <wp:extent cx="5580000" cy="3749062"/>
            <wp:docPr id="10" name="Image 10" descr="Assistant : installation avec barre de progression"/>
            <wp:cNvGraphicFramePr>
              <a:graphicFrameLocks noChangeAspect="1"/>
            </wp:cNvGraphicFramePr>
            <a:graphic>
              <a:graphicData uri="http://schemas.openxmlformats.org/drawingml/2006/picture">
                <pic:pic>
                  <pic:nvPicPr>
                    <pic:cNvPr id="10" name="installation-progress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installation avec barre de progression</w:t>
      </w:r>
      <w:bookmarkEnd w:id="34"/>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ou chiffrés par Windows (DPAPI) dans secrets\ pour l'outil ITSM (dossier réservé à SYSTEM, aux administrateurs et au compte de service),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1" name="Image 11" descr="Assistant : vérification finale de bout en bout"/>
            <wp:cNvGraphicFramePr>
              <a:graphicFrameLocks noChangeAspect="1"/>
            </wp:cNvGraphicFramePr>
            <a:graphic>
              <a:graphicData uri="http://schemas.openxmlformats.org/drawingml/2006/picture">
                <pic:pic>
                  <pic:nvPicPr>
                    <pic:cNvPr id="11" name="installation-verification.png"/>
                    <pic:cNvPicPr/>
                  </pic:nvPicPr>
                  <pic:blipFill>
                    <a:blip r:embed="rIdImg11"/>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5" w:name="_Fig00035"/>
      <w:r>
        <w:rPr/>
        <w:t xml:space="preserve">Figure </w:t>
      </w:r>
      <w:fldSimple w:instr=" SEQ Figure \* ARABIC ">
        <w:r>
          <w:t>10</w:t>
        </w:r>
      </w:fldSimple>
      <w:r>
        <w:rPr/>
        <w:t xml:space="preserve"> – Assistant : vérification finale de bout en bout</w:t>
      </w:r>
      <w:bookmarkEnd w:id="35"/>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6" w:name="_Toc00036"/>
      <w:r>
        <w:rPr/>
        <w:t xml:space="preserve">Authentification unique : SPN, zone Intranet et test depuis un poste</w:t>
      </w:r>
      <w:bookmarkEnd w:id="36"/>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2" name="Image 12" descr="Page de test d'accès depuis un poste utilisateur (/acces)"/>
            <wp:cNvGraphicFramePr>
              <a:graphicFrameLocks noChangeAspect="1"/>
            </wp:cNvGraphicFramePr>
            <a:graphic>
              <a:graphicData uri="http://schemas.openxmlformats.org/drawingml/2006/picture">
                <pic:pic>
                  <pic:nvPicPr>
                    <pic:cNvPr id="12" name="test-acces.png"/>
                    <pic:cNvPicPr/>
                  </pic:nvPicPr>
                  <pic:blipFill>
                    <a:blip r:embed="rIdImg12"/>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7" w:name="_Fig00037"/>
      <w:r>
        <w:rPr/>
        <w:t xml:space="preserve">Figure </w:t>
      </w:r>
      <w:fldSimple w:instr=" SEQ Figure \* ARABIC ">
        <w:r>
          <w:t>11</w:t>
        </w:r>
      </w:fldSimple>
      <w:r>
        <w:rPr/>
        <w:t xml:space="preserve"> – Page de test d'accès depuis un poste utilisateur (/acces)</w:t>
      </w:r>
      <w:bookmarkEnd w:id="37"/>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8" w:name="_Toc00038"/>
      <w:r>
        <w:rPr/>
        <w:t xml:space="preserve">Installation silencieuse et serveur hors ligne</w:t>
      </w:r>
      <w:bookmarkEnd w:id="38"/>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3"/>
      </w:pPr>
      <w:bookmarkStart w:id="39" w:name="_Toc00039"/>
      <w:r>
        <w:rPr/>
        <w:t xml:space="preserve">Mise à jour, réglages et fermeture de l'assistant</w:t>
      </w:r>
      <w:bookmarkEnd w:id="39"/>
    </w:p>
    <w:p>
      <w:pPr/>
      <w:r>
        <w:rPr>
          <w:rFonts w:ascii="Consolas" w:hAnsi="Consolas" w:cs="Consolas"/>
          <w:color w:val="1C5CAB"/>
          <w:sz w:val="18"/>
          <w:szCs w:val="18"/>
          <w:shd w:val="clear" w:color="auto" w:fill="EEF3FA"/>
        </w:rPr>
        <w:t xml:space="preserve">HeptagonesLM-Setup.exe</w:t>
      </w:r>
      <w:r>
        <w:rPr/>
        <w:t xml:space="preserve"> est une application fenêtrée : au double-clic, seul le navigateur s'affiche, sans fenêtre console, y compris pendant l'installation. Sur un serveur déjà équipé, la page d'accueil reconnaît l'installation et sa version, et propose :</w:t>
      </w:r>
    </w:p>
    <w:p>
      <w:pPr>
        <w:pStyle w:val="Caption"/>
        <w:keepNext/>
      </w:pPr>
      <w:r>
        <w:rPr/>
        <w:t xml:space="preserve">Tableau 14 – Actions sur une installation existante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Bouton</w:t>
            </w:r>
          </w:p>
        </w:tc>
        <w:tc>
          <w:tcPr>
            <w:tcW w:w="6608" w:type="dxa"/>
            <w:shd w:val="clear" w:color="auto" w:fill="2A78D6"/>
          </w:tcPr>
          <w:p>
            <w:pPr>
              <w:pStyle w:val="TableText"/>
            </w:pPr>
            <w:r>
              <w:rPr>
                <w:b/>
                <w:color w:val="FFFFFF"/>
                <w:sz w:val="18"/>
                <w:szCs w:val="18"/>
              </w:rPr>
              <w:t xml:space="preserve">Effet</w:t>
            </w:r>
          </w:p>
        </w:tc>
      </w:tr>
      <w:tr>
        <w:trPr>
          <w:cantSplit/>
        </w:trPr>
        <w:tc>
          <w:tcPr>
            <w:tcW w:w="3029" w:type="dxa"/>
          </w:tcPr>
          <w:p>
            <w:pPr>
              <w:pStyle w:val="TableText"/>
            </w:pPr>
            <w:r>
              <w:rPr>
                <w:sz w:val="18"/>
                <w:szCs w:val="18"/>
              </w:rPr>
              <w:t xml:space="preserve">Mettre à jour vers 26.3.x / Réappliquer la mise à jour</w:t>
            </w:r>
          </w:p>
        </w:tc>
        <w:tc>
          <w:tcPr>
            <w:tcW w:w="6608" w:type="dxa"/>
          </w:tcPr>
          <w:p>
            <w:pPr>
              <w:pStyle w:val="TableText"/>
            </w:pPr>
            <w:r>
              <w:rPr>
                <w:sz w:val="18"/>
                <w:szCs w:val="18"/>
              </w:rPr>
              <w:t xml:space="preserve">Sauvegarde (configuration, réponses, web.config, base SQLite), remplacement de l'exécutable, schéma, droits, relance de l'interface, collecte de contrôle puis vérification ; rien n'est ressaisi. « Réappliquer » réinstalle les correctifs d'une même version</w:t>
            </w:r>
          </w:p>
        </w:tc>
      </w:tr>
      <w:tr>
        <w:trPr>
          <w:cantSplit/>
        </w:trPr>
        <w:tc>
          <w:tcPr>
            <w:tcW w:w="3029" w:type="dxa"/>
            <w:shd w:val="clear" w:color="auto" w:fill="F4F7FC"/>
          </w:tcPr>
          <w:p>
            <w:pPr>
              <w:pStyle w:val="TableText"/>
            </w:pPr>
            <w:r>
              <w:rPr>
                <w:sz w:val="18"/>
                <w:szCs w:val="18"/>
              </w:rPr>
              <w:t xml:space="preserve">Configurer les licences Autodesk</w:t>
            </w:r>
          </w:p>
        </w:tc>
        <w:tc>
          <w:tcPr>
            <w:tcW w:w="6608" w:type="dxa"/>
            <w:shd w:val="clear" w:color="auto" w:fill="F4F7FC"/>
          </w:tcPr>
          <w:p>
            <w:pPr>
              <w:pStyle w:val="TableText"/>
            </w:pPr>
            <w:r>
              <w:rPr>
                <w:sz w:val="18"/>
                <w:szCs w:val="18"/>
              </w:rPr>
              <w:t xml:space="preserve">Exports du portail et API Autodesk (connexion comprise) : seule la section </w:t>
            </w:r>
            <w:r>
              <w:rPr>
                <w:rFonts w:ascii="Consolas" w:hAnsi="Consolas" w:cs="Consolas"/>
                <w:color w:val="1C5CAB"/>
                <w:sz w:val="18"/>
                <w:szCs w:val="18"/>
                <w:shd w:val="clear" w:color="auto" w:fill="EEF3FA"/>
              </w:rPr>
              <w:t xml:space="preserve">autodesk</w:t>
            </w:r>
            <w:r>
              <w:rPr>
                <w:sz w:val="18"/>
                <w:szCs w:val="18"/>
              </w:rPr>
              <w:t xml:space="preserve"> de heptagoneslm.yaml est écrite, Client Secret chiffré (DPAPI)</w:t>
            </w:r>
          </w:p>
        </w:tc>
      </w:tr>
      <w:tr>
        <w:trPr>
          <w:cantSplit/>
        </w:trPr>
        <w:tc>
          <w:tcPr>
            <w:tcW w:w="3029" w:type="dxa"/>
          </w:tcPr>
          <w:p>
            <w:pPr>
              <w:pStyle w:val="TableText"/>
            </w:pPr>
            <w:r>
              <w:rPr>
                <w:sz w:val="18"/>
                <w:szCs w:val="18"/>
              </w:rPr>
              <w:t xml:space="preserve">Administrateurs de l'interface web</w:t>
            </w:r>
          </w:p>
        </w:tc>
        <w:tc>
          <w:tcPr>
            <w:tcW w:w="6608" w:type="dxa"/>
          </w:tcPr>
          <w:p>
            <w:pPr>
              <w:pStyle w:val="TableText"/>
            </w:pPr>
            <w:r>
              <w:rPr>
                <w:sz w:val="18"/>
                <w:szCs w:val="18"/>
              </w:rPr>
              <w:t xml:space="preserve">Groupe AD autorisé à la rubrique Administration (§ 8.16) : </w:t>
            </w:r>
            <w:r>
              <w:rPr>
                <w:rFonts w:ascii="Consolas" w:hAnsi="Consolas" w:cs="Consolas"/>
                <w:color w:val="1C5CAB"/>
                <w:sz w:val="18"/>
                <w:szCs w:val="18"/>
                <w:shd w:val="clear" w:color="auto" w:fill="EEF3FA"/>
              </w:rPr>
              <w:t xml:space="preserve">web.roles</w:t>
            </w:r>
            <w:r>
              <w:rPr>
                <w:sz w:val="18"/>
                <w:szCs w:val="18"/>
              </w:rPr>
              <w:t xml:space="preserve">, web.config IIS et droits du compte de service mis à jour</w:t>
            </w:r>
          </w:p>
        </w:tc>
      </w:tr>
      <w:tr>
        <w:trPr>
          <w:cantSplit/>
        </w:trPr>
        <w:tc>
          <w:tcPr>
            <w:tcW w:w="3029" w:type="dxa"/>
            <w:shd w:val="clear" w:color="auto" w:fill="F4F7FC"/>
          </w:tcPr>
          <w:p>
            <w:pPr>
              <w:pStyle w:val="TableText"/>
            </w:pPr>
            <w:r>
              <w:rPr>
                <w:sz w:val="18"/>
                <w:szCs w:val="18"/>
              </w:rPr>
              <w:t xml:space="preserve">Faire la recette</w:t>
            </w:r>
          </w:p>
        </w:tc>
        <w:tc>
          <w:tcPr>
            <w:tcW w:w="6608" w:type="dxa"/>
            <w:shd w:val="clear" w:color="auto" w:fill="F4F7FC"/>
          </w:tcPr>
          <w:p>
            <w:pPr>
              <w:pStyle w:val="TableText"/>
            </w:pPr>
            <w:r>
              <w:rPr>
                <w:sz w:val="18"/>
                <w:szCs w:val="18"/>
              </w:rPr>
              <w:t xml:space="preserve">Recette de l'installation existante et PV (§ 5.3)</w:t>
            </w:r>
          </w:p>
        </w:tc>
      </w:tr>
      <w:tr>
        <w:trPr>
          <w:cantSplit/>
        </w:trPr>
        <w:tc>
          <w:tcPr>
            <w:tcW w:w="3029" w:type="dxa"/>
          </w:tcPr>
          <w:p>
            <w:pPr>
              <w:pStyle w:val="TableText"/>
            </w:pPr>
            <w:r>
              <w:rPr>
                <w:sz w:val="18"/>
                <w:szCs w:val="18"/>
              </w:rPr>
              <w:t xml:space="preserve">Réinstaller (assistant complet)</w:t>
            </w:r>
          </w:p>
        </w:tc>
        <w:tc>
          <w:tcPr>
            <w:tcW w:w="6608" w:type="dxa"/>
          </w:tcPr>
          <w:p>
            <w:pPr>
              <w:pStyle w:val="TableText"/>
            </w:pPr>
            <w:r>
              <w:rPr>
                <w:sz w:val="18"/>
                <w:szCs w:val="18"/>
              </w:rPr>
              <w:t xml:space="preserve">Toutes les étapes ; les réglages ajoutés à la main dans heptagoneslm.yaml (products, sites, rétention, coûts, rôles…) sont conservés</w:t>
            </w:r>
          </w:p>
        </w:tc>
      </w:tr>
    </w:tbl>
    <w:p>
      <w:pPr>
        <w:spacing w:after="80"/>
      </w:pPr>
    </w:p>
    <w:p>
      <w:pPr/>
      <w:r>
        <w:rPr/>
        <w:t xml:space="preserve">En fin d'installation, une icône </w:t>
      </w:r>
      <w:r>
        <w:rPr>
          <w:b/>
        </w:rPr>
        <w:t xml:space="preserve">HeptagonesLM</w:t>
      </w:r>
      <w:r>
        <w:rPr/>
        <w:t xml:space="preserve"> est créée sur le bureau de tous les utilisateurs et dans le menu Démarrer : elle ouvre le tableau de bord. Le bouton </w:t>
      </w:r>
      <w:r>
        <w:rPr>
          <w:b/>
        </w:rPr>
        <w:t xml:space="preserve">Quitter l'assistant</w:t>
      </w:r>
      <w:r>
        <w:rPr/>
        <w:t xml:space="preserve"> ferme l'assistant, qui s'arrête aussi seul après 30 minutes sans onglet ouvert. En mode silencieux, lancer le Setup avec </w:t>
      </w:r>
      <w:r>
        <w:rPr>
          <w:rFonts w:ascii="Consolas" w:hAnsi="Consolas" w:cs="Consolas"/>
          <w:color w:val="1C5CAB"/>
          <w:sz w:val="18"/>
          <w:szCs w:val="18"/>
          <w:shd w:val="clear" w:color="auto" w:fill="EEF3FA"/>
        </w:rPr>
        <w:t xml:space="preserve">start /wait</w:t>
      </w:r>
      <w:r>
        <w:rPr/>
        <w:t xml:space="preserve"> ou </w:t>
      </w:r>
      <w:r>
        <w:rPr>
          <w:rFonts w:ascii="Consolas" w:hAnsi="Consolas" w:cs="Consolas"/>
          <w:color w:val="1C5CAB"/>
          <w:sz w:val="18"/>
          <w:szCs w:val="18"/>
          <w:shd w:val="clear" w:color="auto" w:fill="EEF3FA"/>
        </w:rPr>
        <w:t xml:space="preserve">Start-Process -Wait</w:t>
      </w:r>
      <w:r>
        <w:rPr/>
        <w:t xml:space="preserve"> pour récupérer le code retour (</w:t>
      </w:r>
      <w:r>
        <w:rPr>
          <w:rFonts w:ascii="Consolas" w:hAnsi="Consolas" w:cs="Consolas"/>
          <w:color w:val="1C5CAB"/>
          <w:sz w:val="18"/>
          <w:szCs w:val="18"/>
          <w:shd w:val="clear" w:color="auto" w:fill="EEF3FA"/>
        </w:rPr>
        <w:t xml:space="preserve">setup --update</w:t>
      </w:r>
      <w:r>
        <w:rPr/>
        <w:t xml:space="preserve"> pour une mise à jour).</w:t>
      </w:r>
    </w:p>
    <w:p>
      <w:pPr>
        <w:pStyle w:val="Heading2"/>
      </w:pPr>
      <w:bookmarkStart w:id="40" w:name="_Toc00040"/>
      <w:r>
        <w:rPr/>
        <w:t xml:space="preserve">5.2 Installation manuelle</w:t>
      </w:r>
      <w:bookmarkEnd w:id="40"/>
    </w:p>
    <w:p>
      <w:pPr/>
      <w:r>
        <w:rPr/>
        <w:t xml:space="preserve">Étapes équivalentes à celles de l'assistant, à dérouler dans l'ordre.</w:t>
      </w:r>
    </w:p>
    <w:p>
      <w:pPr>
        <w:pStyle w:val="Heading3"/>
      </w:pPr>
      <w:bookmarkStart w:id="41" w:name="_Toc00041"/>
      <w:r>
        <w:rPr/>
        <w:t xml:space="preserve">5.2.1 Création de la base (DBA)</w:t>
      </w:r>
      <w:bookmarkEnd w:id="41"/>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2" w:name="_Toc00042"/>
      <w:r>
        <w:rPr/>
        <w:t xml:space="preserve">5.2.2 Déploiement des binaires</w:t>
      </w:r>
      <w:bookmarkEnd w:id="42"/>
    </w:p>
    <w:p>
      <w:pPr/>
      <w:r>
        <w:rPr>
          <w:b/>
        </w:rPr>
        <w:t xml:space="preserve">Option A — exécutable (recommandée)</w:t>
      </w:r>
      <w:r>
        <w:rPr/>
        <w:t xml:space="preserve"> : seul </w:t>
      </w:r>
      <w:r>
        <w:rPr>
          <w:rFonts w:ascii="Consolas" w:hAnsi="Consolas" w:cs="Consolas"/>
          <w:color w:val="1C5CAB"/>
          <w:sz w:val="18"/>
          <w:szCs w:val="18"/>
          <w:shd w:val="clear" w:color="auto" w:fill="EEF3FA"/>
        </w:rPr>
        <w:t xml:space="preserve">HeptagonesLM-Setup.exe</w:t>
      </w:r>
      <w:r>
        <w:rPr/>
        <w:t xml:space="preserve"> est publié (page Releases du dépôt) ; il contient </w:t>
      </w:r>
      <w:r>
        <w:rPr>
          <w:rFonts w:ascii="Consolas" w:hAnsi="Consolas" w:cs="Consolas"/>
          <w:color w:val="1C5CAB"/>
          <w:sz w:val="18"/>
          <w:szCs w:val="18"/>
          <w:shd w:val="clear" w:color="auto" w:fill="EEF3FA"/>
        </w:rPr>
        <w:t xml:space="preserve">HeptagonesLM.exe</w:t>
      </w:r>
      <w:r>
        <w:rPr/>
        <w:t xml:space="preserve"> et l'installe dans </w:t>
      </w:r>
      <w:r>
        <w:rPr>
          <w:rFonts w:ascii="Consolas" w:hAnsi="Consolas" w:cs="Consolas"/>
          <w:color w:val="1C5CAB"/>
          <w:sz w:val="18"/>
          <w:szCs w:val="18"/>
          <w:shd w:val="clear" w:color="auto" w:fill="EEF3FA"/>
        </w:rPr>
        <w:t xml:space="preserve">C:\HeptagonesLM</w:t>
      </w:r>
      <w:r>
        <w:rPr/>
        <w:t xml:space="preserve"> (§ 5.1). Vérifier d'abord son empreinte :</w:t>
      </w:r>
    </w:p>
    <w:p>
      <w:pPr>
        <w:pStyle w:val="Code"/>
      </w:pPr>
      <w:r>
        <w:t xml:space="preserve">Get-FileHash HeptagonesLM-Setup.exe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3" w:name="_Toc00043"/>
      <w:r>
        <w:rPr/>
        <w:t xml:space="preserve">5.2.3 Configuration</w:t>
      </w:r>
      <w:bookmarkEnd w:id="43"/>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4" w:name="_Toc00044"/>
      <w:r>
        <w:rPr/>
        <w:t xml:space="preserve">5.2.4 Initialisation du schéma</w:t>
      </w:r>
      <w:bookmarkEnd w:id="44"/>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5" w:name="_Toc00045"/>
      <w:r>
        <w:rPr/>
        <w:t xml:space="preserve">5.2.5 Vérification des serveurs de licences</w:t>
      </w:r>
      <w:bookmarkEnd w:id="45"/>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6" w:name="_Toc00046"/>
      <w:r>
        <w:rPr/>
        <w:t xml:space="preserve">5.2.6 Planification des tâches</w:t>
      </w:r>
      <w:bookmarkEnd w:id="46"/>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7" w:name="_Toc00047"/>
      <w:r>
        <w:rPr/>
        <w:t xml:space="preserve">5.2.7 Référentiel utilisateurs</w:t>
      </w:r>
      <w:bookmarkEnd w:id="47"/>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8" w:name="_Toc00048"/>
      <w:r>
        <w:rPr/>
        <w:t xml:space="preserve">5.2.8 Reprise d'historique (option)</w:t>
      </w:r>
      <w:bookmarkEnd w:id="48"/>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9" w:name="_Toc00049"/>
      <w:r>
        <w:rPr/>
        <w:t xml:space="preserve">5.2.9 Ouverture de l'interface sur le réseau</w:t>
      </w:r>
      <w:bookmarkEnd w:id="49"/>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50" w:name="_Toc00050"/>
      <w:r>
        <w:rPr/>
        <w:t xml:space="preserve">5.3 Recette de mise en service</w:t>
      </w:r>
      <w:bookmarkEnd w:id="50"/>
    </w:p>
    <w:p>
      <w:pPr/>
      <w:r>
        <w:rPr/>
        <w:t xml:space="preserve">La recette est réalisée par l'assistant (étape 12, ou bouton « Faire la recette de cette installation » sur l'accueil quand HeptagonesLM est déjà installé). Elle déclenche la tâche planifiée de collecte sous le compte de service, interroge en direct chaque serveur de licences (</w:t>
      </w:r>
      <w:r>
        <w:rPr>
          <w:rFonts w:ascii="Consolas" w:hAnsi="Consolas" w:cs="Consolas"/>
          <w:color w:val="1C5CAB"/>
          <w:sz w:val="18"/>
          <w:szCs w:val="18"/>
          <w:shd w:val="clear" w:color="auto" w:fill="EEF3FA"/>
        </w:rPr>
        <w:t xml:space="preserve">lmstat</w:t>
      </w:r>
      <w:r>
        <w:rPr/>
        <w:t xml:space="preserve"> / </w:t>
      </w:r>
      <w:r>
        <w:rPr>
          <w:rFonts w:ascii="Consolas" w:hAnsi="Consolas" w:cs="Consolas"/>
          <w:color w:val="1C5CAB"/>
          <w:sz w:val="18"/>
          <w:szCs w:val="18"/>
          <w:shd w:val="clear" w:color="auto" w:fill="EEF3FA"/>
        </w:rPr>
        <w:t xml:space="preserve">rlmstat</w:t>
      </w:r>
      <w:r>
        <w:rPr/>
        <w:t xml:space="preserve">) et compare, feature par feature, les jetons émis et utilisés lus dans la sortie brute avec les données enregistrées par HeptagonesLM. Elle vérifie aussi l'historique des collectes sur la durée choisie, la chaîne de bout en bout, l'accès d'un membre du groupe et le refus d'un compte extérieur, l'e-mail, le ticket ITSM et le rapport Excel de test (confirmés par l'opérateur).</w:t>
      </w:r>
    </w:p>
    <w:p>
      <w:pPr>
        <w:pStyle w:val="Figure"/>
        <w:keepNext/>
      </w:pPr>
      <w:r>
        <w:drawing>
          <wp:inline distT="0" distB="0" distL="0" distR="0">
            <wp:extent cx="5580000" cy="6430609"/>
            <wp:docPr id="13" name="Image 13" descr="Recette : comparaison avec les serveurs de licences"/>
            <wp:cNvGraphicFramePr>
              <a:graphicFrameLocks noChangeAspect="1"/>
            </wp:cNvGraphicFramePr>
            <a:graphic>
              <a:graphicData uri="http://schemas.openxmlformats.org/drawingml/2006/picture">
                <pic:pic>
                  <pic:nvPicPr>
                    <pic:cNvPr id="13" name="recette-comparaison.png"/>
                    <pic:cNvPicPr/>
                  </pic:nvPicPr>
                  <pic:blipFill>
                    <a:blip r:embed="rIdImg13"/>
                    <a:stretch>
                      <a:fillRect/>
                    </a:stretch>
                  </pic:blipFill>
                  <pic:spPr>
                    <a:xfrm>
                      <a:off x="0" y="0"/>
                      <a:ext cx="5580000" cy="6430609"/>
                    </a:xfrm>
                    <a:prstGeom prst="rect">
                      <a:avLst/>
                    </a:prstGeom>
                    <a:ln w="9525">
                      <a:solidFill>
                        <a:srgbClr val="D9D8D2"/>
                      </a:solidFill>
                    </a:ln>
                  </pic:spPr>
                </pic:pic>
              </a:graphicData>
            </a:graphic>
          </wp:inline>
        </w:drawing>
      </w:r>
    </w:p>
    <w:p>
      <w:pPr>
        <w:pStyle w:val="Caption"/>
      </w:pPr>
      <w:bookmarkStart w:id="51" w:name="_Fig00051"/>
      <w:r>
        <w:rPr/>
        <w:t xml:space="preserve">Figure </w:t>
      </w:r>
      <w:fldSimple w:instr=" SEQ Figure \* ARABIC ">
        <w:r>
          <w:t>12</w:t>
        </w:r>
      </w:fldSimple>
      <w:r>
        <w:rPr/>
        <w:t xml:space="preserve"> – Recette : comparaison avec les serveurs de licences</w:t>
      </w:r>
      <w:bookmarkEnd w:id="51"/>
    </w:p>
    <w:p>
      <w:pPr/>
      <w:r>
        <w:rPr/>
        <w:t xml:space="preserve">Les preuves (sorties brutes, anonymisables, résumés attendus, résultats) sont écrites dans </w:t>
      </w:r>
      <w:r>
        <w:rPr>
          <w:rFonts w:ascii="Consolas" w:hAnsi="Consolas" w:cs="Consolas"/>
          <w:color w:val="1C5CAB"/>
          <w:sz w:val="18"/>
          <w:szCs w:val="18"/>
          <w:shd w:val="clear" w:color="auto" w:fill="EEF3FA"/>
        </w:rPr>
        <w:t xml:space="preserve">&lt;installation&gt;\recette\&lt;horodatage&gt;\</w:t>
      </w:r>
      <w:r>
        <w:rPr/>
        <w:t xml:space="preserve"> et téléchargeables en archive. Le </w:t>
      </w:r>
      <w:r>
        <w:rPr>
          <w:b/>
        </w:rPr>
        <w:t xml:space="preserve">PV de recette</w:t>
      </w:r>
      <w:r>
        <w:rPr/>
        <w:t xml:space="preserve"> Word reprend chaque point, les comparaisons et un cadre de signature (intégrateur et client).</w:t>
      </w:r>
    </w:p>
    <w:p>
      <w:pPr>
        <w:pStyle w:val="Figure"/>
        <w:keepNext/>
      </w:pPr>
      <w:r>
        <w:drawing>
          <wp:inline distT="0" distB="0" distL="0" distR="0">
            <wp:extent cx="5580000" cy="2459477"/>
            <wp:docPr id="14" name="Image 14" descr="Recette : PV de recette et archive des preuves"/>
            <wp:cNvGraphicFramePr>
              <a:graphicFrameLocks noChangeAspect="1"/>
            </wp:cNvGraphicFramePr>
            <a:graphic>
              <a:graphicData uri="http://schemas.openxmlformats.org/drawingml/2006/picture">
                <pic:pic>
                  <pic:nvPicPr>
                    <pic:cNvPr id="14" name="recette-pv.png"/>
                    <pic:cNvPicPr/>
                  </pic:nvPicPr>
                  <pic:blipFill>
                    <a:blip r:embed="rIdImg14"/>
                    <a:stretch>
                      <a:fillRect/>
                    </a:stretch>
                  </pic:blipFill>
                  <pic:spPr>
                    <a:xfrm>
                      <a:off x="0" y="0"/>
                      <a:ext cx="5580000" cy="2459477"/>
                    </a:xfrm>
                    <a:prstGeom prst="rect">
                      <a:avLst/>
                    </a:prstGeom>
                    <a:ln w="9525">
                      <a:solidFill>
                        <a:srgbClr val="D9D8D2"/>
                      </a:solidFill>
                    </a:ln>
                  </pic:spPr>
                </pic:pic>
              </a:graphicData>
            </a:graphic>
          </wp:inline>
        </w:drawing>
      </w:r>
    </w:p>
    <w:p>
      <w:pPr>
        <w:pStyle w:val="Caption"/>
      </w:pPr>
      <w:bookmarkStart w:id="52" w:name="_Fig00052"/>
      <w:r>
        <w:rPr/>
        <w:t xml:space="preserve">Figure </w:t>
      </w:r>
      <w:fldSimple w:instr=" SEQ Figure \* ARABIC ">
        <w:r>
          <w:t>13</w:t>
        </w:r>
      </w:fldSimple>
      <w:r>
        <w:rPr/>
        <w:t xml:space="preserve"> – Recette : PV de recette et archive des preuves</w:t>
      </w:r>
      <w:bookmarkEnd w:id="52"/>
    </w:p>
    <w:p>
      <w:pPr/>
      <w:r>
        <w:rPr/>
        <w:t xml:space="preserve">Les sorties enregistrées peuvent être ajoutées aux tests de non-régression du projet (</w:t>
      </w:r>
      <w:r>
        <w:rPr>
          <w:rFonts w:ascii="Consolas" w:hAnsi="Consolas" w:cs="Consolas"/>
          <w:color w:val="1C5CAB"/>
          <w:sz w:val="18"/>
          <w:szCs w:val="18"/>
          <w:shd w:val="clear" w:color="auto" w:fill="EEF3FA"/>
        </w:rPr>
        <w:t xml:space="preserve">tests/fixtures/reel</w:t>
      </w:r>
      <w:r>
        <w:rPr/>
        <w:t xml:space="preserve">). Contrôles complémentaires à dérouler manuellement :</w:t>
      </w:r>
    </w:p>
    <w:p>
      <w:pPr>
        <w:pStyle w:val="Caption"/>
        <w:keepNext/>
      </w:pPr>
      <w:r>
        <w:rPr/>
        <w:t xml:space="preserve">Tableau 15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v7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53" w:name="_Toc00053"/>
      <w:r>
        <w:rPr/>
        <w:t xml:space="preserve">6. Configuration de référence</w:t>
      </w:r>
      <w:bookmarkEnd w:id="53"/>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4" w:name="_Toc00054"/>
      <w:r>
        <w:rPr/>
        <w:t xml:space="preserve">6.1 Sections du fichier</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 échéance du contrat</w:t>
            </w:r>
          </w:p>
        </w:tc>
      </w:tr>
      <w:tr>
        <w:trPr>
          <w:cantSplit/>
        </w:trPr>
        <w:tc>
          <w:tcPr>
            <w:tcW w:w="1927" w:type="dxa"/>
            <w:shd w:val="clear" w:color="auto" w:fill="F4F7FC"/>
          </w:tcPr>
          <w:p>
            <w:pPr>
              <w:pStyle w:val="TableText"/>
            </w:pPr>
            <w:r>
              <w:rPr>
                <w:sz w:val="18"/>
                <w:szCs w:val="18"/>
              </w:rPr>
              <w:t xml:space="preserve">projects</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Règles d'affectation des sessions aux projets (refacturation par projet)</w:t>
            </w:r>
          </w:p>
        </w:tc>
      </w:tr>
      <w:tr>
        <w:trPr>
          <w:cantSplit/>
        </w:trPr>
        <w:tc>
          <w:tcPr>
            <w:tcW w:w="1927" w:type="dxa"/>
          </w:tcPr>
          <w:p>
            <w:pPr>
              <w:pStyle w:val="TableText"/>
            </w:pPr>
            <w:r>
              <w:rPr>
                <w:sz w:val="18"/>
                <w:szCs w:val="18"/>
              </w:rPr>
              <w:t xml:space="preserve">reporting</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Rapports : dossier, heures ouvrées, devise, couverture cible</w:t>
            </w:r>
          </w:p>
        </w:tc>
      </w:tr>
      <w:tr>
        <w:trPr>
          <w:cantSplit/>
        </w:trPr>
        <w:tc>
          <w:tcPr>
            <w:tcW w:w="1927" w:type="dxa"/>
            <w:shd w:val="clear" w:color="auto" w:fill="F4F7FC"/>
          </w:tcPr>
          <w:p>
            <w:pPr>
              <w:pStyle w:val="TableText"/>
            </w:pPr>
            <w:r>
              <w:rPr>
                <w:sz w:val="18"/>
                <w:szCs w:val="18"/>
              </w:rPr>
              <w:t xml:space="preserve">web</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Interface : adresse, port, HTTPS, authentification</w:t>
            </w:r>
          </w:p>
        </w:tc>
      </w:tr>
      <w:tr>
        <w:trPr>
          <w:cantSplit/>
        </w:trPr>
        <w:tc>
          <w:tcPr>
            <w:tcW w:w="1927" w:type="dxa"/>
          </w:tcPr>
          <w:p>
            <w:pPr>
              <w:pStyle w:val="TableText"/>
            </w:pPr>
            <w:r>
              <w:rPr>
                <w:sz w:val="18"/>
                <w:szCs w:val="18"/>
              </w:rPr>
              <w:t xml:space="preserve">email</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Serveur SMTP et abonnements au rapport</w:t>
            </w:r>
          </w:p>
        </w:tc>
      </w:tr>
      <w:tr>
        <w:trPr>
          <w:cantSplit/>
        </w:trPr>
        <w:tc>
          <w:tcPr>
            <w:tcW w:w="1927" w:type="dxa"/>
            <w:shd w:val="clear" w:color="auto" w:fill="F4F7FC"/>
          </w:tcPr>
          <w:p>
            <w:pPr>
              <w:pStyle w:val="TableText"/>
            </w:pPr>
            <w:r>
              <w:rPr>
                <w:sz w:val="18"/>
                <w:szCs w:val="18"/>
              </w:rPr>
              <w:t xml:space="preserve">retention</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Durées de conservation</w:t>
            </w:r>
          </w:p>
        </w:tc>
      </w:tr>
    </w:tbl>
    <w:p>
      <w:pPr>
        <w:spacing w:after="80"/>
      </w:pPr>
    </w:p>
    <w:p>
      <w:pPr>
        <w:pStyle w:val="Heading2"/>
      </w:pPr>
      <w:bookmarkStart w:id="55" w:name="_Toc00055"/>
      <w:r>
        <w:rPr/>
        <w:t xml:space="preserve">6.2 Paramètres détaillés</w:t>
      </w:r>
      <w:bookmarkEnd w:id="55"/>
    </w:p>
    <w:p>
      <w:pPr>
        <w:pStyle w:val="Heading3"/>
      </w:pPr>
      <w:bookmarkStart w:id="56" w:name="_Toc00056"/>
      <w:r>
        <w:rPr/>
        <w:t xml:space="preserve">database, lmutil_path, logging</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7" w:name="_Toc00057"/>
      <w:r>
        <w:rPr/>
        <w:t xml:space="preserve">servers (un bloc par serveur de licences)</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8" w:name="_Toc00058"/>
      <w:r>
        <w:rPr/>
        <w:t xml:space="preserve">products (règles de correspondance)</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9" w:name="_Toc00059"/>
      <w:r>
        <w:rPr/>
        <w:t xml:space="preserve">reporting</w:t>
      </w:r>
      <w:bookmarkEnd w:id="59"/>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60" w:name="_Toc00060"/>
      <w:r>
        <w:rPr/>
        <w:t xml:space="preserve">web et web.auth</w:t>
      </w:r>
      <w:bookmarkEnd w:id="6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r>
        <w:trPr>
          <w:cantSplit/>
        </w:trPr>
        <w:tc>
          <w:tcPr>
            <w:tcW w:w="3166" w:type="dxa"/>
            <w:shd w:val="clear" w:color="auto" w:fill="F4F7FC"/>
          </w:tcPr>
          <w:p>
            <w:pPr>
              <w:pStyle w:val="TableText"/>
            </w:pPr>
            <w:r>
              <w:rPr>
                <w:sz w:val="18"/>
                <w:szCs w:val="18"/>
              </w:rPr>
              <w:t xml:space="preserve">auth.groups_header</w:t>
            </w:r>
          </w:p>
        </w:tc>
        <w:tc>
          <w:tcPr>
            <w:tcW w:w="2065" w:type="dxa"/>
            <w:shd w:val="clear" w:color="auto" w:fill="F4F7FC"/>
          </w:tcPr>
          <w:p>
            <w:pPr>
              <w:pStyle w:val="TableText"/>
            </w:pPr>
            <w:r>
              <w:rPr>
                <w:sz w:val="18"/>
                <w:szCs w:val="18"/>
              </w:rPr>
              <w:t xml:space="preserve">X-Remote-Groups</w:t>
            </w:r>
          </w:p>
        </w:tc>
        <w:tc>
          <w:tcPr>
            <w:tcW w:w="4405" w:type="dxa"/>
            <w:shd w:val="clear" w:color="auto" w:fill="F4F7FC"/>
          </w:tcPr>
          <w:p>
            <w:pPr>
              <w:pStyle w:val="TableText"/>
            </w:pPr>
            <w:r>
              <w:rPr>
                <w:sz w:val="18"/>
                <w:szCs w:val="18"/>
              </w:rPr>
              <w:t xml:space="preserve">Mode header : groupes Windows transmis par le module IIS (rôles)</w:t>
            </w:r>
          </w:p>
        </w:tc>
      </w:tr>
      <w:tr>
        <w:trPr>
          <w:cantSplit/>
        </w:trPr>
        <w:tc>
          <w:tcPr>
            <w:tcW w:w="3166" w:type="dxa"/>
          </w:tcPr>
          <w:p>
            <w:pPr>
              <w:pStyle w:val="TableText"/>
            </w:pPr>
            <w:r>
              <w:rPr>
                <w:sz w:val="18"/>
                <w:szCs w:val="18"/>
              </w:rPr>
              <w:t xml:space="preserve">roles.admins / readers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ou comptes à vue globale (section absente : tout le monde voit tout)</w:t>
            </w:r>
          </w:p>
        </w:tc>
      </w:tr>
      <w:tr>
        <w:trPr>
          <w:cantSplit/>
        </w:trPr>
        <w:tc>
          <w:tcPr>
            <w:tcW w:w="3166" w:type="dxa"/>
            <w:shd w:val="clear" w:color="auto" w:fill="F4F7FC"/>
          </w:tcPr>
          <w:p>
            <w:pPr>
              <w:pStyle w:val="TableText"/>
            </w:pPr>
            <w:r>
              <w:rPr>
                <w:sz w:val="18"/>
                <w:szCs w:val="18"/>
              </w:rPr>
              <w:t xml:space="preserve">roles.departments[]</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Responsables de service : group ou user, departments, servers / products optionnels</w:t>
            </w:r>
          </w:p>
        </w:tc>
      </w:tr>
      <w:tr>
        <w:trPr>
          <w:cantSplit/>
        </w:trPr>
        <w:tc>
          <w:tcPr>
            <w:tcW w:w="3166" w:type="dxa"/>
          </w:tcPr>
          <w:p>
            <w:pPr>
              <w:pStyle w:val="TableText"/>
            </w:pPr>
            <w:r>
              <w:rPr>
                <w:sz w:val="18"/>
                <w:szCs w:val="18"/>
              </w:rPr>
              <w:t xml:space="preserve">roles.default</w:t>
            </w:r>
          </w:p>
        </w:tc>
        <w:tc>
          <w:tcPr>
            <w:tcW w:w="2065" w:type="dxa"/>
          </w:tcPr>
          <w:p>
            <w:pPr>
              <w:pStyle w:val="TableText"/>
            </w:pPr>
            <w:r>
              <w:rPr>
                <w:sz w:val="18"/>
                <w:szCs w:val="18"/>
              </w:rPr>
              <w:t xml:space="preserve">none</w:t>
            </w:r>
          </w:p>
        </w:tc>
        <w:tc>
          <w:tcPr>
            <w:tcW w:w="4405" w:type="dxa"/>
          </w:tcPr>
          <w:p>
            <w:pPr>
              <w:pStyle w:val="TableText"/>
            </w:pPr>
            <w:r>
              <w:rPr>
                <w:sz w:val="18"/>
                <w:szCs w:val="18"/>
              </w:rPr>
              <w:t xml:space="preserve">Utilisateur sans rôle : </w:t>
            </w:r>
            <w:r>
              <w:rPr>
                <w:rFonts w:ascii="Consolas" w:hAnsi="Consolas" w:cs="Consolas"/>
                <w:color w:val="1C5CAB"/>
                <w:sz w:val="18"/>
                <w:szCs w:val="18"/>
                <w:shd w:val="clear" w:color="auto" w:fill="EEF3FA"/>
              </w:rPr>
              <w:t xml:space="preserve">none</w:t>
            </w:r>
            <w:r>
              <w:rPr>
                <w:sz w:val="18"/>
                <w:szCs w:val="18"/>
              </w:rPr>
              <w:t xml:space="preserve"> (refusé) ou </w:t>
            </w:r>
            <w:r>
              <w:rPr>
                <w:rFonts w:ascii="Consolas" w:hAnsi="Consolas" w:cs="Consolas"/>
                <w:color w:val="1C5CAB"/>
                <w:sz w:val="18"/>
                <w:szCs w:val="18"/>
                <w:shd w:val="clear" w:color="auto" w:fill="EEF3FA"/>
              </w:rPr>
              <w:t xml:space="preserve">reader</w:t>
            </w:r>
          </w:p>
        </w:tc>
      </w:tr>
    </w:tbl>
    <w:p>
      <w:pPr>
        <w:spacing w:after="80"/>
      </w:pPr>
    </w:p>
    <w:p>
      <w:pPr>
        <w:pStyle w:val="Heading3"/>
      </w:pPr>
      <w:bookmarkStart w:id="61" w:name="_Toc00061"/>
      <w:r>
        <w:rPr/>
        <w:t xml:space="preserve">email</w:t>
      </w:r>
      <w:bookmarkEnd w:id="61"/>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last-quarter,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subscriptions[].users / departments / sites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 du rapport (identifiants, services, sites)</w:t>
            </w:r>
          </w:p>
        </w:tc>
      </w:tr>
      <w:tr>
        <w:trPr>
          <w:cantSplit/>
        </w:trPr>
        <w:tc>
          <w:tcPr>
            <w:tcW w:w="3304" w:type="dxa"/>
            <w:shd w:val="clear" w:color="auto" w:fill="F4F7FC"/>
          </w:tcPr>
          <w:p>
            <w:pPr>
              <w:pStyle w:val="TableText"/>
            </w:pPr>
            <w:r>
              <w:rPr>
                <w:sz w:val="18"/>
                <w:szCs w:val="18"/>
              </w:rPr>
              <w:t xml:space="preserve">subscriptions[].views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Rapport sur mesure : vues de l'interface (summary, breakdown, forecast, renewal, optimization…) ; vide : rapport standard</w:t>
            </w:r>
          </w:p>
        </w:tc>
      </w:tr>
      <w:tr>
        <w:trPr>
          <w:cantSplit/>
        </w:trPr>
        <w:tc>
          <w:tcPr>
            <w:tcW w:w="3304" w:type="dxa"/>
          </w:tcPr>
          <w:p>
            <w:pPr>
              <w:pStyle w:val="TableText"/>
            </w:pPr>
            <w:r>
              <w:rPr>
                <w:sz w:val="18"/>
                <w:szCs w:val="18"/>
              </w:rPr>
              <w:t xml:space="preserve">subscriptions[].dimension</w:t>
            </w:r>
          </w:p>
        </w:tc>
        <w:tc>
          <w:tcPr>
            <w:tcW w:w="2065" w:type="dxa"/>
          </w:tcPr>
          <w:p>
            <w:pPr>
              <w:pStyle w:val="TableText"/>
            </w:pPr>
            <w:r>
              <w:rPr>
                <w:sz w:val="18"/>
                <w:szCs w:val="18"/>
              </w:rPr>
              <w:t xml:space="preserve">department</w:t>
            </w:r>
          </w:p>
        </w:tc>
        <w:tc>
          <w:tcPr>
            <w:tcW w:w="4268" w:type="dxa"/>
          </w:tcPr>
          <w:p>
            <w:pPr>
              <w:pStyle w:val="TableText"/>
            </w:pPr>
            <w:r>
              <w:rPr>
                <w:sz w:val="18"/>
                <w:szCs w:val="18"/>
              </w:rPr>
              <w:t xml:space="preserve">Axe de la Répartition et du Croisement (user, department, project, site…)</w:t>
            </w:r>
          </w:p>
        </w:tc>
      </w:tr>
      <w:tr>
        <w:trPr>
          <w:cantSplit/>
        </w:trPr>
        <w:tc>
          <w:tcPr>
            <w:tcW w:w="3304" w:type="dxa"/>
            <w:shd w:val="clear" w:color="auto" w:fill="F4F7FC"/>
          </w:tcPr>
          <w:p>
            <w:pPr>
              <w:pStyle w:val="TableText"/>
            </w:pPr>
            <w:r>
              <w:rPr>
                <w:sz w:val="18"/>
                <w:szCs w:val="18"/>
              </w:rPr>
              <w:t xml:space="preserve">subscriptions[].attach_excel / subject</w:t>
            </w:r>
          </w:p>
        </w:tc>
        <w:tc>
          <w:tcPr>
            <w:tcW w:w="2065" w:type="dxa"/>
            <w:shd w:val="clear" w:color="auto" w:fill="F4F7FC"/>
          </w:tcPr>
          <w:p>
            <w:pPr>
              <w:pStyle w:val="TableText"/>
            </w:pPr>
            <w:r>
              <w:rPr>
                <w:sz w:val="18"/>
                <w:szCs w:val="18"/>
              </w:rPr>
              <w:t xml:space="preserve">true / —</w:t>
            </w:r>
          </w:p>
        </w:tc>
        <w:tc>
          <w:tcPr>
            <w:tcW w:w="4268" w:type="dxa"/>
            <w:shd w:val="clear" w:color="auto" w:fill="F4F7FC"/>
          </w:tcPr>
          <w:p>
            <w:pPr>
              <w:pStyle w:val="TableText"/>
            </w:pPr>
            <w:r>
              <w:rPr>
                <w:sz w:val="18"/>
                <w:szCs w:val="18"/>
              </w:rPr>
              <w:t xml:space="preserve">Joindre le classeur ; objet personnalisé</w:t>
            </w:r>
          </w:p>
        </w:tc>
      </w:tr>
    </w:tbl>
    <w:p>
      <w:pPr>
        <w:spacing w:after="80"/>
      </w:pPr>
    </w:p>
    <w:p>
      <w:pPr>
        <w:pStyle w:val="Heading3"/>
      </w:pPr>
      <w:bookmarkStart w:id="62" w:name="_Toc00062"/>
      <w:r>
        <w:rPr/>
        <w:t xml:space="preserve">alerts (alertes immédiates et tickets ITSM)</w:t>
      </w:r>
      <w:bookmarkEnd w:id="6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recipients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Destinataires e-mail (nécessite email.smtp_host) ; vide : pas d'e-mail</w:t>
            </w:r>
          </w:p>
        </w:tc>
      </w:tr>
      <w:tr>
        <w:trPr>
          <w:cantSplit/>
        </w:trPr>
        <w:tc>
          <w:tcPr>
            <w:tcW w:w="3304" w:type="dxa"/>
            <w:shd w:val="clear" w:color="auto" w:fill="F4F7FC"/>
          </w:tcPr>
          <w:p>
            <w:pPr>
              <w:pStyle w:val="TableText"/>
            </w:pPr>
            <w:r>
              <w:rPr>
                <w:sz w:val="18"/>
                <w:szCs w:val="18"/>
              </w:rPr>
              <w:t xml:space="preserve">types</w:t>
            </w:r>
          </w:p>
        </w:tc>
        <w:tc>
          <w:tcPr>
            <w:tcW w:w="2065" w:type="dxa"/>
            <w:shd w:val="clear" w:color="auto" w:fill="F4F7FC"/>
          </w:tcPr>
          <w:p>
            <w:pPr>
              <w:pStyle w:val="TableText"/>
            </w:pPr>
            <w:r>
              <w:rPr>
                <w:sz w:val="18"/>
                <w:szCs w:val="18"/>
              </w:rPr>
              <w:t xml:space="preserve">toutes</w:t>
            </w:r>
          </w:p>
        </w:tc>
        <w:tc>
          <w:tcPr>
            <w:tcW w:w="4268" w:type="dxa"/>
            <w:shd w:val="clear" w:color="auto" w:fill="F4F7FC"/>
          </w:tcPr>
          <w:p>
            <w:pPr>
              <w:pStyle w:val="TableText"/>
            </w:pPr>
            <w:r>
              <w:rPr>
                <w:sz w:val="18"/>
                <w:szCs w:val="18"/>
              </w:rPr>
              <w:t xml:space="preserve">collection, denial, saturation, expiry</w:t>
            </w:r>
          </w:p>
        </w:tc>
      </w:tr>
      <w:tr>
        <w:trPr>
          <w:cantSplit/>
        </w:trPr>
        <w:tc>
          <w:tcPr>
            <w:tcW w:w="3304" w:type="dxa"/>
          </w:tcPr>
          <w:p>
            <w:pPr>
              <w:pStyle w:val="TableText"/>
            </w:pPr>
            <w:r>
              <w:rPr>
                <w:sz w:val="18"/>
                <w:szCs w:val="18"/>
              </w:rPr>
              <w:t xml:space="preserve">servers / products</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Filtres optionnels</w:t>
            </w:r>
          </w:p>
        </w:tc>
      </w:tr>
      <w:tr>
        <w:trPr>
          <w:cantSplit/>
        </w:trPr>
        <w:tc>
          <w:tcPr>
            <w:tcW w:w="3304" w:type="dxa"/>
            <w:shd w:val="clear" w:color="auto" w:fill="F4F7FC"/>
          </w:tcPr>
          <w:p>
            <w:pPr>
              <w:pStyle w:val="TableText"/>
            </w:pPr>
            <w:r>
              <w:rPr>
                <w:sz w:val="18"/>
                <w:szCs w:val="18"/>
              </w:rPr>
              <w:t xml:space="preserve">expiry_days</w:t>
            </w:r>
          </w:p>
        </w:tc>
        <w:tc>
          <w:tcPr>
            <w:tcW w:w="2065" w:type="dxa"/>
            <w:shd w:val="clear" w:color="auto" w:fill="F4F7FC"/>
          </w:tcPr>
          <w:p>
            <w:pPr>
              <w:pStyle w:val="TableText"/>
            </w:pPr>
            <w:r>
              <w:rPr>
                <w:sz w:val="18"/>
                <w:szCs w:val="18"/>
              </w:rPr>
              <w:t xml:space="preserve">30</w:t>
            </w:r>
          </w:p>
        </w:tc>
        <w:tc>
          <w:tcPr>
            <w:tcW w:w="4268" w:type="dxa"/>
            <w:shd w:val="clear" w:color="auto" w:fill="F4F7FC"/>
          </w:tcPr>
          <w:p>
            <w:pPr>
              <w:pStyle w:val="TableText"/>
            </w:pPr>
            <w:r>
              <w:rPr>
                <w:sz w:val="18"/>
                <w:szCs w:val="18"/>
              </w:rPr>
              <w:t xml:space="preserve">Préavis avant l'échéance d'une licence (puis J-7 et expiration)</w:t>
            </w:r>
          </w:p>
        </w:tc>
      </w:tr>
      <w:tr>
        <w:trPr>
          <w:cantSplit/>
        </w:trPr>
        <w:tc>
          <w:tcPr>
            <w:tcW w:w="3304" w:type="dxa"/>
          </w:tcPr>
          <w:p>
            <w:pPr>
              <w:pStyle w:val="TableText"/>
            </w:pPr>
            <w:r>
              <w:rPr>
                <w:sz w:val="18"/>
                <w:szCs w:val="18"/>
              </w:rPr>
              <w:t xml:space="preserve">repeat_hours</w:t>
            </w:r>
          </w:p>
        </w:tc>
        <w:tc>
          <w:tcPr>
            <w:tcW w:w="2065" w:type="dxa"/>
          </w:tcPr>
          <w:p>
            <w:pPr>
              <w:pStyle w:val="TableText"/>
            </w:pPr>
            <w:r>
              <w:rPr>
                <w:sz w:val="18"/>
                <w:szCs w:val="18"/>
              </w:rPr>
              <w:t xml:space="preserve">24</w:t>
            </w:r>
          </w:p>
        </w:tc>
        <w:tc>
          <w:tcPr>
            <w:tcW w:w="4268" w:type="dxa"/>
          </w:tcPr>
          <w:p>
            <w:pPr>
              <w:pStyle w:val="TableText"/>
            </w:pPr>
            <w:r>
              <w:rPr>
                <w:sz w:val="18"/>
                <w:szCs w:val="18"/>
              </w:rPr>
              <w:t xml:space="preserve">Rappel d'une alerte toujours présente (et commentaire sur le ticket)</w:t>
            </w:r>
          </w:p>
        </w:tc>
      </w:tr>
      <w:tr>
        <w:trPr>
          <w:cantSplit/>
        </w:trPr>
        <w:tc>
          <w:tcPr>
            <w:tcW w:w="3304" w:type="dxa"/>
            <w:shd w:val="clear" w:color="auto" w:fill="F4F7FC"/>
          </w:tcPr>
          <w:p>
            <w:pPr>
              <w:pStyle w:val="TableText"/>
            </w:pPr>
            <w:r>
              <w:rPr>
                <w:sz w:val="18"/>
                <w:szCs w:val="18"/>
              </w:rPr>
              <w:t xml:space="preserve">min_denials</w:t>
            </w:r>
          </w:p>
        </w:tc>
        <w:tc>
          <w:tcPr>
            <w:tcW w:w="2065" w:type="dxa"/>
            <w:shd w:val="clear" w:color="auto" w:fill="F4F7FC"/>
          </w:tcPr>
          <w:p>
            <w:pPr>
              <w:pStyle w:val="TableText"/>
            </w:pPr>
            <w:r>
              <w:rPr>
                <w:sz w:val="18"/>
                <w:szCs w:val="18"/>
              </w:rPr>
              <w:t xml:space="preserve">1</w:t>
            </w:r>
          </w:p>
        </w:tc>
        <w:tc>
          <w:tcPr>
            <w:tcW w:w="4268" w:type="dxa"/>
            <w:shd w:val="clear" w:color="auto" w:fill="F4F7FC"/>
          </w:tcPr>
          <w:p>
            <w:pPr>
              <w:pStyle w:val="TableText"/>
            </w:pPr>
            <w:r>
              <w:rPr>
                <w:sz w:val="18"/>
                <w:szCs w:val="18"/>
              </w:rPr>
              <w:t xml:space="preserve">Refus minimum pour alerter sur un produit</w:t>
            </w:r>
          </w:p>
        </w:tc>
      </w:tr>
      <w:tr>
        <w:trPr>
          <w:cantSplit/>
        </w:trPr>
        <w:tc>
          <w:tcPr>
            <w:tcW w:w="3304" w:type="dxa"/>
          </w:tcPr>
          <w:p>
            <w:pPr>
              <w:pStyle w:val="TableText"/>
            </w:pPr>
            <w:r>
              <w:rPr>
                <w:sz w:val="18"/>
                <w:szCs w:val="18"/>
              </w:rPr>
              <w:t xml:space="preserve">itsm[].type / url</w:t>
            </w:r>
          </w:p>
        </w:tc>
        <w:tc>
          <w:tcPr>
            <w:tcW w:w="2065" w:type="dxa"/>
          </w:tcPr>
          <w:p>
            <w:pPr>
              <w:pStyle w:val="TableText"/>
            </w:pPr>
            <w:r>
              <w:rPr>
                <w:sz w:val="18"/>
                <w:szCs w:val="18"/>
              </w:rPr>
              <w:t xml:space="preserve">—</w:t>
            </w:r>
          </w:p>
        </w:tc>
        <w:tc>
          <w:tcPr>
            <w:tcW w:w="4268" w:type="dxa"/>
          </w:tcPr>
          <w:p>
            <w:pPr>
              <w:pStyle w:val="TableText"/>
            </w:pPr>
            <w:r>
              <w:rPr>
                <w:rFonts w:ascii="Consolas" w:hAnsi="Consolas" w:cs="Consolas"/>
                <w:color w:val="1C5CAB"/>
                <w:sz w:val="18"/>
                <w:szCs w:val="18"/>
                <w:shd w:val="clear" w:color="auto" w:fill="EEF3FA"/>
              </w:rPr>
              <w:t xml:space="preserve">servicenow</w:t>
            </w:r>
            <w:r>
              <w:rPr>
                <w:sz w:val="18"/>
                <w:szCs w:val="18"/>
              </w:rPr>
              <w:t xml:space="preserve">, </w:t>
            </w:r>
            <w:r>
              <w:rPr>
                <w:rFonts w:ascii="Consolas" w:hAnsi="Consolas" w:cs="Consolas"/>
                <w:color w:val="1C5CAB"/>
                <w:sz w:val="18"/>
                <w:szCs w:val="18"/>
                <w:shd w:val="clear" w:color="auto" w:fill="EEF3FA"/>
              </w:rPr>
              <w:t xml:space="preserve">jira</w:t>
            </w:r>
            <w:r>
              <w:rPr>
                <w:sz w:val="18"/>
                <w:szCs w:val="18"/>
              </w:rPr>
              <w:t xml:space="preserve">, </w:t>
            </w:r>
            <w:r>
              <w:rPr>
                <w:rFonts w:ascii="Consolas" w:hAnsi="Consolas" w:cs="Consolas"/>
                <w:color w:val="1C5CAB"/>
                <w:sz w:val="18"/>
                <w:szCs w:val="18"/>
                <w:shd w:val="clear" w:color="auto" w:fill="EEF3FA"/>
              </w:rPr>
              <w:t xml:space="preserve">glpi</w:t>
            </w:r>
            <w:r>
              <w:rPr>
                <w:sz w:val="18"/>
                <w:szCs w:val="18"/>
              </w:rPr>
              <w:t xml:space="preserve"> ou </w:t>
            </w:r>
            <w:r>
              <w:rPr>
                <w:rFonts w:ascii="Consolas" w:hAnsi="Consolas" w:cs="Consolas"/>
                <w:color w:val="1C5CAB"/>
                <w:sz w:val="18"/>
                <w:szCs w:val="18"/>
                <w:shd w:val="clear" w:color="auto" w:fill="EEF3FA"/>
              </w:rPr>
              <w:t xml:space="preserve">webhook</w:t>
            </w:r>
            <w:r>
              <w:rPr>
                <w:sz w:val="18"/>
                <w:szCs w:val="18"/>
              </w:rPr>
              <w:t xml:space="preserve"> ; adresse https://</w:t>
            </w:r>
          </w:p>
        </w:tc>
      </w:tr>
      <w:tr>
        <w:trPr>
          <w:cantSplit/>
        </w:trPr>
        <w:tc>
          <w:tcPr>
            <w:tcW w:w="3304" w:type="dxa"/>
            <w:shd w:val="clear" w:color="auto" w:fill="F4F7FC"/>
          </w:tcPr>
          <w:p>
            <w:pPr>
              <w:pStyle w:val="TableText"/>
            </w:pPr>
            <w:r>
              <w:rPr>
                <w:sz w:val="18"/>
                <w:szCs w:val="18"/>
              </w:rPr>
              <w:t xml:space="preserve">itsm[].username / password / token</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ServiceNow : compte + mot de passe ; Jira : e-mail + jeton (Cloud) ou jeton seul (Data Center)</w:t>
            </w:r>
          </w:p>
        </w:tc>
      </w:tr>
      <w:tr>
        <w:trPr>
          <w:cantSplit/>
        </w:trPr>
        <w:tc>
          <w:tcPr>
            <w:tcW w:w="3304" w:type="dxa"/>
          </w:tcPr>
          <w:p>
            <w:pPr>
              <w:pStyle w:val="TableText"/>
            </w:pPr>
            <w:r>
              <w:rPr>
                <w:sz w:val="18"/>
                <w:szCs w:val="18"/>
              </w:rPr>
              <w:t xml:space="preserve">itsm[].app_token / user_token</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GLPI : jetons d'application et d'utilisateur</w:t>
            </w:r>
          </w:p>
        </w:tc>
      </w:tr>
      <w:tr>
        <w:trPr>
          <w:cantSplit/>
        </w:trPr>
        <w:tc>
          <w:tcPr>
            <w:tcW w:w="3304" w:type="dxa"/>
            <w:shd w:val="clear" w:color="auto" w:fill="F4F7FC"/>
          </w:tcPr>
          <w:p>
            <w:pPr>
              <w:pStyle w:val="TableText"/>
            </w:pPr>
            <w:r>
              <w:rPr>
                <w:sz w:val="18"/>
                <w:szCs w:val="18"/>
              </w:rPr>
              <w:t xml:space="preserve">itsm[].project / issue_type</w:t>
            </w:r>
          </w:p>
        </w:tc>
        <w:tc>
          <w:tcPr>
            <w:tcW w:w="2065" w:type="dxa"/>
            <w:shd w:val="clear" w:color="auto" w:fill="F4F7FC"/>
          </w:tcPr>
          <w:p>
            <w:pPr>
              <w:pStyle w:val="TableText"/>
            </w:pPr>
            <w:r>
              <w:rPr>
                <w:sz w:val="18"/>
                <w:szCs w:val="18"/>
              </w:rPr>
              <w:t xml:space="preserve">— / Incident</w:t>
            </w:r>
          </w:p>
        </w:tc>
        <w:tc>
          <w:tcPr>
            <w:tcW w:w="4268" w:type="dxa"/>
            <w:shd w:val="clear" w:color="auto" w:fill="F4F7FC"/>
          </w:tcPr>
          <w:p>
            <w:pPr>
              <w:pStyle w:val="TableText"/>
            </w:pPr>
            <w:r>
              <w:rPr>
                <w:sz w:val="18"/>
                <w:szCs w:val="18"/>
              </w:rPr>
              <w:t xml:space="preserve">Jira : projet et type de ticket</w:t>
            </w:r>
          </w:p>
        </w:tc>
      </w:tr>
      <w:tr>
        <w:trPr>
          <w:cantSplit/>
        </w:trPr>
        <w:tc>
          <w:tcPr>
            <w:tcW w:w="3304" w:type="dxa"/>
          </w:tcPr>
          <w:p>
            <w:pPr>
              <w:pStyle w:val="TableText"/>
            </w:pPr>
            <w:r>
              <w:rPr>
                <w:sz w:val="18"/>
                <w:szCs w:val="18"/>
              </w:rPr>
              <w:t xml:space="preserve">itsm[].assignment_group / caller</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ServiceNow : groupe d'affectation, appelant</w:t>
            </w:r>
          </w:p>
        </w:tc>
      </w:tr>
      <w:tr>
        <w:trPr>
          <w:cantSplit/>
        </w:trPr>
        <w:tc>
          <w:tcPr>
            <w:tcW w:w="3304" w:type="dxa"/>
            <w:shd w:val="clear" w:color="auto" w:fill="F4F7FC"/>
          </w:tcPr>
          <w:p>
            <w:pPr>
              <w:pStyle w:val="TableText"/>
            </w:pPr>
            <w:r>
              <w:rPr>
                <w:sz w:val="18"/>
                <w:szCs w:val="18"/>
              </w:rPr>
              <w:t xml:space="preserve">itsm[].format / headers</w:t>
            </w:r>
          </w:p>
        </w:tc>
        <w:tc>
          <w:tcPr>
            <w:tcW w:w="2065" w:type="dxa"/>
            <w:shd w:val="clear" w:color="auto" w:fill="F4F7FC"/>
          </w:tcPr>
          <w:p>
            <w:pPr>
              <w:pStyle w:val="TableText"/>
            </w:pPr>
            <w:r>
              <w:rPr>
                <w:sz w:val="18"/>
                <w:szCs w:val="18"/>
              </w:rPr>
              <w:t xml:space="preserve">json / —</w:t>
            </w:r>
          </w:p>
        </w:tc>
        <w:tc>
          <w:tcPr>
            <w:tcW w:w="4268" w:type="dxa"/>
            <w:shd w:val="clear" w:color="auto" w:fill="F4F7FC"/>
          </w:tcPr>
          <w:p>
            <w:pPr>
              <w:pStyle w:val="TableText"/>
            </w:pPr>
            <w:r>
              <w:rPr>
                <w:sz w:val="18"/>
                <w:szCs w:val="18"/>
              </w:rPr>
              <w:t xml:space="preserve">Webhook : json, teams, slack ; en-têtes (authentification)</w:t>
            </w:r>
          </w:p>
        </w:tc>
      </w:tr>
      <w:tr>
        <w:trPr>
          <w:cantSplit/>
        </w:trPr>
        <w:tc>
          <w:tcPr>
            <w:tcW w:w="3304" w:type="dxa"/>
          </w:tcPr>
          <w:p>
            <w:pPr>
              <w:pStyle w:val="TableText"/>
            </w:pPr>
            <w:r>
              <w:rPr>
                <w:sz w:val="18"/>
                <w:szCs w:val="18"/>
              </w:rPr>
              <w:t xml:space="preserve">itsm[].min_severity</w:t>
            </w:r>
          </w:p>
        </w:tc>
        <w:tc>
          <w:tcPr>
            <w:tcW w:w="2065" w:type="dxa"/>
          </w:tcPr>
          <w:p>
            <w:pPr>
              <w:pStyle w:val="TableText"/>
            </w:pPr>
            <w:r>
              <w:rPr>
                <w:sz w:val="18"/>
                <w:szCs w:val="18"/>
              </w:rPr>
              <w:t xml:space="preserve">serious</w:t>
            </w:r>
          </w:p>
        </w:tc>
        <w:tc>
          <w:tcPr>
            <w:tcW w:w="4268" w:type="dxa"/>
          </w:tcPr>
          <w:p>
            <w:pPr>
              <w:pStyle w:val="TableText"/>
            </w:pPr>
            <w:r>
              <w:rPr>
                <w:sz w:val="18"/>
                <w:szCs w:val="18"/>
              </w:rPr>
              <w:t xml:space="preserve">Gravité minimale pour ouvrir un ticket (info, warning, serious, critical)</w:t>
            </w:r>
          </w:p>
        </w:tc>
      </w:tr>
    </w:tbl>
    <w:p>
      <w:pPr>
        <w:spacing w:after="80"/>
      </w:pPr>
    </w:p>
    <w:p>
      <w:pPr>
        <w:pStyle w:val="Heading3"/>
      </w:pPr>
      <w:bookmarkStart w:id="63" w:name="_Toc00063"/>
      <w:r>
        <w:rPr/>
        <w:t xml:space="preserve">sites</w:t>
      </w:r>
      <w:bookmarkEnd w:id="63"/>
    </w:p>
    <w:p>
      <w:pPr/>
      <w:r>
        <w:rPr/>
        <w:t xml:space="preserve">Liste de règles </w:t>
      </w:r>
      <w:r>
        <w:rPr>
          <w:rFonts w:ascii="Consolas" w:hAnsi="Consolas" w:cs="Consolas"/>
          <w:color w:val="1C5CAB"/>
          <w:sz w:val="18"/>
          <w:szCs w:val="18"/>
          <w:shd w:val="clear" w:color="auto" w:fill="EEF3FA"/>
        </w:rPr>
        <w:t xml:space="preserve">{pattern, site}</w:t>
      </w:r>
      <w:r>
        <w:rPr/>
        <w:t xml:space="preserve"> : motif (fnmatch, insensible à la casse) sur le nom du poste ; la première règle trouvée donne le site. Filtre et répartition « Site » dans l'interface ; </w:t>
      </w:r>
      <w:r>
        <w:rPr>
          <w:rFonts w:ascii="Consolas" w:hAnsi="Consolas" w:cs="Consolas"/>
          <w:color w:val="1C5CAB"/>
          <w:sz w:val="18"/>
          <w:szCs w:val="18"/>
          <w:shd w:val="clear" w:color="auto" w:fill="EEF3FA"/>
        </w:rPr>
        <w:t xml:space="preserve">apply-products</w:t>
      </w:r>
      <w:r>
        <w:rPr/>
        <w:t xml:space="preserve"> réapplique les règles à l'historique.</w:t>
      </w:r>
    </w:p>
    <w:p>
      <w:pPr>
        <w:pStyle w:val="Heading3"/>
      </w:pPr>
      <w:bookmarkStart w:id="64" w:name="_Toc00064"/>
      <w:r>
        <w:rPr/>
        <w:t xml:space="preserve">autodesk (licences « utilisateur nommé »)</w:t>
      </w:r>
      <w:bookmarkEnd w:id="64"/>
    </w:p>
    <w:p>
      <w:pPr/>
      <w:r>
        <w:rPr/>
        <w:t xml:space="preserve">Abonnements Autodesk nominatifs (sans serveur de licences) : l'usage est exporté depuis le portail Autodesk Account (Reporting › Usage report › Export, CSV ou Excel) puis importé par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import_dir</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Dossier surveillé : chaque export déposé est importé à la collecte suivante, une seule fois (empreinte du fichier)</w:t>
            </w:r>
          </w:p>
        </w:tc>
      </w:tr>
      <w:tr>
        <w:trPr>
          <w:cantSplit/>
        </w:trPr>
        <w:tc>
          <w:tcPr>
            <w:tcW w:w="2202" w:type="dxa"/>
            <w:shd w:val="clear" w:color="auto" w:fill="F4F7FC"/>
          </w:tcPr>
          <w:p>
            <w:pPr>
              <w:pStyle w:val="TableText"/>
            </w:pPr>
            <w:r>
              <w:rPr>
                <w:sz w:val="18"/>
                <w:szCs w:val="18"/>
              </w:rPr>
              <w:t xml:space="preserve">inactive_days</w:t>
            </w:r>
          </w:p>
        </w:tc>
        <w:tc>
          <w:tcPr>
            <w:tcW w:w="1376" w:type="dxa"/>
            <w:shd w:val="clear" w:color="auto" w:fill="F4F7FC"/>
          </w:tcPr>
          <w:p>
            <w:pPr>
              <w:pStyle w:val="TableText"/>
            </w:pPr>
            <w:r>
              <w:rPr>
                <w:sz w:val="18"/>
                <w:szCs w:val="18"/>
              </w:rPr>
              <w:t xml:space="preserve">30</w:t>
            </w:r>
          </w:p>
        </w:tc>
        <w:tc>
          <w:tcPr>
            <w:tcW w:w="6058" w:type="dxa"/>
            <w:shd w:val="clear" w:color="auto" w:fill="F4F7FC"/>
          </w:tcPr>
          <w:p>
            <w:pPr>
              <w:pStyle w:val="TableText"/>
            </w:pPr>
            <w:r>
              <w:rPr>
                <w:sz w:val="18"/>
                <w:szCs w:val="18"/>
              </w:rPr>
              <w:t xml:space="preserve">Licence inactive au-delà de ce nombre de jours sans utilisation</w:t>
            </w:r>
          </w:p>
        </w:tc>
      </w:tr>
      <w:tr>
        <w:trPr>
          <w:cantSplit/>
        </w:trPr>
        <w:tc>
          <w:tcPr>
            <w:tcW w:w="2202" w:type="dxa"/>
          </w:tcPr>
          <w:p>
            <w:pPr>
              <w:pStyle w:val="TableText"/>
            </w:pPr>
            <w:r>
              <w:rPr>
                <w:sz w:val="18"/>
                <w:szCs w:val="18"/>
              </w:rPr>
              <w:t xml:space="preserve">annual_costs</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Coût annuel d'une licence par produit (motif </w:t>
            </w:r>
            <w:r>
              <w:rPr>
                <w:rFonts w:ascii="Consolas" w:hAnsi="Consolas" w:cs="Consolas"/>
                <w:color w:val="1C5CAB"/>
                <w:sz w:val="18"/>
                <w:szCs w:val="18"/>
                <w:shd w:val="clear" w:color="auto" w:fill="EEF3FA"/>
              </w:rPr>
              <w:t xml:space="preserve">*</w:t>
            </w:r>
            <w:r>
              <w:rPr>
                <w:sz w:val="18"/>
                <w:szCs w:val="18"/>
              </w:rPr>
              <w:t xml:space="preserve"> accepté) : coût récupérable</w:t>
            </w:r>
          </w:p>
        </w:tc>
      </w:tr>
      <w:tr>
        <w:trPr>
          <w:cantSplit/>
        </w:trPr>
        <w:tc>
          <w:tcPr>
            <w:tcW w:w="2202" w:type="dxa"/>
            <w:shd w:val="clear" w:color="auto" w:fill="F4F7FC"/>
          </w:tcPr>
          <w:p>
            <w:pPr>
              <w:pStyle w:val="TableText"/>
            </w:pPr>
            <w:r>
              <w:rPr>
                <w:sz w:val="18"/>
                <w:szCs w:val="18"/>
              </w:rPr>
              <w:t xml:space="preserve">renewals</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Fin d'abonnement par produit (motif </w:t>
            </w:r>
            <w:r>
              <w:rPr>
                <w:rFonts w:ascii="Consolas" w:hAnsi="Consolas" w:cs="Consolas"/>
                <w:color w:val="1C5CAB"/>
                <w:sz w:val="18"/>
                <w:szCs w:val="18"/>
                <w:shd w:val="clear" w:color="auto" w:fill="EEF3FA"/>
              </w:rPr>
              <w:t xml:space="preserve">*</w:t>
            </w:r>
            <w:r>
              <w:rPr>
                <w:sz w:val="18"/>
                <w:szCs w:val="18"/>
              </w:rPr>
              <w:t xml:space="preserve"> accepté, date AAAA-MM-JJ) : rapport Renouvellements</w:t>
            </w:r>
          </w:p>
        </w:tc>
      </w:tr>
    </w:tbl>
    <w:p>
      <w:pPr>
        <w:spacing w:after="80"/>
      </w:pPr>
    </w:p>
    <w:p>
      <w:pPr>
        <w:pStyle w:val="Heading3"/>
      </w:pPr>
      <w:bookmarkStart w:id="65" w:name="_Toc00065"/>
      <w:r>
        <w:rPr/>
        <w:t xml:space="preserve">projects et échéances des produits</w:t>
      </w:r>
      <w:bookmarkEnd w:id="65"/>
    </w:p>
    <w:p>
      <w:pPr/>
      <w:r>
        <w:rPr>
          <w:b/>
        </w:rPr>
        <w:t xml:space="preserve">projects</w:t>
      </w:r>
      <w:r>
        <w:rPr/>
        <w:t xml:space="preserve"> : liste de règles </w:t>
      </w:r>
      <w:r>
        <w:rPr>
          <w:rFonts w:ascii="Consolas" w:hAnsi="Consolas" w:cs="Consolas"/>
          <w:color w:val="1C5CAB"/>
          <w:sz w:val="18"/>
          <w:szCs w:val="18"/>
          <w:shd w:val="clear" w:color="auto" w:fill="EEF3FA"/>
        </w:rPr>
        <w:t xml:space="preserve">{project, hosts, users, departments}</w:t>
      </w:r>
      <w:r>
        <w:rPr/>
        <w:t xml:space="preserve"> (motifs fnmatch sur le poste et l'utilisateur, nom exact du service). Le projet d'une session est celui de l'affectation importée (</w:t>
      </w:r>
      <w:r>
        <w:rPr>
          <w:rFonts w:ascii="Consolas" w:hAnsi="Consolas" w:cs="Consolas"/>
          <w:color w:val="1C5CAB"/>
          <w:sz w:val="18"/>
          <w:szCs w:val="18"/>
          <w:shd w:val="clear" w:color="auto" w:fill="EEF3FA"/>
        </w:rPr>
        <w:t xml:space="preserve">import-projects</w:t>
      </w:r>
      <w:r>
        <w:rPr/>
        <w:t xml:space="preserve">, table </w:t>
      </w:r>
      <w:r>
        <w:rPr>
          <w:rFonts w:ascii="Consolas" w:hAnsi="Consolas" w:cs="Consolas"/>
          <w:color w:val="1C5CAB"/>
          <w:sz w:val="18"/>
          <w:szCs w:val="18"/>
          <w:shd w:val="clear" w:color="auto" w:fill="EEF3FA"/>
        </w:rPr>
        <w:t xml:space="preserve">user_project</w:t>
      </w:r>
      <w:r>
        <w:rPr/>
        <w:t xml:space="preserve">) ; à défaut, la première règle qui correspond ; sinon « (non renseigné) ». </w:t>
      </w:r>
      <w:r>
        <w:rPr>
          <w:b/>
        </w:rPr>
        <w:t xml:space="preserve">products[].renewal</w:t>
      </w:r>
      <w:r>
        <w:rPr/>
        <w:t xml:space="preserve"> : échéance du contrat (AAAA-MM-JJ) d'une licence permanente sous maintenance ; sans elle, l'échéance lue dans le fichier de licence est utilisée.</w:t>
      </w:r>
    </w:p>
    <w:p>
      <w:pPr>
        <w:pStyle w:val="Heading3"/>
      </w:pPr>
      <w:bookmarkStart w:id="66" w:name="_Toc00066"/>
      <w:r>
        <w:rPr/>
        <w:t xml:space="preserve">retention</w:t>
      </w:r>
      <w:bookmarkEnd w:id="6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67" w:name="_Toc00067"/>
      <w:r>
        <w:rPr/>
        <w:t xml:space="preserve">6.3 Procédure de modification de la configuration</w:t>
      </w:r>
      <w:bookmarkEnd w:id="67"/>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8" w:name="_Toc00068"/>
      <w:r>
        <w:rPr/>
        <w:t xml:space="preserve">7. Exploitation courante</w:t>
      </w:r>
      <w:bookmarkEnd w:id="68"/>
    </w:p>
    <w:p>
      <w:pPr>
        <w:pStyle w:val="Heading2"/>
      </w:pPr>
      <w:bookmarkStart w:id="69" w:name="_Toc00069"/>
      <w:r>
        <w:rPr/>
        <w:t xml:space="preserve">7.1 Ordonnancement</w:t>
      </w:r>
      <w:bookmarkEnd w:id="69"/>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16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HeptagonesLM - Surveillance de l'interface</w:t>
            </w:r>
          </w:p>
        </w:tc>
        <w:tc>
          <w:tcPr>
            <w:tcW w:w="2289" w:type="dxa"/>
            <w:shd w:val="clear" w:color="auto" w:fill="F4F7FC"/>
          </w:tcPr>
          <w:p>
            <w:pPr>
              <w:pStyle w:val="TableText"/>
            </w:pPr>
            <w:r>
              <w:rPr>
                <w:sz w:val="18"/>
                <w:szCs w:val="18"/>
              </w:rPr>
              <w:t xml:space="preserve">PowerShell (compte SYSTEM)</w:t>
            </w:r>
          </w:p>
        </w:tc>
        <w:tc>
          <w:tcPr>
            <w:tcW w:w="1927" w:type="dxa"/>
            <w:shd w:val="clear" w:color="auto" w:fill="F4F7FC"/>
          </w:tcPr>
          <w:p>
            <w:pPr>
              <w:pStyle w:val="TableText"/>
            </w:pPr>
            <w:r>
              <w:rPr>
                <w:sz w:val="18"/>
                <w:szCs w:val="18"/>
              </w:rPr>
              <w:t xml:space="preserve">Toutes les 5 minutes</w:t>
            </w:r>
          </w:p>
        </w:tc>
        <w:tc>
          <w:tcPr>
            <w:tcW w:w="1084" w:type="dxa"/>
            <w:shd w:val="clear" w:color="auto" w:fill="F4F7FC"/>
          </w:tcPr>
          <w:p>
            <w:pPr>
              <w:pStyle w:val="TableText"/>
            </w:pPr>
            <w:r>
              <w:rPr>
                <w:sz w:val="18"/>
                <w:szCs w:val="18"/>
              </w:rPr>
              <w:t xml:space="preserve">&lt; 1 s</w:t>
            </w:r>
          </w:p>
        </w:tc>
        <w:tc>
          <w:tcPr>
            <w:tcW w:w="2409" w:type="dxa"/>
            <w:shd w:val="clear" w:color="auto" w:fill="F4F7FC"/>
          </w:tcPr>
          <w:p>
            <w:pPr>
              <w:pStyle w:val="TableText"/>
            </w:pPr>
            <w:r>
              <w:rPr>
                <w:sz w:val="18"/>
                <w:szCs w:val="18"/>
              </w:rPr>
              <w:t xml:space="preserve">Relance l'interface web si elle ne tourne pas (démarrage raté après un redémarrage du serveur)</w:t>
            </w:r>
          </w:p>
        </w:tc>
      </w:tr>
      <w:tr>
        <w:trPr>
          <w:cantSplit/>
        </w:trPr>
        <w:tc>
          <w:tcPr>
            <w:tcW w:w="1927" w:type="dxa"/>
          </w:tcPr>
          <w:p>
            <w:pPr>
              <w:pStyle w:val="TableText"/>
            </w:pPr>
            <w:r>
              <w:rPr>
                <w:sz w:val="18"/>
                <w:szCs w:val="18"/>
              </w:rPr>
              <w:t xml:space="preserve">Import utilisateurs (à créer)</w:t>
            </w:r>
          </w:p>
        </w:tc>
        <w:tc>
          <w:tcPr>
            <w:tcW w:w="2289" w:type="dxa"/>
          </w:tcPr>
          <w:p>
            <w:pPr>
              <w:pStyle w:val="TableText"/>
            </w:pPr>
            <w:r>
              <w:rPr>
                <w:rFonts w:ascii="Consolas" w:hAnsi="Consolas" w:cs="Consolas"/>
                <w:color w:val="1C5CAB"/>
                <w:sz w:val="18"/>
                <w:szCs w:val="18"/>
                <w:shd w:val="clear" w:color="auto" w:fill="EEF3FA"/>
              </w:rPr>
              <w:t xml:space="preserve">import-users users.csv</w:t>
            </w:r>
          </w:p>
        </w:tc>
        <w:tc>
          <w:tcPr>
            <w:tcW w:w="1927" w:type="dxa"/>
          </w:tcPr>
          <w:p>
            <w:pPr>
              <w:pStyle w:val="TableText"/>
            </w:pPr>
            <w:r>
              <w:rPr>
                <w:sz w:val="18"/>
                <w:szCs w:val="18"/>
              </w:rPr>
              <w:t xml:space="preserve">Hebdomadaire (recommandé)</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Noms et services depuis l'AD</w:t>
            </w:r>
          </w:p>
        </w:tc>
      </w:tr>
      <w:tr>
        <w:trPr>
          <w:cantSplit/>
        </w:trPr>
        <w:tc>
          <w:tcPr>
            <w:tcW w:w="1927" w:type="dxa"/>
            <w:shd w:val="clear" w:color="auto" w:fill="F4F7FC"/>
          </w:tcPr>
          <w:p>
            <w:pPr>
              <w:pStyle w:val="TableText"/>
            </w:pPr>
            <w:r>
              <w:rPr>
                <w:sz w:val="18"/>
                <w:szCs w:val="18"/>
              </w:rPr>
              <w:t xml:space="preserve">Rapports planifiés sur mesure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send-report --skip-sent</w:t>
            </w:r>
            <w:r>
              <w:rPr>
                <w:sz w:val="18"/>
                <w:szCs w:val="18"/>
              </w:rPr>
              <w:t xml:space="preserve"> (même tâche)</w:t>
            </w:r>
          </w:p>
        </w:tc>
        <w:tc>
          <w:tcPr>
            <w:tcW w:w="1927" w:type="dxa"/>
            <w:shd w:val="clear" w:color="auto" w:fill="F4F7FC"/>
          </w:tcPr>
          <w:p>
            <w:pPr>
              <w:pStyle w:val="TableText"/>
            </w:pPr>
            <w:r>
              <w:rPr>
                <w:sz w:val="18"/>
                <w:szCs w:val="18"/>
              </w:rPr>
              <w:t xml:space="preserve">Chaque jour à 07:00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Un message par abonnement et par période (mensuel, hebdomadaire, trimestriel…), une feuille Excel par vue choisie</w:t>
            </w:r>
          </w:p>
        </w:tc>
      </w:tr>
      <w:tr>
        <w:trPr>
          <w:cantSplit/>
        </w:trPr>
        <w:tc>
          <w:tcPr>
            <w:tcW w:w="1927" w:type="dxa"/>
          </w:tcPr>
          <w:p>
            <w:pPr>
              <w:pStyle w:val="TableText"/>
            </w:pPr>
            <w:r>
              <w:rPr>
                <w:sz w:val="18"/>
                <w:szCs w:val="18"/>
              </w:rPr>
              <w:t xml:space="preserve">Export Autodesk (manuel)</w:t>
            </w:r>
          </w:p>
        </w:tc>
        <w:tc>
          <w:tcPr>
            <w:tcW w:w="2289" w:type="dxa"/>
          </w:tcPr>
          <w:p>
            <w:pPr>
              <w:pStyle w:val="TableText"/>
            </w:pPr>
            <w:r>
              <w:rPr>
                <w:sz w:val="18"/>
                <w:szCs w:val="18"/>
              </w:rPr>
              <w:t xml:space="preserve">dépôt dans </w:t>
            </w:r>
            <w:r>
              <w:rPr>
                <w:rFonts w:ascii="Consolas" w:hAnsi="Consolas" w:cs="Consolas"/>
                <w:color w:val="1C5CAB"/>
                <w:sz w:val="18"/>
                <w:szCs w:val="18"/>
                <w:shd w:val="clear" w:color="auto" w:fill="EEF3FA"/>
              </w:rPr>
              <w:t xml:space="preserve">autodesk.import_dir</w:t>
            </w:r>
            <w:r>
              <w:rPr>
                <w:sz w:val="18"/>
                <w:szCs w:val="18"/>
              </w:rPr>
              <w:t xml:space="preserve">, </w:t>
            </w:r>
            <w:r>
              <w:rPr>
                <w:rFonts w:ascii="Consolas" w:hAnsi="Consolas" w:cs="Consolas"/>
                <w:color w:val="1C5CAB"/>
                <w:sz w:val="18"/>
                <w:szCs w:val="18"/>
                <w:shd w:val="clear" w:color="auto" w:fill="EEF3FA"/>
              </w:rPr>
              <w:t xml:space="preserve">import-autodesk</w:t>
            </w:r>
            <w:r>
              <w:rPr>
                <w:sz w:val="18"/>
                <w:szCs w:val="18"/>
              </w:rPr>
              <w:t xml:space="preserve"> ou rubrique Administration</w:t>
            </w:r>
          </w:p>
        </w:tc>
        <w:tc>
          <w:tcPr>
            <w:tcW w:w="1927" w:type="dxa"/>
          </w:tcPr>
          <w:p>
            <w:pPr>
              <w:pStyle w:val="TableText"/>
            </w:pPr>
            <w:r>
              <w:rPr>
                <w:sz w:val="18"/>
                <w:szCs w:val="18"/>
              </w:rPr>
              <w:t xml:space="preserve">Mensuel (sans API)</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Licences Autodesk nommées, importées par la collecte suivante</w:t>
            </w:r>
          </w:p>
        </w:tc>
      </w:tr>
      <w:tr>
        <w:trPr>
          <w:cantSplit/>
        </w:trPr>
        <w:tc>
          <w:tcPr>
            <w:tcW w:w="1927" w:type="dxa"/>
            <w:shd w:val="clear" w:color="auto" w:fill="F4F7FC"/>
          </w:tcPr>
          <w:p>
            <w:pPr>
              <w:pStyle w:val="TableText"/>
            </w:pPr>
            <w:r>
              <w:rPr>
                <w:sz w:val="18"/>
                <w:szCs w:val="18"/>
              </w:rPr>
              <w:t xml:space="preserve">Synchronisation Autodesk (API)</w:t>
            </w:r>
          </w:p>
        </w:tc>
        <w:tc>
          <w:tcPr>
            <w:tcW w:w="2289" w:type="dxa"/>
            <w:shd w:val="clear" w:color="auto" w:fill="F4F7FC"/>
          </w:tcPr>
          <w:p>
            <w:pPr>
              <w:pStyle w:val="TableText"/>
            </w:pPr>
            <w:r>
              <w:rPr>
                <w:sz w:val="18"/>
                <w:szCs w:val="18"/>
              </w:rPr>
              <w:t xml:space="preserve">dans </w:t>
            </w:r>
            <w:r>
              <w:rPr>
                <w:rFonts w:ascii="Consolas" w:hAnsi="Consolas" w:cs="Consolas"/>
                <w:color w:val="1C5CAB"/>
                <w:sz w:val="18"/>
                <w:szCs w:val="18"/>
                <w:shd w:val="clear" w:color="auto" w:fill="EEF3FA"/>
              </w:rPr>
              <w:t xml:space="preserve">collect</w:t>
            </w:r>
          </w:p>
        </w:tc>
        <w:tc>
          <w:tcPr>
            <w:tcW w:w="1927" w:type="dxa"/>
            <w:shd w:val="clear" w:color="auto" w:fill="F4F7FC"/>
          </w:tcPr>
          <w:p>
            <w:pPr>
              <w:pStyle w:val="TableText"/>
            </w:pPr>
            <w:r>
              <w:rPr>
                <w:sz w:val="18"/>
                <w:szCs w:val="18"/>
              </w:rPr>
              <w:t xml:space="preserve">Au plus une fois par 24 h</w:t>
            </w:r>
          </w:p>
        </w:tc>
        <w:tc>
          <w:tcPr>
            <w:tcW w:w="1084" w:type="dxa"/>
            <w:shd w:val="clear" w:color="auto" w:fill="F4F7FC"/>
          </w:tcPr>
          <w:p>
            <w:pPr>
              <w:pStyle w:val="TableText"/>
            </w:pPr>
            <w:r>
              <w:rPr>
                <w:sz w:val="18"/>
                <w:szCs w:val="18"/>
              </w:rPr>
              <w:t xml:space="preserve">1 à 5 min</w:t>
            </w:r>
          </w:p>
        </w:tc>
        <w:tc>
          <w:tcPr>
            <w:tcW w:w="2409" w:type="dxa"/>
            <w:shd w:val="clear" w:color="auto" w:fill="F4F7FC"/>
          </w:tcPr>
          <w:p>
            <w:pPr>
              <w:pStyle w:val="TableText"/>
            </w:pPr>
            <w:r>
              <w:rPr>
                <w:sz w:val="18"/>
                <w:szCs w:val="18"/>
              </w:rPr>
              <w:t xml:space="preserve">Licences nommées et usage quotidien lus par l'API Autodesk (Business Success Plan)</w:t>
            </w:r>
          </w:p>
        </w:tc>
      </w:tr>
    </w:tbl>
    <w:p>
      <w:pPr>
        <w:spacing w:after="80"/>
      </w:pPr>
    </w:p>
    <w:p>
      <w:pPr>
        <w:pStyle w:val="Heading2"/>
      </w:pPr>
      <w:bookmarkStart w:id="70" w:name="_Toc00070"/>
      <w:r>
        <w:rPr/>
        <w:t xml:space="preserve">7.2 Démarrage et arrêt</w:t>
      </w:r>
      <w:bookmarkEnd w:id="70"/>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71" w:name="_Toc00071"/>
      <w:r>
        <w:rPr/>
        <w:t xml:space="preserve">7.3 Contrôles quotidiens (N1, 5 minutes)</w:t>
      </w:r>
      <w:bookmarkEnd w:id="71"/>
    </w:p>
    <w:p>
      <w:pPr>
        <w:pStyle w:val="Caption"/>
        <w:keepNext/>
      </w:pPr>
      <w:r>
        <w:rPr/>
        <w:t xml:space="preserve">Tableau 17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72" w:name="_Toc00072"/>
      <w:r>
        <w:rPr/>
        <w:t xml:space="preserve">7.4 Contrôles hebdomadaires et mensuels (N2)</w:t>
      </w:r>
      <w:bookmarkEnd w:id="72"/>
    </w:p>
    <w:p>
      <w:pPr>
        <w:pStyle w:val="Caption"/>
        <w:keepNext/>
      </w:pPr>
      <w:r>
        <w:rPr/>
        <w:t xml:space="preserve">Tableau 18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73" w:name="_Toc00073"/>
      <w:r>
        <w:rPr/>
        <w:t xml:space="preserve">7.5 Supervision</w:t>
      </w:r>
      <w:bookmarkEnd w:id="73"/>
    </w:p>
    <w:p>
      <w:pPr/>
      <w:r>
        <w:rPr/>
        <w:t xml:space="preserve">HeptagonesLM peut être supervisé par l'outil de l'entreprise (Centreon, Zabbix, SCOM, PRTG…) avec les sondes suivantes :</w:t>
      </w:r>
    </w:p>
    <w:p>
      <w:pPr>
        <w:pStyle w:val="Caption"/>
        <w:keepNext/>
      </w:pPr>
      <w:r>
        <w:rPr/>
        <w:t xml:space="preserve">Tableau 19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74" w:name="_Toc00074"/>
      <w:r>
        <w:rPr/>
        <w:t xml:space="preserve">7.6 Journaux</w:t>
      </w:r>
      <w:bookmarkEnd w:id="74"/>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75" w:name="_Toc00075"/>
      <w:r>
        <w:rPr/>
        <w:t xml:space="preserve">7.7 Codes retour</w:t>
      </w:r>
      <w:bookmarkEnd w:id="75"/>
    </w:p>
    <w:p>
      <w:pPr>
        <w:pStyle w:val="Caption"/>
        <w:keepNext/>
      </w:pPr>
      <w:r>
        <w:rPr/>
        <w:t xml:space="preserve">Tableau 20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76" w:name="_Toc00076"/>
      <w:r>
        <w:rPr/>
        <w:t xml:space="preserve">8. Utilisation de l'interface web</w:t>
      </w:r>
      <w:bookmarkEnd w:id="76"/>
    </w:p>
    <w:p>
      <w:pPr/>
      <w:r>
        <w:rPr/>
        <w:t xml:space="preserve">Ce chapitre présente l'interface telle que la voient les utilisateurs. Il sert au support N1 pour guider un utilisateur et vérifier le bon fonctionnement de l'application.</w:t>
      </w:r>
    </w:p>
    <w:p>
      <w:pPr>
        <w:pStyle w:val="Heading2"/>
      </w:pPr>
      <w:bookmarkStart w:id="77" w:name="_Toc00077"/>
      <w:r>
        <w:rPr/>
        <w:t xml:space="preserve">8.1 Accès et connexion</w:t>
      </w:r>
      <w:bookmarkEnd w:id="77"/>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5" name="Image 15" descr="Page de connexion"/>
            <wp:cNvGraphicFramePr>
              <a:graphicFrameLocks noChangeAspect="1"/>
            </wp:cNvGraphicFramePr>
            <a:graphic>
              <a:graphicData uri="http://schemas.openxmlformats.org/drawingml/2006/picture">
                <pic:pic>
                  <pic:nvPicPr>
                    <pic:cNvPr id="15" name="login.png"/>
                    <pic:cNvPicPr/>
                  </pic:nvPicPr>
                  <pic:blipFill>
                    <a:blip r:embed="rIdImg15"/>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14</w:t>
        </w:r>
      </w:fldSimple>
      <w:r>
        <w:rPr/>
        <w:t xml:space="preserve"> – Page de connexion</w:t>
      </w:r>
      <w:bookmarkEnd w:id="78"/>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6" name="Image 16" descr="Message d'erreur de connexion"/>
            <wp:cNvGraphicFramePr>
              <a:graphicFrameLocks noChangeAspect="1"/>
            </wp:cNvGraphicFramePr>
            <a:graphic>
              <a:graphicData uri="http://schemas.openxmlformats.org/drawingml/2006/picture">
                <pic:pic>
                  <pic:nvPicPr>
                    <pic:cNvPr id="16" name="login_error.png"/>
                    <pic:cNvPicPr/>
                  </pic:nvPicPr>
                  <pic:blipFill>
                    <a:blip r:embed="rIdImg16"/>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9" w:name="_Fig00079"/>
      <w:r>
        <w:rPr/>
        <w:t xml:space="preserve">Figure </w:t>
      </w:r>
      <w:fldSimple w:instr=" SEQ Figure \* ARABIC ">
        <w:r>
          <w:t>15</w:t>
        </w:r>
      </w:fldSimple>
      <w:r>
        <w:rPr/>
        <w:t xml:space="preserve"> – Message d'erreur de connexion</w:t>
      </w:r>
      <w:bookmarkEnd w:id="79"/>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7" name="Image 17" descr="En-tête : badge d'état des collectes et utilisateur connecté"/>
            <wp:cNvGraphicFramePr>
              <a:graphicFrameLocks noChangeAspect="1"/>
            </wp:cNvGraphicFramePr>
            <a:graphic>
              <a:graphicData uri="http://schemas.openxmlformats.org/drawingml/2006/picture">
                <pic:pic>
                  <pic:nvPicPr>
                    <pic:cNvPr id="17" name="user_badge.png"/>
                    <pic:cNvPicPr/>
                  </pic:nvPicPr>
                  <pic:blipFill>
                    <a:blip r:embed="rIdImg17"/>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16</w:t>
        </w:r>
      </w:fldSimple>
      <w:r>
        <w:rPr/>
        <w:t xml:space="preserve"> – En-tête : badge d'état des collectes et utilisateur connecté</w:t>
      </w:r>
      <w:bookmarkEnd w:id="80"/>
    </w:p>
    <w:p>
      <w:pPr>
        <w:pStyle w:val="Heading2"/>
      </w:pPr>
      <w:bookmarkStart w:id="81" w:name="_Toc00081"/>
      <w:r>
        <w:rPr/>
        <w:t xml:space="preserve">8.2 Navigation et filtres</w:t>
      </w:r>
      <w:bookmarkEnd w:id="81"/>
    </w:p>
    <w:p>
      <w:pPr/>
      <w:r>
        <w:rPr/>
        <w:t xml:space="preserve">La barre latérale regroupe les vues en cinq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w:t>
      </w:r>
      <w:r>
        <w:rPr>
          <w:b/>
        </w:rPr>
        <w:t xml:space="preserve">Achats</w:t>
      </w:r>
      <w:r>
        <w:rPr/>
        <w:t xml:space="preserve"> (prévision, renouvellements) et </w:t>
      </w:r>
      <w:r>
        <w:rPr>
          <w:b/>
        </w:rPr>
        <w:t xml:space="preserve">Données</w:t>
      </w:r>
      <w:r>
        <w:rPr/>
        <w:t xml:space="preserve">, plus </w:t>
      </w:r>
      <w:r>
        <w:rPr>
          <w:b/>
        </w:rPr>
        <w:t xml:space="preserve">Administration</w:t>
      </w:r>
      <w:r>
        <w:rPr/>
        <w:t xml:space="preserve"> pour les administrateurs.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967741"/>
                  <wp:docPr id="18" name="Image 18"/>
                  <wp:cNvGraphicFramePr>
                    <a:graphicFrameLocks noChangeAspect="1"/>
                  </wp:cNvGraphicFramePr>
                  <a:graphic>
                    <a:graphicData uri="http://schemas.openxmlformats.org/drawingml/2006/picture">
                      <pic:pic>
                        <pic:nvPicPr>
                          <pic:cNvPr id="18" name="sidebar.png"/>
                          <pic:cNvPicPr/>
                        </pic:nvPicPr>
                        <pic:blipFill>
                          <a:blip r:embed="rIdImg18"/>
                          <a:stretch>
                            <a:fillRect/>
                          </a:stretch>
                        </pic:blipFill>
                        <pic:spPr>
                          <a:xfrm>
                            <a:off x="0" y="0"/>
                            <a:ext cx="1728000" cy="6967741"/>
                          </a:xfrm>
                          <a:prstGeom prst="rect">
                            <a:avLst/>
                          </a:prstGeom>
                          <a:ln w="9525">
                            <a:solidFill>
                              <a:srgbClr val="D9D8D2"/>
                            </a:solidFill>
                          </a:ln>
                        </pic:spPr>
                      </pic:pic>
                    </a:graphicData>
                  </a:graphic>
                </wp:inline>
              </w:drawing>
            </w:r>
          </w:p>
        </w:tc>
      </w:tr>
    </w:tbl>
    <w:p>
      <w:pPr>
        <w:pStyle w:val="Caption"/>
      </w:pPr>
      <w:bookmarkStart w:id="82" w:name="_Fig00082"/>
      <w:r>
        <w:rPr/>
        <w:t xml:space="preserve">Figure </w:t>
      </w:r>
      <w:fldSimple w:instr=" SEQ Figure \* ARABIC ">
        <w:r>
          <w:t>17</w:t>
        </w:r>
      </w:fldSimple>
      <w:r>
        <w:rPr/>
        <w:t xml:space="preserve"> – Barre latérale de navigation</w:t>
      </w:r>
      <w:bookmarkEnd w:id="82"/>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9" name="Image 19" descr="Barre de filtres et boutons d'export"/>
            <wp:cNvGraphicFramePr>
              <a:graphicFrameLocks noChangeAspect="1"/>
            </wp:cNvGraphicFramePr>
            <a:graphic>
              <a:graphicData uri="http://schemas.openxmlformats.org/drawingml/2006/picture">
                <pic:pic>
                  <pic:nvPicPr>
                    <pic:cNvPr id="19" name="filterbar.png"/>
                    <pic:cNvPicPr/>
                  </pic:nvPicPr>
                  <pic:blipFill>
                    <a:blip r:embed="rIdImg19"/>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83" w:name="_Fig00083"/>
      <w:r>
        <w:rPr/>
        <w:t xml:space="preserve">Figure </w:t>
      </w:r>
      <w:fldSimple w:instr=" SEQ Figure \* ARABIC ">
        <w:r>
          <w:t>18</w:t>
        </w:r>
      </w:fldSimple>
      <w:r>
        <w:rPr/>
        <w:t xml:space="preserve"> – Barre de filtres et boutons d'export</w:t>
      </w:r>
      <w:bookmarkEnd w:id="83"/>
    </w:p>
    <w:p>
      <w:pPr>
        <w:pStyle w:val="Figure"/>
        <w:keepNext/>
      </w:pPr>
      <w:r>
        <w:drawing>
          <wp:inline distT="0" distB="0" distL="0" distR="0">
            <wp:extent cx="5940000" cy="2772000"/>
            <wp:docPr id="20" name="Image 20" descr="Sélection multiple avec recherche (filtre Produits)"/>
            <wp:cNvGraphicFramePr>
              <a:graphicFrameLocks noChangeAspect="1"/>
            </wp:cNvGraphicFramePr>
            <a:graphic>
              <a:graphicData uri="http://schemas.openxmlformats.org/drawingml/2006/picture">
                <pic:pic>
                  <pic:nvPicPr>
                    <pic:cNvPr id="20" name="filter_open.png"/>
                    <pic:cNvPicPr/>
                  </pic:nvPicPr>
                  <pic:blipFill>
                    <a:blip r:embed="rIdImg20"/>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19</w:t>
        </w:r>
      </w:fldSimple>
      <w:r>
        <w:rPr/>
        <w:t xml:space="preserve"> – Sélection multiple avec recherche (filtre Produits)</w:t>
      </w:r>
      <w:bookmarkEnd w:id="84"/>
    </w:p>
    <w:p>
      <w:pPr>
        <w:pStyle w:val="Heading2"/>
      </w:pPr>
      <w:bookmarkStart w:id="85" w:name="_Toc00085"/>
      <w:r>
        <w:rPr/>
        <w:t xml:space="preserve">8.3 Tableau de bord</w:t>
      </w:r>
      <w:bookmarkEnd w:id="85"/>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21" name="Image 21" descr="Tableau de bord complet"/>
            <wp:cNvGraphicFramePr>
              <a:graphicFrameLocks noChangeAspect="1"/>
            </wp:cNvGraphicFramePr>
            <a:graphic>
              <a:graphicData uri="http://schemas.openxmlformats.org/drawingml/2006/picture">
                <pic:pic>
                  <pic:nvPicPr>
                    <pic:cNvPr id="21" name="dashboard_full.png"/>
                    <pic:cNvPicPr/>
                  </pic:nvPicPr>
                  <pic:blipFill>
                    <a:blip r:embed="rIdImg21"/>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20</w:t>
        </w:r>
      </w:fldSimple>
      <w:r>
        <w:rPr/>
        <w:t xml:space="preserve"> – Tableau de bord complet</w:t>
      </w:r>
      <w:bookmarkEnd w:id="86"/>
    </w:p>
    <w:p>
      <w:pPr>
        <w:pStyle w:val="Heading3"/>
      </w:pPr>
      <w:bookmarkStart w:id="87" w:name="_Toc00087"/>
      <w:r>
        <w:rPr/>
        <w:t xml:space="preserve">Alertes</w:t>
      </w:r>
      <w:bookmarkEnd w:id="87"/>
    </w:p>
    <w:p>
      <w:pPr/>
      <w:r>
        <w:rPr/>
        <w:t xml:space="preserve">Les alertes sont classées par gravité ; le lien « Voir » ouvre la vue concernée.</w:t>
      </w:r>
    </w:p>
    <w:p>
      <w:pPr>
        <w:pStyle w:val="Figure"/>
        <w:keepNext/>
      </w:pPr>
      <w:r>
        <w:drawing>
          <wp:inline distT="0" distB="0" distL="0" distR="0">
            <wp:extent cx="5940000" cy="1317676"/>
            <wp:docPr id="22" name="Image 22" descr="Bandeau d'alertes"/>
            <wp:cNvGraphicFramePr>
              <a:graphicFrameLocks noChangeAspect="1"/>
            </wp:cNvGraphicFramePr>
            <a:graphic>
              <a:graphicData uri="http://schemas.openxmlformats.org/drawingml/2006/picture">
                <pic:pic>
                  <pic:nvPicPr>
                    <pic:cNvPr id="22" name="alerts.png"/>
                    <pic:cNvPicPr/>
                  </pic:nvPicPr>
                  <pic:blipFill>
                    <a:blip r:embed="rIdImg22"/>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21</w:t>
        </w:r>
      </w:fldSimple>
      <w:r>
        <w:rPr/>
        <w:t xml:space="preserve"> – Bandeau d'alertes</w:t>
      </w:r>
      <w:bookmarkEnd w:id="88"/>
    </w:p>
    <w:p>
      <w:pPr>
        <w:pStyle w:val="Caption"/>
        <w:keepNext/>
      </w:pPr>
      <w:r>
        <w:rPr/>
        <w:t xml:space="preserve">Tableau 21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9" w:name="_Toc00089"/>
      <w:r>
        <w:rPr/>
        <w:t xml:space="preserve">Indicateurs clés</w:t>
      </w:r>
      <w:bookmarkEnd w:id="89"/>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3" name="Image 23" descr="Indicateurs clés"/>
            <wp:cNvGraphicFramePr>
              <a:graphicFrameLocks noChangeAspect="1"/>
            </wp:cNvGraphicFramePr>
            <a:graphic>
              <a:graphicData uri="http://schemas.openxmlformats.org/drawingml/2006/picture">
                <pic:pic>
                  <pic:nvPicPr>
                    <pic:cNvPr id="23" name="kpis.png"/>
                    <pic:cNvPicPr/>
                  </pic:nvPicPr>
                  <pic:blipFill>
                    <a:blip r:embed="rIdImg23"/>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22</w:t>
        </w:r>
      </w:fldSimple>
      <w:r>
        <w:rPr/>
        <w:t xml:space="preserve"> – Indicateurs clés</w:t>
      </w:r>
      <w:bookmarkEnd w:id="90"/>
    </w:p>
    <w:p>
      <w:pPr>
        <w:pStyle w:val="Caption"/>
        <w:keepNext/>
      </w:pPr>
      <w:r>
        <w:rPr/>
        <w:t xml:space="preserve">Tableau 22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91" w:name="_Toc00091"/>
      <w:r>
        <w:rPr/>
        <w:t xml:space="preserve">Blocs de détail</w:t>
      </w:r>
      <w:bookmarkEnd w:id="91"/>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4" name="Image 24" descr="Bloc « Serveurs et échéances »"/>
            <wp:cNvGraphicFramePr>
              <a:graphicFrameLocks noChangeAspect="1"/>
            </wp:cNvGraphicFramePr>
            <a:graphic>
              <a:graphicData uri="http://schemas.openxmlformats.org/drawingml/2006/picture">
                <pic:pic>
                  <pic:nvPicPr>
                    <pic:cNvPr id="24" name="servers.png"/>
                    <pic:cNvPicPr/>
                  </pic:nvPicPr>
                  <pic:blipFill>
                    <a:blip r:embed="rIdImg24"/>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23</w:t>
        </w:r>
      </w:fldSimple>
      <w:r>
        <w:rPr/>
        <w:t xml:space="preserve"> – Bloc « Serveurs et échéances »</w:t>
      </w:r>
      <w:bookmarkEnd w:id="92"/>
    </w:p>
    <w:p>
      <w:pPr>
        <w:pStyle w:val="Heading2"/>
      </w:pPr>
      <w:bookmarkStart w:id="93" w:name="_Toc00093"/>
      <w:r>
        <w:rPr/>
        <w:t xml:space="preserve">8.4 En direct</w:t>
      </w:r>
      <w:bookmarkEnd w:id="93"/>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5" name="Image 25" descr="Vue En direct"/>
            <wp:cNvGraphicFramePr>
              <a:graphicFrameLocks noChangeAspect="1"/>
            </wp:cNvGraphicFramePr>
            <a:graphic>
              <a:graphicData uri="http://schemas.openxmlformats.org/drawingml/2006/picture">
                <pic:pic>
                  <pic:nvPicPr>
                    <pic:cNvPr id="25" name="live.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24</w:t>
        </w:r>
      </w:fldSimple>
      <w:r>
        <w:rPr/>
        <w:t xml:space="preserve"> – Vue En direct</w:t>
      </w:r>
      <w:bookmarkEnd w:id="94"/>
    </w:p>
    <w:p>
      <w:pPr>
        <w:pStyle w:val="Heading2"/>
      </w:pPr>
      <w:bookmarkStart w:id="95" w:name="_Toc00095"/>
      <w:r>
        <w:rPr/>
        <w:t xml:space="preserve">8.5 Rapports d'analyse</w:t>
      </w:r>
      <w:bookmarkEnd w:id="95"/>
    </w:p>
    <w:p>
      <w:pPr>
        <w:pStyle w:val="Caption"/>
        <w:keepNext/>
      </w:pPr>
      <w:r>
        <w:rPr/>
        <w:t xml:space="preserve">Tableau 23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 site, projet</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service ou projet</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6" name="Image 26" descr="Synthèse par produit"/>
            <wp:cNvGraphicFramePr>
              <a:graphicFrameLocks noChangeAspect="1"/>
            </wp:cNvGraphicFramePr>
            <a:graphic>
              <a:graphicData uri="http://schemas.openxmlformats.org/drawingml/2006/picture">
                <pic:pic>
                  <pic:nvPicPr>
                    <pic:cNvPr id="26" name="summary.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25</w:t>
        </w:r>
      </w:fldSimple>
      <w:r>
        <w:rPr/>
        <w:t xml:space="preserve"> – Synthèse par produit</w:t>
      </w:r>
      <w:bookmarkEnd w:id="96"/>
    </w:p>
    <w:p>
      <w:pPr>
        <w:pStyle w:val="Figure"/>
        <w:keepNext/>
      </w:pPr>
      <w:r>
        <w:drawing>
          <wp:inline distT="0" distB="0" distL="0" distR="0">
            <wp:extent cx="5940000" cy="3712500"/>
            <wp:docPr id="27" name="Image 27" descr="Usage dans le temps (taux d'occupation journalier)"/>
            <wp:cNvGraphicFramePr>
              <a:graphicFrameLocks noChangeAspect="1"/>
            </wp:cNvGraphicFramePr>
            <a:graphic>
              <a:graphicData uri="http://schemas.openxmlformats.org/drawingml/2006/picture">
                <pic:pic>
                  <pic:nvPicPr>
                    <pic:cNvPr id="27" name="timeseries.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26</w:t>
        </w:r>
      </w:fldSimple>
      <w:r>
        <w:rPr/>
        <w:t xml:space="preserve"> – Usage dans le temps (taux d'occupation journalier)</w:t>
      </w:r>
      <w:bookmarkEnd w:id="97"/>
    </w:p>
    <w:p>
      <w:pPr>
        <w:pStyle w:val="Figure"/>
        <w:keepNext/>
      </w:pPr>
      <w:r>
        <w:drawing>
          <wp:inline distT="0" distB="0" distL="0" distR="0">
            <wp:extent cx="5940000" cy="3712500"/>
            <wp:docPr id="28" name="Image 28" descr="Répartition par service (refacturation)"/>
            <wp:cNvGraphicFramePr>
              <a:graphicFrameLocks noChangeAspect="1"/>
            </wp:cNvGraphicFramePr>
            <a:graphic>
              <a:graphicData uri="http://schemas.openxmlformats.org/drawingml/2006/picture">
                <pic:pic>
                  <pic:nvPicPr>
                    <pic:cNvPr id="28" name="breakdown.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27</w:t>
        </w:r>
      </w:fldSimple>
      <w:r>
        <w:rPr/>
        <w:t xml:space="preserve"> – Répartition par service (refacturation)</w:t>
      </w:r>
      <w:bookmarkEnd w:id="98"/>
    </w:p>
    <w:p>
      <w:pPr>
        <w:pStyle w:val="Figure"/>
        <w:keepNext/>
      </w:pPr>
      <w:r>
        <w:drawing>
          <wp:inline distT="0" distB="0" distL="0" distR="0">
            <wp:extent cx="5940000" cy="3712500"/>
            <wp:docPr id="29" name="Image 29" descr="Croisement service × produit"/>
            <wp:cNvGraphicFramePr>
              <a:graphicFrameLocks noChangeAspect="1"/>
            </wp:cNvGraphicFramePr>
            <a:graphic>
              <a:graphicData uri="http://schemas.openxmlformats.org/drawingml/2006/picture">
                <pic:pic>
                  <pic:nvPicPr>
                    <pic:cNvPr id="29" name="matrix.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9" w:name="_Fig00099"/>
      <w:r>
        <w:rPr/>
        <w:t xml:space="preserve">Figure </w:t>
      </w:r>
      <w:fldSimple w:instr=" SEQ Figure \* ARABIC ">
        <w:r>
          <w:t>28</w:t>
        </w:r>
      </w:fldSimple>
      <w:r>
        <w:rPr/>
        <w:t xml:space="preserve"> – Croisement service × produit</w:t>
      </w:r>
      <w:bookmarkEnd w:id="99"/>
    </w:p>
    <w:p>
      <w:pPr>
        <w:pStyle w:val="Figure"/>
        <w:keepNext/>
      </w:pPr>
      <w:r>
        <w:drawing>
          <wp:inline distT="0" distB="0" distL="0" distR="0">
            <wp:extent cx="5940000" cy="3712500"/>
            <wp:docPr id="30" name="Image 30" descr="Profil horaire"/>
            <wp:cNvGraphicFramePr>
              <a:graphicFrameLocks noChangeAspect="1"/>
            </wp:cNvGraphicFramePr>
            <a:graphic>
              <a:graphicData uri="http://schemas.openxmlformats.org/drawingml/2006/picture">
                <pic:pic>
                  <pic:nvPicPr>
                    <pic:cNvPr id="30" name="heatmap.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29</w:t>
        </w:r>
      </w:fldSimple>
      <w:r>
        <w:rPr/>
        <w:t xml:space="preserve"> – Profil horaire</w:t>
      </w:r>
      <w:bookmarkEnd w:id="100"/>
    </w:p>
    <w:p>
      <w:pPr>
        <w:pStyle w:val="Heading2"/>
      </w:pPr>
      <w:bookmarkStart w:id="101" w:name="_Toc00101"/>
      <w:r>
        <w:rPr/>
        <w:t xml:space="preserve">8.6 Optimisation</w:t>
      </w:r>
      <w:bookmarkEnd w:id="101"/>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31" name="Image 31" descr="Efficacité des jetons (comparaison des produits)"/>
            <wp:cNvGraphicFramePr>
              <a:graphicFrameLocks noChangeAspect="1"/>
            </wp:cNvGraphicFramePr>
            <a:graphic>
              <a:graphicData uri="http://schemas.openxmlformats.org/drawingml/2006/picture">
                <pic:pic>
                  <pic:nvPicPr>
                    <pic:cNvPr id="31" name="efficiency.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2" w:name="_Fig00102"/>
      <w:r>
        <w:rPr/>
        <w:t xml:space="preserve">Figure </w:t>
      </w:r>
      <w:fldSimple w:instr=" SEQ Figure \* ARABIC ">
        <w:r>
          <w:t>30</w:t>
        </w:r>
      </w:fldSimple>
      <w:r>
        <w:rPr/>
        <w:t xml:space="preserve"> – Efficacité des jetons (comparaison des produits)</w:t>
      </w:r>
      <w:bookmarkEnd w:id="102"/>
    </w:p>
    <w:p>
      <w:pPr>
        <w:pStyle w:val="Figure"/>
        <w:keepNext/>
      </w:pPr>
      <w:r>
        <w:drawing>
          <wp:inline distT="0" distB="0" distL="0" distR="0">
            <wp:extent cx="5940000" cy="3712500"/>
            <wp:docPr id="32" name="Image 32" descr="Efficacité d'un produit (MATLAB) en nombre de jetons"/>
            <wp:cNvGraphicFramePr>
              <a:graphicFrameLocks noChangeAspect="1"/>
            </wp:cNvGraphicFramePr>
            <a:graphic>
              <a:graphicData uri="http://schemas.openxmlformats.org/drawingml/2006/picture">
                <pic:pic>
                  <pic:nvPicPr>
                    <pic:cNvPr id="32" name="efficiency_one.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3" w:name="_Fig00103"/>
      <w:r>
        <w:rPr/>
        <w:t xml:space="preserve">Figure </w:t>
      </w:r>
      <w:fldSimple w:instr=" SEQ Figure \* ARABIC ">
        <w:r>
          <w:t>31</w:t>
        </w:r>
      </w:fldSimple>
      <w:r>
        <w:rPr/>
        <w:t xml:space="preserve"> – Efficacité d'un produit (MATLAB) en nombre de jetons</w:t>
      </w:r>
      <w:bookmarkEnd w:id="103"/>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3" name="Image 33" descr="Optimisation et coûts"/>
            <wp:cNvGraphicFramePr>
              <a:graphicFrameLocks noChangeAspect="1"/>
            </wp:cNvGraphicFramePr>
            <a:graphic>
              <a:graphicData uri="http://schemas.openxmlformats.org/drawingml/2006/picture">
                <pic:pic>
                  <pic:nvPicPr>
                    <pic:cNvPr id="33" name="optimization.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32</w:t>
        </w:r>
      </w:fldSimple>
      <w:r>
        <w:rPr/>
        <w:t xml:space="preserve"> – Optimisation et coûts</w:t>
      </w:r>
      <w:bookmarkEnd w:id="104"/>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4" name="Image 34" descr="Contention"/>
            <wp:cNvGraphicFramePr>
              <a:graphicFrameLocks noChangeAspect="1"/>
            </wp:cNvGraphicFramePr>
            <a:graphic>
              <a:graphicData uri="http://schemas.openxmlformats.org/drawingml/2006/picture">
                <pic:pic>
                  <pic:nvPicPr>
                    <pic:cNvPr id="34" name="contention.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5" w:name="_Fig00105"/>
      <w:r>
        <w:rPr/>
        <w:t xml:space="preserve">Figure </w:t>
      </w:r>
      <w:fldSimple w:instr=" SEQ Figure \* ARABIC ">
        <w:r>
          <w:t>33</w:t>
        </w:r>
      </w:fldSimple>
      <w:r>
        <w:rPr/>
        <w:t xml:space="preserve"> – Contention</w:t>
      </w:r>
      <w:bookmarkEnd w:id="105"/>
    </w:p>
    <w:p>
      <w:pPr>
        <w:pStyle w:val="Figure"/>
        <w:keepNext/>
      </w:pPr>
      <w:r>
        <w:drawing>
          <wp:inline distT="0" distB="0" distL="0" distR="0">
            <wp:extent cx="5940000" cy="3712500"/>
            <wp:docPr id="35" name="Image 35" descr="Refus de licence"/>
            <wp:cNvGraphicFramePr>
              <a:graphicFrameLocks noChangeAspect="1"/>
            </wp:cNvGraphicFramePr>
            <a:graphic>
              <a:graphicData uri="http://schemas.openxmlformats.org/drawingml/2006/picture">
                <pic:pic>
                  <pic:nvPicPr>
                    <pic:cNvPr id="35" name="denials.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6" w:name="_Fig00106"/>
      <w:r>
        <w:rPr/>
        <w:t xml:space="preserve">Figure </w:t>
      </w:r>
      <w:fldSimple w:instr=" SEQ Figure \* ARABIC ">
        <w:r>
          <w:t>34</w:t>
        </w:r>
      </w:fldSimple>
      <w:r>
        <w:rPr/>
        <w:t xml:space="preserve"> – Refus de licence</w:t>
      </w:r>
      <w:bookmarkEnd w:id="106"/>
    </w:p>
    <w:p>
      <w:pPr>
        <w:pStyle w:val="Heading2"/>
      </w:pPr>
      <w:bookmarkStart w:id="107" w:name="_Toc00107"/>
      <w:r>
        <w:rPr/>
        <w:t xml:space="preserve">8.7 Données</w:t>
      </w:r>
      <w:bookmarkEnd w:id="107"/>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6" name="Image 36" descr="Sessions"/>
            <wp:cNvGraphicFramePr>
              <a:graphicFrameLocks noChangeAspect="1"/>
            </wp:cNvGraphicFramePr>
            <a:graphic>
              <a:graphicData uri="http://schemas.openxmlformats.org/drawingml/2006/picture">
                <pic:pic>
                  <pic:nvPicPr>
                    <pic:cNvPr id="36" name="sessions.png"/>
                    <pic:cNvPicPr/>
                  </pic:nvPicPr>
                  <pic:blipFill>
                    <a:blip r:embed="rIdImg3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35</w:t>
        </w:r>
      </w:fldSimple>
      <w:r>
        <w:rPr/>
        <w:t xml:space="preserve"> – Sessions</w:t>
      </w:r>
      <w:bookmarkEnd w:id="108"/>
    </w:p>
    <w:p>
      <w:pPr>
        <w:pStyle w:val="Figure"/>
        <w:keepNext/>
      </w:pPr>
      <w:r>
        <w:drawing>
          <wp:inline distT="0" distB="0" distL="0" distR="0">
            <wp:extent cx="5940000" cy="3712500"/>
            <wp:docPr id="37" name="Image 37" descr="Journal des collectes"/>
            <wp:cNvGraphicFramePr>
              <a:graphicFrameLocks noChangeAspect="1"/>
            </wp:cNvGraphicFramePr>
            <a:graphic>
              <a:graphicData uri="http://schemas.openxmlformats.org/drawingml/2006/picture">
                <pic:pic>
                  <pic:nvPicPr>
                    <pic:cNvPr id="37" name="collections.png"/>
                    <pic:cNvPicPr/>
                  </pic:nvPicPr>
                  <pic:blipFill>
                    <a:blip r:embed="rIdImg3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9" w:name="_Fig00109"/>
      <w:r>
        <w:rPr/>
        <w:t xml:space="preserve">Figure </w:t>
      </w:r>
      <w:fldSimple w:instr=" SEQ Figure \* ARABIC ">
        <w:r>
          <w:t>36</w:t>
        </w:r>
      </w:fldSimple>
      <w:r>
        <w:rPr/>
        <w:t xml:space="preserve"> – Journal des collectes</w:t>
      </w:r>
      <w:bookmarkEnd w:id="109"/>
    </w:p>
    <w:p>
      <w:pPr>
        <w:pStyle w:val="Heading2"/>
      </w:pPr>
      <w:bookmarkStart w:id="110" w:name="_Toc00110"/>
      <w:r>
        <w:rPr/>
        <w:t xml:space="preserve">8.8 Exports</w:t>
      </w:r>
      <w:bookmarkEnd w:id="110"/>
    </w:p>
    <w:p>
      <w:pPr>
        <w:pStyle w:val="Caption"/>
        <w:keepNext/>
      </w:pPr>
      <w:r>
        <w:rPr/>
        <w:t xml:space="preserve">Tableau 24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11" w:name="_Toc00111"/>
      <w:r>
        <w:rPr/>
        <w:t xml:space="preserve">8.9 Thème et affichage mobile</w:t>
      </w:r>
      <w:bookmarkEnd w:id="111"/>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8" name="Image 38" descr="Tableau de bord en thème sombre"/>
            <wp:cNvGraphicFramePr>
              <a:graphicFrameLocks noChangeAspect="1"/>
            </wp:cNvGraphicFramePr>
            <a:graphic>
              <a:graphicData uri="http://schemas.openxmlformats.org/drawingml/2006/picture">
                <pic:pic>
                  <pic:nvPicPr>
                    <pic:cNvPr id="38" name="dashboard_dark.png"/>
                    <pic:cNvPicPr/>
                  </pic:nvPicPr>
                  <pic:blipFill>
                    <a:blip r:embed="rIdImg3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12" w:name="_Fig00112"/>
      <w:r>
        <w:rPr/>
        <w:t xml:space="preserve">Figure </w:t>
      </w:r>
      <w:fldSimple w:instr=" SEQ Figure \* ARABIC ">
        <w:r>
          <w:t>37</w:t>
        </w:r>
      </w:fldSimple>
      <w:r>
        <w:rPr/>
        <w:t xml:space="preserve"> – Tableau de bord en thème sombre</w:t>
      </w:r>
      <w:bookmarkEnd w:id="112"/>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9" name="Image 39"/>
                  <wp:cNvGraphicFramePr>
                    <a:graphicFrameLocks noChangeAspect="1"/>
                  </wp:cNvGraphicFramePr>
                  <a:graphic>
                    <a:graphicData uri="http://schemas.openxmlformats.org/drawingml/2006/picture">
                      <pic:pic>
                        <pic:nvPicPr>
                          <pic:cNvPr id="39" name="mobile_dashboard.png"/>
                          <pic:cNvPicPr/>
                        </pic:nvPicPr>
                        <pic:blipFill>
                          <a:blip r:embed="rIdImg39"/>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40" name="Image 40"/>
                  <wp:cNvGraphicFramePr>
                    <a:graphicFrameLocks noChangeAspect="1"/>
                  </wp:cNvGraphicFramePr>
                  <a:graphic>
                    <a:graphicData uri="http://schemas.openxmlformats.org/drawingml/2006/picture">
                      <pic:pic>
                        <pic:nvPicPr>
                          <pic:cNvPr id="40" name="mobile_menu.png"/>
                          <pic:cNvPicPr/>
                        </pic:nvPicPr>
                        <pic:blipFill>
                          <a:blip r:embed="rIdImg40"/>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13" w:name="_Fig00113"/>
      <w:r>
        <w:rPr/>
        <w:t xml:space="preserve">Figure </w:t>
      </w:r>
      <w:fldSimple w:instr=" SEQ Figure \* ARABIC ">
        <w:r>
          <w:t>38</w:t>
        </w:r>
      </w:fldSimple>
      <w:r>
        <w:rPr/>
        <w:t xml:space="preserve"> – Affichage sur téléphone : tableau de bord et menu</w:t>
      </w:r>
      <w:bookmarkEnd w:id="113"/>
    </w:p>
    <w:p>
      <w:pPr>
        <w:pStyle w:val="Heading2"/>
      </w:pPr>
      <w:bookmarkStart w:id="114" w:name="_Toc00114"/>
      <w:r>
        <w:rPr/>
        <w:t xml:space="preserve">8.10 Rapport Excel mensuel</w:t>
      </w:r>
      <w:bookmarkEnd w:id="114"/>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25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15" w:name="_Toc00115"/>
      <w:r>
        <w:rPr/>
        <w:t xml:space="preserve">8.11 Rapport par e-mail</w:t>
      </w:r>
      <w:bookmarkEnd w:id="115"/>
    </w:p>
    <w:p>
      <w:pPr/>
      <w:r>
        <w:rPr/>
        <w:t xml:space="preserve">Chaque abonné reçoit un résumé HTML (indicateurs, produits en pénurie ou sous-utilisés, détail par produit, lien vers l'interface) et le classeur Excel en pièce jointe.</w:t>
      </w:r>
    </w:p>
    <w:p>
      <w:pPr/>
      <w:r>
        <w:rPr>
          <w:b/>
        </w:rPr>
        <w:t xml:space="preserve">Rapport sur mesure</w:t>
      </w:r>
      <w:r>
        <w:rPr/>
        <w:t xml:space="preserve"> (26.4) : avec </w:t>
      </w:r>
      <w:r>
        <w:rPr>
          <w:rFonts w:ascii="Consolas" w:hAnsi="Consolas" w:cs="Consolas"/>
          <w:color w:val="1C5CAB"/>
          <w:sz w:val="18"/>
          <w:szCs w:val="18"/>
          <w:shd w:val="clear" w:color="auto" w:fill="EEF3FA"/>
        </w:rPr>
        <w:t xml:space="preserve">views</w:t>
      </w:r>
      <w:r>
        <w:rPr/>
        <w:t xml:space="preserve">, le message reprend les vues choisies (indicateurs et quinze premières lignes) et le classeur joint contient une feuille par vue. Chaque abonnement peut aussi filtrer par serveurs, produits, utilisateurs, services et sites, choisir l'axe de la Répartition (</w:t>
      </w:r>
      <w:r>
        <w:rPr>
          <w:rFonts w:ascii="Consolas" w:hAnsi="Consolas" w:cs="Consolas"/>
          <w:color w:val="1C5CAB"/>
          <w:sz w:val="18"/>
          <w:szCs w:val="18"/>
          <w:shd w:val="clear" w:color="auto" w:fill="EEF3FA"/>
        </w:rPr>
        <w:t xml:space="preserve">dimension</w:t>
      </w:r>
      <w:r>
        <w:rPr/>
        <w:t xml:space="preserve">) et une période trimestrielle (</w:t>
      </w:r>
      <w:r>
        <w:rPr>
          <w:rFonts w:ascii="Consolas" w:hAnsi="Consolas" w:cs="Consolas"/>
          <w:color w:val="1C5CAB"/>
          <w:sz w:val="18"/>
          <w:szCs w:val="18"/>
          <w:shd w:val="clear" w:color="auto" w:fill="EEF3FA"/>
        </w:rPr>
        <w:t xml:space="preserve">last-quarter</w:t>
      </w:r>
      <w:r>
        <w:rPr/>
        <w:t xml:space="preserve">). Ils se gèrent dans *Administration › Rapports planifiés*, avec un bouton « Envoyer un essai » : un essai n'est pas compté comme l'envoi de la période.</w:t>
      </w:r>
    </w:p>
    <w:p>
      <w:pPr>
        <w:pStyle w:val="Figure"/>
        <w:keepNext/>
      </w:pPr>
      <w:r>
        <w:drawing>
          <wp:inline distT="0" distB="0" distL="0" distR="0">
            <wp:extent cx="5040000" cy="4725000"/>
            <wp:docPr id="41" name="Image 41" descr="Rapport mensuel reçu par e-mail"/>
            <wp:cNvGraphicFramePr>
              <a:graphicFrameLocks noChangeAspect="1"/>
            </wp:cNvGraphicFramePr>
            <a:graphic>
              <a:graphicData uri="http://schemas.openxmlformats.org/drawingml/2006/picture">
                <pic:pic>
                  <pic:nvPicPr>
                    <pic:cNvPr id="41" name="email.png"/>
                    <pic:cNvPicPr/>
                  </pic:nvPicPr>
                  <pic:blipFill>
                    <a:blip r:embed="rIdImg41"/>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16" w:name="_Fig00116"/>
      <w:r>
        <w:rPr/>
        <w:t xml:space="preserve">Figure </w:t>
      </w:r>
      <w:fldSimple w:instr=" SEQ Figure \* ARABIC ">
        <w:r>
          <w:t>39</w:t>
        </w:r>
      </w:fldSimple>
      <w:r>
        <w:rPr/>
        <w:t xml:space="preserve"> – Rapport mensuel reçu par e-mail</w:t>
      </w:r>
      <w:bookmarkEnd w:id="116"/>
    </w:p>
    <w:p>
      <w:pPr>
        <w:pStyle w:val="Heading2"/>
      </w:pPr>
      <w:bookmarkStart w:id="117" w:name="_Toc00117"/>
      <w:r>
        <w:rPr/>
        <w:t xml:space="preserve">8.12 Alertes immédiates</w:t>
      </w:r>
      <w:bookmarkEnd w:id="117"/>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42" name="Image 42" descr="Message d'alertes immédiates"/>
            <wp:cNvGraphicFramePr>
              <a:graphicFrameLocks noChangeAspect="1"/>
            </wp:cNvGraphicFramePr>
            <a:graphic>
              <a:graphicData uri="http://schemas.openxmlformats.org/drawingml/2006/picture">
                <pic:pic>
                  <pic:nvPicPr>
                    <pic:cNvPr id="42" name="alertes.png"/>
                    <pic:cNvPicPr/>
                  </pic:nvPicPr>
                  <pic:blipFill>
                    <a:blip r:embed="rIdImg42"/>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18" w:name="_Fig00118"/>
      <w:r>
        <w:rPr/>
        <w:t xml:space="preserve">Figure </w:t>
      </w:r>
      <w:fldSimple w:instr=" SEQ Figure \* ARABIC ">
        <w:r>
          <w:t>40</w:t>
        </w:r>
      </w:fldSimple>
      <w:r>
        <w:rPr/>
        <w:t xml:space="preserve"> – Message d'alertes immédiates</w:t>
      </w:r>
      <w:bookmarkEnd w:id="118"/>
    </w:p>
    <w:p>
      <w:pPr/>
      <w:r>
        <w:rPr/>
        <w:t xml:space="preserve">Avec des connecteurs </w:t>
      </w:r>
      <w:r>
        <w:rPr>
          <w:rFonts w:ascii="Consolas" w:hAnsi="Consolas" w:cs="Consolas"/>
          <w:color w:val="1C5CAB"/>
          <w:sz w:val="18"/>
          <w:szCs w:val="18"/>
          <w:shd w:val="clear" w:color="auto" w:fill="EEF3FA"/>
        </w:rPr>
        <w:t xml:space="preserve">alerts.itsm</w:t>
      </w:r>
      <w:r>
        <w:rPr/>
        <w:t xml:space="preserve">, chaque alerte grave (pannes, refus, échéances à moins de 7 jours ; </w:t>
      </w:r>
      <w:r>
        <w:rPr>
          <w:rFonts w:ascii="Consolas" w:hAnsi="Consolas" w:cs="Consolas"/>
          <w:color w:val="1C5CAB"/>
          <w:sz w:val="18"/>
          <w:szCs w:val="18"/>
          <w:shd w:val="clear" w:color="auto" w:fill="EEF3FA"/>
        </w:rPr>
        <w:t xml:space="preserve">min_severity</w:t>
      </w:r>
      <w:r>
        <w:rPr/>
        <w:t xml:space="preserve">) ouvre aussi un ticket dans ServiceNow, Jira ou GLPI (ou un message Teams / Slack) : il est complété à chaque rappel et résolu automatiquement quand la condition disparaît, sans doublon, avec rattrapage si l'outil était injoignable. Le connecteur se configure à l'étape « Tickets ITSM » de l'assistant (bouton « Ouvrir un ticket de test ») ; le mot de passe ou les jetons y sont chiffrés par Windows (DPAPI) dans </w:t>
      </w:r>
      <w:r>
        <w:rPr>
          <w:rFonts w:ascii="Consolas" w:hAnsi="Consolas" w:cs="Consolas"/>
          <w:color w:val="1C5CAB"/>
          <w:sz w:val="18"/>
          <w:szCs w:val="18"/>
          <w:shd w:val="clear" w:color="auto" w:fill="EEF3FA"/>
        </w:rPr>
        <w:t xml:space="preserve">C:\HeptagonesLM\secrets\</w:t>
      </w:r>
      <w:r>
        <w:rPr/>
        <w:t xml:space="preserve"> et la configuration n'en contient qu'une référence </w:t>
      </w:r>
      <w:r>
        <w:rPr>
          <w:rFonts w:ascii="Consolas" w:hAnsi="Consolas" w:cs="Consolas"/>
          <w:color w:val="1C5CAB"/>
          <w:sz w:val="18"/>
          <w:szCs w:val="18"/>
          <w:shd w:val="clear" w:color="auto" w:fill="EEF3FA"/>
        </w:rPr>
        <w:t xml:space="preserve">dpapi:</w:t>
      </w:r>
      <w:r>
        <w:rPr/>
        <w:t xml:space="preserve">. Vérification après coup : </w:t>
      </w:r>
      <w:r>
        <w:rPr>
          <w:rFonts w:ascii="Consolas" w:hAnsi="Consolas" w:cs="Consolas"/>
          <w:color w:val="1C5CAB"/>
          <w:sz w:val="18"/>
          <w:szCs w:val="18"/>
          <w:shd w:val="clear" w:color="auto" w:fill="EEF3FA"/>
        </w:rPr>
        <w:t xml:space="preserve">test-itsm</w:t>
      </w:r>
      <w:r>
        <w:rPr/>
        <w:t xml:space="preserve"> (ticket de test ouvert, commenté puis résolu).</w:t>
      </w:r>
    </w:p>
    <w:p>
      <w:pPr>
        <w:pStyle w:val="Heading2"/>
      </w:pPr>
      <w:bookmarkStart w:id="119" w:name="_Toc00119"/>
      <w:r>
        <w:rPr/>
        <w:t xml:space="preserve">8.13 Rôles</w:t>
      </w:r>
      <w:bookmarkEnd w:id="119"/>
    </w:p>
    <w:p>
      <w:pPr/>
      <w:r>
        <w:rPr/>
        <w:t xml:space="preserve">Avec la section </w:t>
      </w:r>
      <w:r>
        <w:rPr>
          <w:rFonts w:ascii="Consolas" w:hAnsi="Consolas" w:cs="Consolas"/>
          <w:color w:val="1C5CAB"/>
          <w:sz w:val="18"/>
          <w:szCs w:val="18"/>
          <w:shd w:val="clear" w:color="auto" w:fill="EEF3FA"/>
        </w:rPr>
        <w:t xml:space="preserve">web.roles</w:t>
      </w:r>
      <w:r>
        <w:rPr/>
        <w:t xml:space="preserve">, un responsable de service ne voit que les utilisateurs de ses services : sessions, répartition, refus, utilisateurs connectés et exports. Le bandeau « Vue limitée » le rappelle, les filtres ne proposent que son périmètre et toute demande hors périmètre est refusée par le serveur (journal d'audit). Les compteurs d'un produit (jetons émis et utilisés, saturation) restent visibles : ils ne désignent personne. Les lecteurs et administrateurs ont une vue globale.</w:t>
      </w:r>
    </w:p>
    <w:p>
      <w:pPr>
        <w:pStyle w:val="Heading2"/>
      </w:pPr>
      <w:bookmarkStart w:id="120" w:name="_Toc00120"/>
      <w:r>
        <w:rPr/>
        <w:t xml:space="preserve">8.14 Licences inutilisées, réservations, emprunts et sites</w:t>
      </w:r>
      <w:bookmarkEnd w:id="120"/>
    </w:p>
    <w:p>
      <w:pPr/>
      <w:r>
        <w:rPr>
          <w:b/>
        </w:rPr>
        <w:t xml:space="preserve">Licences inutilisées</w:t>
      </w:r>
      <w:r>
        <w:rPr/>
        <w:t xml:space="preserve"> liste les licences émises mais jamais utilisées sur la période, avec leur coût annuel : ce sont les premières candidates à la résiliation. </w:t>
      </w:r>
      <w:r>
        <w:rPr>
          <w:b/>
        </w:rPr>
        <w:t xml:space="preserve">Réservations</w:t>
      </w:r>
      <w:r>
        <w:rPr/>
        <w:t xml:space="preserve"> reprend les jetons réservés par le fichier d'options (lignes RESERVE) et mesure leur usage réel par le bénéficiaire.</w:t>
      </w:r>
    </w:p>
    <w:p>
      <w:pPr>
        <w:pStyle w:val="Figure"/>
        <w:keepNext/>
      </w:pPr>
      <w:r>
        <w:drawing>
          <wp:inline distT="0" distB="0" distL="0" distR="0">
            <wp:extent cx="5940000" cy="3712500"/>
            <wp:docPr id="43" name="Image 43" descr="Licences inutilisées"/>
            <wp:cNvGraphicFramePr>
              <a:graphicFrameLocks noChangeAspect="1"/>
            </wp:cNvGraphicFramePr>
            <a:graphic>
              <a:graphicData uri="http://schemas.openxmlformats.org/drawingml/2006/picture">
                <pic:pic>
                  <pic:nvPicPr>
                    <pic:cNvPr id="43" name="unused.png"/>
                    <pic:cNvPicPr/>
                  </pic:nvPicPr>
                  <pic:blipFill>
                    <a:blip r:embed="rIdImg4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1" w:name="_Fig00121"/>
      <w:r>
        <w:rPr/>
        <w:t xml:space="preserve">Figure </w:t>
      </w:r>
      <w:fldSimple w:instr=" SEQ Figure \* ARABIC ">
        <w:r>
          <w:t>41</w:t>
        </w:r>
      </w:fldSimple>
      <w:r>
        <w:rPr/>
        <w:t xml:space="preserve"> – Licences inutilisées</w:t>
      </w:r>
      <w:bookmarkEnd w:id="121"/>
    </w:p>
    <w:p>
      <w:pPr>
        <w:pStyle w:val="Figure"/>
        <w:keepNext/>
      </w:pPr>
      <w:r>
        <w:drawing>
          <wp:inline distT="0" distB="0" distL="0" distR="0">
            <wp:extent cx="5940000" cy="3712500"/>
            <wp:docPr id="44" name="Image 44" descr="Réservations et taux d'usage"/>
            <wp:cNvGraphicFramePr>
              <a:graphicFrameLocks noChangeAspect="1"/>
            </wp:cNvGraphicFramePr>
            <a:graphic>
              <a:graphicData uri="http://schemas.openxmlformats.org/drawingml/2006/picture">
                <pic:pic>
                  <pic:nvPicPr>
                    <pic:cNvPr id="44" name="reservations.png"/>
                    <pic:cNvPicPr/>
                  </pic:nvPicPr>
                  <pic:blipFill>
                    <a:blip r:embed="rIdImg4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22" w:name="_Fig00122"/>
      <w:r>
        <w:rPr/>
        <w:t xml:space="preserve">Figure </w:t>
      </w:r>
      <w:fldSimple w:instr=" SEQ Figure \* ARABIC ">
        <w:r>
          <w:t>42</w:t>
        </w:r>
      </w:fldSimple>
      <w:r>
        <w:rPr/>
        <w:t xml:space="preserve"> – Réservations et taux d'usage</w:t>
      </w:r>
      <w:bookmarkEnd w:id="122"/>
    </w:p>
    <w:p>
      <w:pPr/>
      <w:r>
        <w:rPr/>
        <w:t xml:space="preserve">Les </w:t>
      </w:r>
      <w:r>
        <w:rPr>
          <w:b/>
        </w:rPr>
        <w:t xml:space="preserve">licences empruntées</w:t>
      </w:r>
      <w:r>
        <w:rPr/>
        <w:t xml:space="preserve"> (utilisation hors ligne) sont signalées dans la vue En direct et dans les sessions. Avec la section </w:t>
      </w:r>
      <w:r>
        <w:rPr>
          <w:rFonts w:ascii="Consolas" w:hAnsi="Consolas" w:cs="Consolas"/>
          <w:color w:val="1C5CAB"/>
          <w:sz w:val="18"/>
          <w:szCs w:val="18"/>
          <w:shd w:val="clear" w:color="auto" w:fill="EEF3FA"/>
        </w:rPr>
        <w:t xml:space="preserve">sites</w:t>
      </w:r>
      <w:r>
        <w:rPr/>
        <w:t xml:space="preserve">, chaque poste est rattaché à un site : filtre « Sites » et répartition par site.</w:t>
      </w:r>
    </w:p>
    <w:p>
      <w:pPr>
        <w:pStyle w:val="Heading2"/>
      </w:pPr>
      <w:bookmarkStart w:id="123" w:name="_Toc00123"/>
      <w:r>
        <w:rPr/>
        <w:t xml:space="preserve">8.15 Licences Autodesk « utilisateur nommé »</w:t>
      </w:r>
      <w:bookmarkEnd w:id="123"/>
    </w:p>
    <w:p>
      <w:pPr/>
      <w:r>
        <w:rPr/>
        <w:t xml:space="preserve">La plupart des abonnements Autodesk sont nominatifs : aucun serveur de licences, l'usage n'est connu que du portail Autodesk Account. L'administrateur Autodesk exporte chaque mois le rapport d'usage (Reporting › Usage report › Export, CSV ou Excel) et le dépose dans le dossier </w:t>
      </w:r>
      <w:r>
        <w:rPr>
          <w:rFonts w:ascii="Consolas" w:hAnsi="Consolas" w:cs="Consolas"/>
          <w:color w:val="1C5CAB"/>
          <w:sz w:val="18"/>
          <w:szCs w:val="18"/>
          <w:shd w:val="clear" w:color="auto" w:fill="EEF3FA"/>
        </w:rPr>
        <w:t xml:space="preserve">autodesk.import_dir</w:t>
      </w:r>
      <w:r>
        <w:rPr/>
        <w:t xml:space="preserve"> (importé à la collecte suivante) ou lance </w:t>
      </w:r>
      <w:r>
        <w:rPr>
          <w:rFonts w:ascii="Consolas" w:hAnsi="Consolas" w:cs="Consolas"/>
          <w:color w:val="1C5CAB"/>
          <w:sz w:val="18"/>
          <w:szCs w:val="18"/>
          <w:shd w:val="clear" w:color="auto" w:fill="EEF3FA"/>
        </w:rPr>
        <w:t xml:space="preserve">HeptagonesLM.exe import-autodesk export.csv</w:t>
      </w:r>
      <w:r>
        <w:rPr/>
        <w:t xml:space="preserve">. Colonnes anglaises ou françaises reconnues ; un fichier déjà importé est ignoré.</w:t>
      </w:r>
    </w:p>
    <w:p>
      <w:pPr/>
      <w:r>
        <w:rPr/>
        <w:t xml:space="preserve">Le rapport </w:t>
      </w:r>
      <w:r>
        <w:rPr>
          <w:b/>
        </w:rPr>
        <w:t xml:space="preserve">Autodesk · utilisateurs nommés</w:t>
      </w:r>
      <w:r>
        <w:rPr/>
        <w:t xml:space="preserve"> (menu Optimisation) classe chaque licence affectée : jamais utilisée, inactive (au-delà de </w:t>
      </w:r>
      <w:r>
        <w:rPr>
          <w:rFonts w:ascii="Consolas" w:hAnsi="Consolas" w:cs="Consolas"/>
          <w:color w:val="1C5CAB"/>
          <w:sz w:val="18"/>
          <w:szCs w:val="18"/>
          <w:shd w:val="clear" w:color="auto" w:fill="EEF3FA"/>
        </w:rPr>
        <w:t xml:space="preserve">inactive_days</w:t>
      </w:r>
      <w:r>
        <w:rPr/>
        <w:t xml:space="preserve"> jours) ou active, avec le coût annuel récupérable lorsque </w:t>
      </w:r>
      <w:r>
        <w:rPr>
          <w:rFonts w:ascii="Consolas" w:hAnsi="Consolas" w:cs="Consolas"/>
          <w:color w:val="1C5CAB"/>
          <w:sz w:val="18"/>
          <w:szCs w:val="18"/>
          <w:shd w:val="clear" w:color="auto" w:fill="EEF3FA"/>
        </w:rPr>
        <w:t xml:space="preserve">annual_costs</w:t>
      </w:r>
      <w:r>
        <w:rPr/>
        <w:t xml:space="preserve"> est renseigné. Les licences à récupérer sont à réaffecter dans Autodesk Account ou à ne pas renouveler. Rapport réservé aux administrateurs de licences (les licences nommées ne sont pas rattachées à un service).</w:t>
      </w:r>
    </w:p>
    <w:p>
      <w:pPr>
        <w:pStyle w:val="Figure"/>
        <w:keepNext/>
      </w:pPr>
      <w:r>
        <w:drawing>
          <wp:inline distT="0" distB="0" distL="0" distR="0">
            <wp:extent cx="5940000" cy="6100875"/>
            <wp:docPr id="45" name="Image 45" descr="Autodesk · utilisateurs nommés"/>
            <wp:cNvGraphicFramePr>
              <a:graphicFrameLocks noChangeAspect="1"/>
            </wp:cNvGraphicFramePr>
            <a:graphic>
              <a:graphicData uri="http://schemas.openxmlformats.org/drawingml/2006/picture">
                <pic:pic>
                  <pic:nvPicPr>
                    <pic:cNvPr id="45" name="named.png"/>
                    <pic:cNvPicPr/>
                  </pic:nvPicPr>
                  <pic:blipFill>
                    <a:blip r:embed="rIdImg45"/>
                    <a:stretch>
                      <a:fillRect/>
                    </a:stretch>
                  </pic:blipFill>
                  <pic:spPr>
                    <a:xfrm>
                      <a:off x="0" y="0"/>
                      <a:ext cx="5940000" cy="6100875"/>
                    </a:xfrm>
                    <a:prstGeom prst="rect">
                      <a:avLst/>
                    </a:prstGeom>
                    <a:ln w="9525">
                      <a:solidFill>
                        <a:srgbClr val="D9D8D2"/>
                      </a:solidFill>
                    </a:ln>
                  </pic:spPr>
                </pic:pic>
              </a:graphicData>
            </a:graphic>
          </wp:inline>
        </w:drawing>
      </w:r>
    </w:p>
    <w:p>
      <w:pPr>
        <w:pStyle w:val="Caption"/>
      </w:pPr>
      <w:bookmarkStart w:id="124" w:name="_Fig00124"/>
      <w:r>
        <w:rPr/>
        <w:t xml:space="preserve">Figure </w:t>
      </w:r>
      <w:fldSimple w:instr=" SEQ Figure \* ARABIC ">
        <w:r>
          <w:t>43</w:t>
        </w:r>
      </w:fldSimple>
      <w:r>
        <w:rPr/>
        <w:t xml:space="preserve"> – Autodesk · utilisateurs nommés</w:t>
      </w:r>
      <w:bookmarkEnd w:id="124"/>
    </w:p>
    <w:p>
      <w:pPr/>
      <w:r>
        <w:rPr>
          <w:b/>
        </w:rPr>
        <w:t xml:space="preserve">Connecteur API Autodesk</w:t>
      </w:r>
      <w:r>
        <w:rPr/>
        <w:t xml:space="preserve"> (abonnement Business Success Plan) : plus d'export manuel. La collecte lit chaque jour les licences et l'</w:t>
      </w:r>
      <w:r>
        <w:rPr>
          <w:b/>
        </w:rPr>
        <w:t xml:space="preserve">usage jour par jour</w:t>
      </w:r>
      <w:r>
        <w:rPr/>
        <w:t xml:space="preserve"> de chaque utilisateur. Les produits Autodesk (Vault, collections…) apparaissent alors comme un serveur </w:t>
      </w:r>
      <w:r>
        <w:rPr>
          <w:b/>
        </w:rPr>
        <w:t xml:space="preserve">« Autodesk Cloud »</w:t>
      </w:r>
      <w:r>
        <w:rPr/>
        <w:t xml:space="preserve"> dans la Synthèse, l'Usage dans le temps, la Répartition, le Croisement, l'Efficacité, l'Optimisation &amp; coûts et les filtres. Autodesk ne fournissant ni jetons ni heures, les jetons émis y sont les licences affectées et l'usage est compté en utilisateurs par jour et en jours d'utilisation ; les colonnes horaires restent vides. Voir docs/AUTODESK_API.md.</w:t>
      </w:r>
    </w:p>
    <w:p>
      <w:pPr>
        <w:pStyle w:val="Heading2"/>
      </w:pPr>
      <w:bookmarkStart w:id="125" w:name="_Toc00125"/>
      <w:r>
        <w:rPr/>
        <w:t xml:space="preserve">8.16 Administration</w:t>
      </w:r>
      <w:bookmarkEnd w:id="125"/>
    </w:p>
    <w:p>
      <w:pPr/>
      <w:r>
        <w:rPr/>
        <w:t xml:space="preserve">La rubrique </w:t>
      </w:r>
      <w:r>
        <w:rPr>
          <w:b/>
        </w:rPr>
        <w:t xml:space="preserve">Administration</w:t>
      </w:r>
      <w:r>
        <w:rPr/>
        <w:t xml:space="preserve"> est réservée au groupe AD des administrateurs (</w:t>
      </w:r>
      <w:r>
        <w:rPr>
          <w:rFonts w:ascii="Consolas" w:hAnsi="Consolas" w:cs="Consolas"/>
          <w:color w:val="1C5CAB"/>
          <w:sz w:val="18"/>
          <w:szCs w:val="18"/>
          <w:shd w:val="clear" w:color="auto" w:fill="EEF3FA"/>
        </w:rPr>
        <w:t xml:space="preserve">web.roles.admins</w:t>
      </w:r>
      <w:r>
        <w:rPr/>
        <w:t xml:space="preserve">, déclaré dans le Setup) ou, en mode poste local, à l'utilisateur du serveur. Elle permet :</w:t>
      </w:r>
    </w:p>
    <w:p>
      <w:pPr>
        <w:pStyle w:val="ListParagraph"/>
        <w:numPr>
          <w:ilvl w:val="0"/>
          <w:numId w:val="8"/>
        </w:numPr>
      </w:pPr>
      <w:r>
        <w:rPr>
          <w:b/>
        </w:rPr>
        <w:t xml:space="preserve">Serveurs de licences</w:t>
      </w:r>
      <w:r>
        <w:rPr/>
        <w:t xml:space="preserve"> : ajout, modification, suppression et test en direct (lmstat / rlmstat) ; seuls le nom, </w:t>
      </w:r>
      <w:r>
        <w:rPr>
          <w:rFonts w:ascii="Consolas" w:hAnsi="Consolas" w:cs="Consolas"/>
          <w:color w:val="1C5CAB"/>
          <w:sz w:val="18"/>
          <w:szCs w:val="18"/>
          <w:shd w:val="clear" w:color="auto" w:fill="EEF3FA"/>
        </w:rPr>
        <w:t xml:space="preserve">port@serveur</w:t>
      </w:r>
      <w:r>
        <w:rPr/>
        <w:t xml:space="preserve">, le type et l'état actif sont modifiables, jamais les chemins des outils ;</w:t>
      </w:r>
    </w:p>
    <w:p>
      <w:pPr>
        <w:pStyle w:val="ListParagraph"/>
        <w:numPr>
          <w:ilvl w:val="0"/>
          <w:numId w:val="8"/>
        </w:numPr>
      </w:pPr>
      <w:r>
        <w:rPr>
          <w:b/>
        </w:rPr>
        <w:t xml:space="preserve">Import d'un export Autodesk</w:t>
      </w:r>
      <w:r>
        <w:rPr/>
        <w:t xml:space="preserve"> (CSV ou Excel) depuis le navigateur ;</w:t>
      </w:r>
    </w:p>
    <w:p>
      <w:pPr>
        <w:pStyle w:val="ListParagraph"/>
        <w:numPr>
          <w:ilvl w:val="0"/>
          <w:numId w:val="8"/>
        </w:numPr>
      </w:pPr>
      <w:r>
        <w:rPr>
          <w:b/>
        </w:rPr>
        <w:t xml:space="preserve">Coûts et échéances des licences Autodesk</w:t>
      </w:r>
      <w:r>
        <w:rPr/>
        <w:t xml:space="preserve"> par produit : coûts qui chiffrent les économies dans « Optimisation &amp; coûts », date de fin d'abonnement pour le rapport « Renouvellements » ;</w:t>
      </w:r>
    </w:p>
    <w:p>
      <w:pPr>
        <w:pStyle w:val="ListParagraph"/>
        <w:numPr>
          <w:ilvl w:val="0"/>
          <w:numId w:val="8"/>
        </w:numPr>
      </w:pPr>
      <w:r>
        <w:rPr>
          <w:b/>
        </w:rPr>
        <w:t xml:space="preserve">Projets</w:t>
      </w:r>
      <w:r>
        <w:rPr/>
        <w:t xml:space="preserve"> (26.4) : import d'un CSV utilisateur ; projet (par exemple l'export des membres d'un groupe AD) pour la refacturation par projet ;</w:t>
      </w:r>
    </w:p>
    <w:p>
      <w:pPr>
        <w:pStyle w:val="ListParagraph"/>
        <w:numPr>
          <w:ilvl w:val="0"/>
          <w:numId w:val="8"/>
        </w:numPr>
      </w:pPr>
      <w:r>
        <w:rPr>
          <w:b/>
        </w:rPr>
        <w:t xml:space="preserve">Rapports planifiés</w:t>
      </w:r>
      <w:r>
        <w:rPr/>
        <w:t xml:space="preserve"> (26.4) : création, modification, suppression et envoi d'essai des rapports envoyés par e-mail (serveur SMTP requis).</w:t>
      </w:r>
    </w:p>
    <w:p>
      <w:pPr/>
      <w:r>
        <w:rPr/>
        <w:t xml:space="preserve">heptagoneslm.yaml est validé avant chaque écriture (ancienne version gardée dans </w:t>
      </w:r>
      <w:r>
        <w:rPr>
          <w:rFonts w:ascii="Consolas" w:hAnsi="Consolas" w:cs="Consolas"/>
          <w:color w:val="1C5CAB"/>
          <w:sz w:val="18"/>
          <w:szCs w:val="18"/>
          <w:shd w:val="clear" w:color="auto" w:fill="EEF3FA"/>
        </w:rPr>
        <w:t xml:space="preserve">logs\</w:t>
      </w:r>
      <w:r>
        <w:rPr/>
        <w:t xml:space="preserve">), la collecte suivante prend en compte les serveurs et chaque action est tracée dans le journal d'audit.</w:t>
      </w:r>
    </w:p>
    <w:p>
      <w:pPr>
        <w:pStyle w:val="Figure"/>
        <w:keepNext/>
      </w:pPr>
      <w:r>
        <w:drawing>
          <wp:inline distT="0" distB="0" distL="0" distR="0">
            <wp:extent cx="5940000" cy="4171707"/>
            <wp:docPr id="46" name="Image 46" descr="Rubrique Administration"/>
            <wp:cNvGraphicFramePr>
              <a:graphicFrameLocks noChangeAspect="1"/>
            </wp:cNvGraphicFramePr>
            <a:graphic>
              <a:graphicData uri="http://schemas.openxmlformats.org/drawingml/2006/picture">
                <pic:pic>
                  <pic:nvPicPr>
                    <pic:cNvPr id="46" name="administration.png"/>
                    <pic:cNvPicPr/>
                  </pic:nvPicPr>
                  <pic:blipFill>
                    <a:blip r:embed="rIdImg46"/>
                    <a:stretch>
                      <a:fillRect/>
                    </a:stretch>
                  </pic:blipFill>
                  <pic:spPr>
                    <a:xfrm>
                      <a:off x="0" y="0"/>
                      <a:ext cx="5940000" cy="4171707"/>
                    </a:xfrm>
                    <a:prstGeom prst="rect">
                      <a:avLst/>
                    </a:prstGeom>
                    <a:ln w="9525">
                      <a:solidFill>
                        <a:srgbClr val="D9D8D2"/>
                      </a:solidFill>
                    </a:ln>
                  </pic:spPr>
                </pic:pic>
              </a:graphicData>
            </a:graphic>
          </wp:inline>
        </w:drawing>
      </w:r>
    </w:p>
    <w:p>
      <w:pPr>
        <w:pStyle w:val="Caption"/>
      </w:pPr>
      <w:bookmarkStart w:id="126" w:name="_Fig00126"/>
      <w:r>
        <w:rPr/>
        <w:t xml:space="preserve">Figure </w:t>
      </w:r>
      <w:fldSimple w:instr=" SEQ Figure \* ARABIC ">
        <w:r>
          <w:t>44</w:t>
        </w:r>
      </w:fldSimple>
      <w:r>
        <w:rPr/>
        <w:t xml:space="preserve"> – Rubrique Administration</w:t>
      </w:r>
      <w:bookmarkEnd w:id="126"/>
    </w:p>
    <w:p>
      <w:pPr>
        <w:pStyle w:val="Figure"/>
        <w:keepNext/>
      </w:pPr>
      <w:r>
        <w:drawing>
          <wp:inline distT="0" distB="0" distL="0" distR="0">
            <wp:extent cx="5400000" cy="1910915"/>
            <wp:docPr id="47" name="Image 47" descr="Administration : projets"/>
            <wp:cNvGraphicFramePr>
              <a:graphicFrameLocks noChangeAspect="1"/>
            </wp:cNvGraphicFramePr>
            <a:graphic>
              <a:graphicData uri="http://schemas.openxmlformats.org/drawingml/2006/picture">
                <pic:pic>
                  <pic:nvPicPr>
                    <pic:cNvPr id="47" name="admin_projects.png"/>
                    <pic:cNvPicPr/>
                  </pic:nvPicPr>
                  <pic:blipFill>
                    <a:blip r:embed="rIdImg47"/>
                    <a:stretch>
                      <a:fillRect/>
                    </a:stretch>
                  </pic:blipFill>
                  <pic:spPr>
                    <a:xfrm>
                      <a:off x="0" y="0"/>
                      <a:ext cx="5400000" cy="1910915"/>
                    </a:xfrm>
                    <a:prstGeom prst="rect">
                      <a:avLst/>
                    </a:prstGeom>
                    <a:ln w="9525">
                      <a:solidFill>
                        <a:srgbClr val="D9D8D2"/>
                      </a:solidFill>
                    </a:ln>
                  </pic:spPr>
                </pic:pic>
              </a:graphicData>
            </a:graphic>
          </wp:inline>
        </w:drawing>
      </w:r>
    </w:p>
    <w:p>
      <w:pPr>
        <w:pStyle w:val="Caption"/>
      </w:pPr>
      <w:bookmarkStart w:id="127" w:name="_Fig00127"/>
      <w:r>
        <w:rPr/>
        <w:t xml:space="preserve">Figure </w:t>
      </w:r>
      <w:fldSimple w:instr=" SEQ Figure \* ARABIC ">
        <w:r>
          <w:t>45</w:t>
        </w:r>
      </w:fldSimple>
      <w:r>
        <w:rPr/>
        <w:t xml:space="preserve"> – Administration : projets</w:t>
      </w:r>
      <w:bookmarkEnd w:id="127"/>
    </w:p>
    <w:p>
      <w:pPr>
        <w:pStyle w:val="Figure"/>
        <w:keepNext/>
      </w:pPr>
      <w:r>
        <w:drawing>
          <wp:inline distT="0" distB="0" distL="0" distR="0">
            <wp:extent cx="5400000" cy="2462323"/>
            <wp:docPr id="48" name="Image 48" descr="Administration : rapports planifiés"/>
            <wp:cNvGraphicFramePr>
              <a:graphicFrameLocks noChangeAspect="1"/>
            </wp:cNvGraphicFramePr>
            <a:graphic>
              <a:graphicData uri="http://schemas.openxmlformats.org/drawingml/2006/picture">
                <pic:pic>
                  <pic:nvPicPr>
                    <pic:cNvPr id="48" name="admin_reports.png"/>
                    <pic:cNvPicPr/>
                  </pic:nvPicPr>
                  <pic:blipFill>
                    <a:blip r:embed="rIdImg48"/>
                    <a:stretch>
                      <a:fillRect/>
                    </a:stretch>
                  </pic:blipFill>
                  <pic:spPr>
                    <a:xfrm>
                      <a:off x="0" y="0"/>
                      <a:ext cx="5400000" cy="2462323"/>
                    </a:xfrm>
                    <a:prstGeom prst="rect">
                      <a:avLst/>
                    </a:prstGeom>
                    <a:ln w="9525">
                      <a:solidFill>
                        <a:srgbClr val="D9D8D2"/>
                      </a:solidFill>
                    </a:ln>
                  </pic:spPr>
                </pic:pic>
              </a:graphicData>
            </a:graphic>
          </wp:inline>
        </w:drawing>
      </w:r>
    </w:p>
    <w:p>
      <w:pPr>
        <w:pStyle w:val="Caption"/>
      </w:pPr>
      <w:bookmarkStart w:id="128" w:name="_Fig00128"/>
      <w:r>
        <w:rPr/>
        <w:t xml:space="preserve">Figure </w:t>
      </w:r>
      <w:fldSimple w:instr=" SEQ Figure \* ARABIC ">
        <w:r>
          <w:t>46</w:t>
        </w:r>
      </w:fldSimple>
      <w:r>
        <w:rPr/>
        <w:t xml:space="preserve"> – Administration : rapports planifiés</w:t>
      </w:r>
      <w:bookmarkEnd w:id="128"/>
    </w:p>
    <w:p>
      <w:pPr>
        <w:pStyle w:val="Heading2"/>
      </w:pPr>
      <w:bookmarkStart w:id="129" w:name="_Toc00129"/>
      <w:r>
        <w:rPr/>
        <w:t xml:space="preserve">8.17 Achats : prévision et renouvellements</w:t>
      </w:r>
      <w:bookmarkEnd w:id="129"/>
    </w:p>
    <w:p>
      <w:pPr/>
      <w:r>
        <w:rPr/>
        <w:t xml:space="preserve">Le groupe </w:t>
      </w:r>
      <w:r>
        <w:rPr>
          <w:b/>
        </w:rPr>
        <w:t xml:space="preserve">Achats</w:t>
      </w:r>
      <w:r>
        <w:rPr/>
        <w:t xml:space="preserve"> prépare les décisions d'achat et de renouvellement.</w:t>
      </w:r>
    </w:p>
    <w:p>
      <w:pPr/>
      <w:r>
        <w:rPr>
          <w:b/>
        </w:rPr>
        <w:t xml:space="preserve">Prévision</w:t>
      </w:r>
      <w:r>
        <w:rPr/>
        <w:t xml:space="preserve"> : pour chaque produit, pic de jetons prévu à 3, 6 et 12 mois, jetons nécessaires, marge de sécurité, écart aux jetons émis et impact budgétaire annuel (si le coût annuel est renseigné). Méthode : pic hebdomadaire (plus grand nombre de jetons utilisés en même temps dans la semaine ; pour Autodesk Cloud, utilisateurs distincts sur une journée), tendance linéaire dès 8 semaines d'historique (prolongée au plus sur la durée de l'historique, puis palier), saisonnalité mensuelle dès 12 mois, fourchette à 90 %. « Nécessaires » est le pic prévu arrondi, « avec marge » le haut de la fourchette. Moins de 4 semaines de données : « Historique insuffisant ». Le pic observé ne pouvant dépasser les jetons émis, un produit avec refus est signalé comme sous-estimé (au moins un jeton de plus).</w:t>
      </w:r>
    </w:p>
    <w:p>
      <w:pPr>
        <w:pStyle w:val="Figure"/>
        <w:keepNext/>
      </w:pPr>
      <w:r>
        <w:drawing>
          <wp:inline distT="0" distB="0" distL="0" distR="0">
            <wp:extent cx="5940000" cy="3712500"/>
            <wp:docPr id="49" name="Image 49" descr="Prévision du besoin"/>
            <wp:cNvGraphicFramePr>
              <a:graphicFrameLocks noChangeAspect="1"/>
            </wp:cNvGraphicFramePr>
            <a:graphic>
              <a:graphicData uri="http://schemas.openxmlformats.org/drawingml/2006/picture">
                <pic:pic>
                  <pic:nvPicPr>
                    <pic:cNvPr id="49" name="forecast.png"/>
                    <pic:cNvPicPr/>
                  </pic:nvPicPr>
                  <pic:blipFill>
                    <a:blip r:embed="rIdImg4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0" w:name="_Fig00130"/>
      <w:r>
        <w:rPr/>
        <w:t xml:space="preserve">Figure </w:t>
      </w:r>
      <w:fldSimple w:instr=" SEQ Figure \* ARABIC ">
        <w:r>
          <w:t>47</w:t>
        </w:r>
      </w:fldSimple>
      <w:r>
        <w:rPr/>
        <w:t xml:space="preserve"> – Prévision du besoin</w:t>
      </w:r>
      <w:bookmarkEnd w:id="130"/>
    </w:p>
    <w:p>
      <w:pPr/>
      <w:r>
        <w:rPr>
          <w:b/>
        </w:rPr>
        <w:t xml:space="preserve">Renouvellements</w:t>
      </w:r>
      <w:r>
        <w:rPr/>
        <w:t xml:space="preserve"> : pour chaque échéance des 12 mois à venir (et dépassée depuis moins de 30 jours), usage réel des 90 derniers jours, jetons recommandés, besoin prévu sur l'année qui suit l'échéance, quantité à renouveler, coût actuel et proposé, économie ou budget supplémentaire. La date vient du fichier de licence (lmstat / rlmstat), de </w:t>
      </w:r>
      <w:r>
        <w:rPr>
          <w:rFonts w:ascii="Consolas" w:hAnsi="Consolas" w:cs="Consolas"/>
          <w:color w:val="1C5CAB"/>
          <w:sz w:val="18"/>
          <w:szCs w:val="18"/>
          <w:shd w:val="clear" w:color="auto" w:fill="EEF3FA"/>
        </w:rPr>
        <w:t xml:space="preserve">renewal</w:t>
      </w:r>
      <w:r>
        <w:rPr/>
        <w:t xml:space="preserve"> d'une règle </w:t>
      </w:r>
      <w:r>
        <w:rPr>
          <w:rFonts w:ascii="Consolas" w:hAnsi="Consolas" w:cs="Consolas"/>
          <w:color w:val="1C5CAB"/>
          <w:sz w:val="18"/>
          <w:szCs w:val="18"/>
          <w:shd w:val="clear" w:color="auto" w:fill="EEF3FA"/>
        </w:rPr>
        <w:t xml:space="preserve">products</w:t>
      </w:r>
      <w:r>
        <w:rPr/>
        <w:t xml:space="preserve"> ou, pour Autodesk, de la fin d'abonnement saisie dans l'Administration (l'API Autodesk ne la fournit pas). Un produit avec refus ou saturations fréquentes n'est jamais proposé à la baisse.</w:t>
      </w:r>
    </w:p>
    <w:p>
      <w:pPr>
        <w:pStyle w:val="Figure"/>
        <w:keepNext/>
      </w:pPr>
      <w:r>
        <w:drawing>
          <wp:inline distT="0" distB="0" distL="0" distR="0">
            <wp:extent cx="5940000" cy="3712500"/>
            <wp:docPr id="50" name="Image 50" descr="Rapport de renouvellement"/>
            <wp:cNvGraphicFramePr>
              <a:graphicFrameLocks noChangeAspect="1"/>
            </wp:cNvGraphicFramePr>
            <a:graphic>
              <a:graphicData uri="http://schemas.openxmlformats.org/drawingml/2006/picture">
                <pic:pic>
                  <pic:nvPicPr>
                    <pic:cNvPr id="50" name="renewal.png"/>
                    <pic:cNvPicPr/>
                  </pic:nvPicPr>
                  <pic:blipFill>
                    <a:blip r:embed="rIdImg5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1" w:name="_Fig00131"/>
      <w:r>
        <w:rPr/>
        <w:t xml:space="preserve">Figure </w:t>
      </w:r>
      <w:fldSimple w:instr=" SEQ Figure \* ARABIC ">
        <w:r>
          <w:t>48</w:t>
        </w:r>
      </w:fldSimple>
      <w:r>
        <w:rPr/>
        <w:t xml:space="preserve"> – Rapport de renouvellement</w:t>
      </w:r>
      <w:bookmarkEnd w:id="131"/>
    </w:p>
    <w:p>
      <w:pPr>
        <w:pStyle w:val="Heading2"/>
      </w:pPr>
      <w:bookmarkStart w:id="132" w:name="_Toc00132"/>
      <w:r>
        <w:rPr/>
        <w:t xml:space="preserve">8.18 Refacturation par projet</w:t>
      </w:r>
      <w:bookmarkEnd w:id="132"/>
    </w:p>
    <w:p>
      <w:pPr/>
      <w:r>
        <w:rPr/>
        <w:t xml:space="preserve">La </w:t>
      </w:r>
      <w:r>
        <w:rPr>
          <w:b/>
        </w:rPr>
        <w:t xml:space="preserve">Répartition</w:t>
      </w:r>
      <w:r>
        <w:rPr/>
        <w:t xml:space="preserve"> et le </w:t>
      </w:r>
      <w:r>
        <w:rPr>
          <w:b/>
        </w:rPr>
        <w:t xml:space="preserve">Croisement</w:t>
      </w:r>
      <w:r>
        <w:rPr/>
        <w:t xml:space="preserve"> se lisent aussi par </w:t>
      </w:r>
      <w:r>
        <w:rPr>
          <w:b/>
        </w:rPr>
        <w:t xml:space="preserve">Projet</w:t>
      </w:r>
      <w:r>
        <w:rPr/>
        <w:t xml:space="preserve">, avec le coût refacturé (coût annuel des jetons ramené à la période, réparti au prorata des heures ; chaque licence Autodesk nommée est imputée à son titulaire). L'affectation utilisateur → projet s'importe d'un CSV à deux colonnes </w:t>
      </w:r>
      <w:r>
        <w:rPr>
          <w:rFonts w:ascii="Consolas" w:hAnsi="Consolas" w:cs="Consolas"/>
          <w:color w:val="1C5CAB"/>
          <w:sz w:val="18"/>
          <w:szCs w:val="18"/>
          <w:shd w:val="clear" w:color="auto" w:fill="EEF3FA"/>
        </w:rPr>
        <w:t xml:space="preserve">utilisateur;projet</w:t>
      </w:r>
      <w:r>
        <w:rPr/>
        <w:t xml:space="preserve"> (*Administration › Projets* ou </w:t>
      </w:r>
      <w:r>
        <w:rPr>
          <w:rFonts w:ascii="Consolas" w:hAnsi="Consolas" w:cs="Consolas"/>
          <w:color w:val="1C5CAB"/>
          <w:sz w:val="18"/>
          <w:szCs w:val="18"/>
          <w:shd w:val="clear" w:color="auto" w:fill="EEF3FA"/>
        </w:rPr>
        <w:t xml:space="preserve">HeptagonesLM.exe import-projects projets.csv [--replace]</w:t>
      </w:r>
      <w:r>
        <w:rPr/>
        <w:t xml:space="preserve">), par exemple l'export des membres d'un groupe AD par projet ; les règles </w:t>
      </w:r>
      <w:r>
        <w:rPr>
          <w:rFonts w:ascii="Consolas" w:hAnsi="Consolas" w:cs="Consolas"/>
          <w:color w:val="1C5CAB"/>
          <w:sz w:val="18"/>
          <w:szCs w:val="18"/>
          <w:shd w:val="clear" w:color="auto" w:fill="EEF3FA"/>
        </w:rPr>
        <w:t xml:space="preserve">projects</w:t>
      </w:r>
      <w:r>
        <w:rPr/>
        <w:t xml:space="preserve"> de la configuration complètent l'import (poste, utilisateur, service). Un utilisateur sans projet est rangé sous « (non renseigné) ».</w:t>
      </w:r>
    </w:p>
    <w:p>
      <w:pPr>
        <w:pStyle w:val="Figure"/>
        <w:keepNext/>
      </w:pPr>
      <w:r>
        <w:drawing>
          <wp:inline distT="0" distB="0" distL="0" distR="0">
            <wp:extent cx="5940000" cy="3712500"/>
            <wp:docPr id="51" name="Image 51" descr="Répartition par projet"/>
            <wp:cNvGraphicFramePr>
              <a:graphicFrameLocks noChangeAspect="1"/>
            </wp:cNvGraphicFramePr>
            <a:graphic>
              <a:graphicData uri="http://schemas.openxmlformats.org/drawingml/2006/picture">
                <pic:pic>
                  <pic:nvPicPr>
                    <pic:cNvPr id="51" name="breakdown_project.png"/>
                    <pic:cNvPicPr/>
                  </pic:nvPicPr>
                  <pic:blipFill>
                    <a:blip r:embed="rIdImg5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33" w:name="_Fig00133"/>
      <w:r>
        <w:rPr/>
        <w:t xml:space="preserve">Figure </w:t>
      </w:r>
      <w:fldSimple w:instr=" SEQ Figure \* ARABIC ">
        <w:r>
          <w:t>49</w:t>
        </w:r>
      </w:fldSimple>
      <w:r>
        <w:rPr/>
        <w:t xml:space="preserve"> – Répartition par projet</w:t>
      </w:r>
      <w:bookmarkEnd w:id="133"/>
    </w:p>
    <w:p>
      <w:pPr>
        <w:pStyle w:val="Heading1"/>
      </w:pPr>
      <w:bookmarkStart w:id="134" w:name="_Toc00134"/>
      <w:r>
        <w:rPr/>
        <w:t xml:space="preserve">9. Sauvegarde, restauration et rétention</w:t>
      </w:r>
      <w:bookmarkEnd w:id="134"/>
    </w:p>
    <w:p>
      <w:pPr>
        <w:pStyle w:val="Heading2"/>
      </w:pPr>
      <w:bookmarkStart w:id="135" w:name="_Toc00135"/>
      <w:r>
        <w:rPr/>
        <w:t xml:space="preserve">9.1 Éléments à sauvegarder</w:t>
      </w:r>
      <w:bookmarkEnd w:id="135"/>
    </w:p>
    <w:p>
      <w:pPr>
        <w:pStyle w:val="Caption"/>
        <w:keepNext/>
      </w:pPr>
      <w:r>
        <w:rPr/>
        <w:t xml:space="preserve">Tableau 26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Secrets ITSM</w:t>
            </w:r>
          </w:p>
        </w:tc>
        <w:tc>
          <w:tcPr>
            <w:tcW w:w="1977" w:type="dxa"/>
            <w:shd w:val="clear" w:color="auto" w:fill="F4F7FC"/>
          </w:tcPr>
          <w:p>
            <w:pPr>
              <w:pStyle w:val="TableText"/>
            </w:pPr>
            <w:r>
              <w:rPr>
                <w:sz w:val="18"/>
                <w:szCs w:val="18"/>
              </w:rPr>
              <w:t xml:space="preserve">C:\HeptagonesLM\secrets\</w:t>
            </w:r>
          </w:p>
        </w:tc>
        <w:tc>
          <w:tcPr>
            <w:tcW w:w="2718" w:type="dxa"/>
            <w:shd w:val="clear" w:color="auto" w:fill="F4F7FC"/>
          </w:tcPr>
          <w:p>
            <w:pPr>
              <w:pStyle w:val="TableText"/>
            </w:pPr>
            <w:r>
              <w:rPr>
                <w:sz w:val="18"/>
                <w:szCs w:val="18"/>
              </w:rPr>
              <w:t xml:space="preserve">Non restaurables sur un autre serveur (DPAPI) : identifiants conservés dans le coffre, ressaisis par l'assistant</w:t>
            </w:r>
          </w:p>
        </w:tc>
        <w:tc>
          <w:tcPr>
            <w:tcW w:w="1853" w:type="dxa"/>
            <w:shd w:val="clear" w:color="auto" w:fill="F4F7FC"/>
          </w:tcPr>
          <w:p>
            <w:pPr>
              <w:pStyle w:val="TableText"/>
            </w:pPr>
            <w:r>
              <w:rPr>
                <w:sz w:val="18"/>
                <w:szCs w:val="18"/>
              </w:rPr>
              <w:t xml:space="preserve">À chaque changement</w:t>
            </w:r>
          </w:p>
        </w:tc>
        <w:tc>
          <w:tcPr>
            <w:tcW w:w="1482" w:type="dxa"/>
            <w:shd w:val="clear" w:color="auto" w:fill="F4F7FC"/>
          </w:tcPr>
          <w:p>
            <w:pPr>
              <w:pStyle w:val="TableText"/>
            </w:pPr>
            <w:r>
              <w:rPr>
                <w:sz w:val="18"/>
                <w:szCs w:val="18"/>
              </w:rPr>
              <w:t xml:space="preserve">Moyenne</w:t>
            </w:r>
          </w:p>
        </w:tc>
      </w:tr>
      <w:tr>
        <w:trPr>
          <w:cantSplit/>
        </w:trPr>
        <w:tc>
          <w:tcPr>
            <w:tcW w:w="1606" w:type="dxa"/>
          </w:tcPr>
          <w:p>
            <w:pPr>
              <w:pStyle w:val="TableText"/>
            </w:pPr>
            <w:r>
              <w:rPr>
                <w:sz w:val="18"/>
                <w:szCs w:val="18"/>
              </w:rPr>
              <w:t xml:space="preserve">Rapports Excel</w:t>
            </w:r>
          </w:p>
        </w:tc>
        <w:tc>
          <w:tcPr>
            <w:tcW w:w="1977" w:type="dxa"/>
          </w:tcPr>
          <w:p>
            <w:pPr>
              <w:pStyle w:val="TableText"/>
            </w:pPr>
            <w:r>
              <w:rPr>
                <w:sz w:val="18"/>
                <w:szCs w:val="18"/>
              </w:rPr>
              <w:t xml:space="preserve">C:\HeptagonesLM\reports\</w:t>
            </w:r>
          </w:p>
        </w:tc>
        <w:tc>
          <w:tcPr>
            <w:tcW w:w="2718" w:type="dxa"/>
          </w:tcPr>
          <w:p>
            <w:pPr>
              <w:pStyle w:val="TableText"/>
            </w:pPr>
            <w:r>
              <w:rPr>
                <w:sz w:val="18"/>
                <w:szCs w:val="18"/>
              </w:rPr>
              <w:t xml:space="preserve">Sauvegarde fichiers</w:t>
            </w:r>
          </w:p>
        </w:tc>
        <w:tc>
          <w:tcPr>
            <w:tcW w:w="1853" w:type="dxa"/>
          </w:tcPr>
          <w:p>
            <w:pPr>
              <w:pStyle w:val="TableText"/>
            </w:pPr>
            <w:r>
              <w:rPr>
                <w:sz w:val="18"/>
                <w:szCs w:val="18"/>
              </w:rPr>
              <w:t xml:space="preserve">Mensuelle</w:t>
            </w:r>
          </w:p>
        </w:tc>
        <w:tc>
          <w:tcPr>
            <w:tcW w:w="1482" w:type="dxa"/>
          </w:tcPr>
          <w:p>
            <w:pPr>
              <w:pStyle w:val="TableText"/>
            </w:pPr>
            <w:r>
              <w:rPr>
                <w:sz w:val="18"/>
                <w:szCs w:val="18"/>
              </w:rPr>
              <w:t xml:space="preserve">Faible (régénérables)</w:t>
            </w:r>
          </w:p>
        </w:tc>
      </w:tr>
      <w:tr>
        <w:trPr>
          <w:cantSplit/>
        </w:trPr>
        <w:tc>
          <w:tcPr>
            <w:tcW w:w="1606" w:type="dxa"/>
            <w:shd w:val="clear" w:color="auto" w:fill="F4F7FC"/>
          </w:tcPr>
          <w:p>
            <w:pPr>
              <w:pStyle w:val="TableText"/>
            </w:pPr>
            <w:r>
              <w:rPr>
                <w:sz w:val="18"/>
                <w:szCs w:val="18"/>
              </w:rPr>
              <w:t xml:space="preserve">Journaux</w:t>
            </w:r>
          </w:p>
        </w:tc>
        <w:tc>
          <w:tcPr>
            <w:tcW w:w="1977" w:type="dxa"/>
            <w:shd w:val="clear" w:color="auto" w:fill="F4F7FC"/>
          </w:tcPr>
          <w:p>
            <w:pPr>
              <w:pStyle w:val="TableText"/>
            </w:pPr>
            <w:r>
              <w:rPr>
                <w:sz w:val="18"/>
                <w:szCs w:val="18"/>
              </w:rPr>
              <w:t xml:space="preserve">C:\HeptagonesLM\logs\</w:t>
            </w:r>
          </w:p>
        </w:tc>
        <w:tc>
          <w:tcPr>
            <w:tcW w:w="2718" w:type="dxa"/>
            <w:shd w:val="clear" w:color="auto" w:fill="F4F7FC"/>
          </w:tcPr>
          <w:p>
            <w:pPr>
              <w:pStyle w:val="TableText"/>
            </w:pPr>
            <w:r>
              <w:rPr>
                <w:sz w:val="18"/>
                <w:szCs w:val="18"/>
              </w:rPr>
              <w:t xml:space="preserve">SIEM ou sauvegarde fichiers</w:t>
            </w:r>
          </w:p>
        </w:tc>
        <w:tc>
          <w:tcPr>
            <w:tcW w:w="1853" w:type="dxa"/>
            <w:shd w:val="clear" w:color="auto" w:fill="F4F7FC"/>
          </w:tcPr>
          <w:p>
            <w:pPr>
              <w:pStyle w:val="TableText"/>
            </w:pPr>
            <w:r>
              <w:rPr>
                <w:sz w:val="18"/>
                <w:szCs w:val="18"/>
              </w:rPr>
              <w:t xml:space="preserve">Quotidienne</w:t>
            </w:r>
          </w:p>
        </w:tc>
        <w:tc>
          <w:tcPr>
            <w:tcW w:w="1482" w:type="dxa"/>
            <w:shd w:val="clear" w:color="auto" w:fill="F4F7FC"/>
          </w:tcPr>
          <w:p>
            <w:pPr>
              <w:pStyle w:val="TableText"/>
            </w:pPr>
            <w:r>
              <w:rPr>
                <w:sz w:val="18"/>
                <w:szCs w:val="18"/>
              </w:rPr>
              <w:t xml:space="preserve">Moyenne (audit)</w:t>
            </w:r>
          </w:p>
        </w:tc>
      </w:tr>
      <w:tr>
        <w:trPr>
          <w:cantSplit/>
        </w:trPr>
        <w:tc>
          <w:tcPr>
            <w:tcW w:w="1606" w:type="dxa"/>
          </w:tcPr>
          <w:p>
            <w:pPr>
              <w:pStyle w:val="TableText"/>
            </w:pPr>
            <w:r>
              <w:rPr>
                <w:sz w:val="18"/>
                <w:szCs w:val="18"/>
              </w:rPr>
              <w:t xml:space="preserve">Binaires</w:t>
            </w:r>
          </w:p>
        </w:tc>
        <w:tc>
          <w:tcPr>
            <w:tcW w:w="1977" w:type="dxa"/>
          </w:tcPr>
          <w:p>
            <w:pPr>
              <w:pStyle w:val="TableText"/>
            </w:pPr>
            <w:r>
              <w:rPr>
                <w:sz w:val="18"/>
                <w:szCs w:val="18"/>
              </w:rPr>
              <w:t xml:space="preserve">HeptagonesLM-Setup.exe (contient HeptagonesLM.exe)</w:t>
            </w:r>
          </w:p>
        </w:tc>
        <w:tc>
          <w:tcPr>
            <w:tcW w:w="2718" w:type="dxa"/>
          </w:tcPr>
          <w:p>
            <w:pPr>
              <w:pStyle w:val="TableText"/>
            </w:pPr>
            <w:r>
              <w:rPr>
                <w:sz w:val="18"/>
                <w:szCs w:val="18"/>
              </w:rPr>
              <w:t xml:space="preserve">Release GitHub (reconstructible)</w:t>
            </w:r>
          </w:p>
        </w:tc>
        <w:tc>
          <w:tcPr>
            <w:tcW w:w="1853" w:type="dxa"/>
          </w:tcPr>
          <w:p>
            <w:pPr>
              <w:pStyle w:val="TableText"/>
            </w:pPr>
            <w:r>
              <w:rPr>
                <w:sz w:val="18"/>
                <w:szCs w:val="18"/>
              </w:rPr>
              <w:t xml:space="preserve">—</w:t>
            </w:r>
          </w:p>
        </w:tc>
        <w:tc>
          <w:tcPr>
            <w:tcW w:w="1482" w:type="dxa"/>
          </w:tcPr>
          <w:p>
            <w:pPr>
              <w:pStyle w:val="TableText"/>
            </w:pPr>
            <w:r>
              <w:rPr>
                <w:sz w:val="18"/>
                <w:szCs w:val="18"/>
              </w:rPr>
              <w:t xml:space="preserve">Faible</w:t>
            </w:r>
          </w:p>
        </w:tc>
      </w:tr>
    </w:tbl>
    <w:p>
      <w:pPr>
        <w:spacing w:after="80"/>
      </w:pPr>
    </w:p>
    <w:p>
      <w:pPr>
        <w:pStyle w:val="Heading2"/>
      </w:pPr>
      <w:bookmarkStart w:id="136" w:name="_Toc00136"/>
      <w:r>
        <w:rPr/>
        <w:t xml:space="preserve">9.2 Politique de rétention</w:t>
      </w:r>
      <w:bookmarkEnd w:id="136"/>
    </w:p>
    <w:p>
      <w:pPr>
        <w:pStyle w:val="Caption"/>
        <w:keepNext/>
      </w:pPr>
      <w:r>
        <w:rPr/>
        <w:t xml:space="preserve">Tableau 27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37" w:name="_Toc00137"/>
      <w:r>
        <w:rPr/>
        <w:t xml:space="preserve">9.3 Procédure de sauvegarde SQL</w:t>
      </w:r>
      <w:bookmarkEnd w:id="137"/>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38" w:name="_Toc00138"/>
      <w:r>
        <w:rPr/>
        <w:t xml:space="preserve">9.4 Procédure de restauration</w:t>
      </w:r>
      <w:bookmarkEnd w:id="138"/>
    </w:p>
    <w:p>
      <w:pPr>
        <w:pStyle w:val="ListParagraph"/>
        <w:numPr>
          <w:ilvl w:val="0"/>
          <w:numId w:val="9"/>
        </w:numPr>
      </w:pPr>
      <w:r>
        <w:rPr/>
        <w:t xml:space="preserve">Désactiver les tâches HeptagonesLM (§ 7.2).</w:t>
      </w:r>
    </w:p>
    <w:p>
      <w:pPr>
        <w:pStyle w:val="ListParagraph"/>
        <w:numPr>
          <w:ilvl w:val="0"/>
          <w:numId w:val="9"/>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9"/>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9"/>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9"/>
        </w:numPr>
      </w:pPr>
      <w:r>
        <w:rPr/>
        <w:t xml:space="preserve">Réactiver les tâches ; vérifier le badge « Collectes OK » et la vue Collectes.</w:t>
      </w:r>
    </w:p>
    <w:p>
      <w:pPr>
        <w:pStyle w:val="ListParagraph"/>
        <w:numPr>
          <w:ilvl w:val="0"/>
          <w:numId w:val="9"/>
        </w:numPr>
      </w:pPr>
      <w:r>
        <w:rPr/>
        <w:t xml:space="preserve">La période entre la sauvegarde et la restauration reste sans données lmstat ; les logs debug sont relus depuis l'offset sauvegardé.</w:t>
      </w:r>
    </w:p>
    <w:p>
      <w:pPr>
        <w:pStyle w:val="Heading2"/>
      </w:pPr>
      <w:bookmarkStart w:id="139" w:name="_Toc00139"/>
      <w:r>
        <w:rPr/>
        <w:t xml:space="preserve">9.5 Purge manuelle</w:t>
      </w:r>
      <w:bookmarkEnd w:id="139"/>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40" w:name="_Toc00140"/>
      <w:r>
        <w:rPr/>
        <w:t xml:space="preserve">10. Sécurité</w:t>
      </w:r>
      <w:bookmarkEnd w:id="140"/>
    </w:p>
    <w:p>
      <w:pPr>
        <w:pStyle w:val="Heading2"/>
      </w:pPr>
      <w:bookmarkStart w:id="141" w:name="_Toc00141"/>
      <w:r>
        <w:rPr/>
        <w:t xml:space="preserve">10.1 Principes</w:t>
      </w:r>
      <w:bookmarkEnd w:id="141"/>
    </w:p>
    <w:p>
      <w:pPr>
        <w:pStyle w:val="ListParagraph"/>
        <w:numPr>
          <w:ilvl w:val="0"/>
          <w:numId w:val="10"/>
        </w:numPr>
      </w:pPr>
      <w:r>
        <w:rPr>
          <w:b/>
        </w:rPr>
        <w:t xml:space="preserve">Lecture seule</w:t>
      </w:r>
      <w:r>
        <w:rPr/>
        <w:t xml:space="preserve"> : l'interface ne permet aucune modification ; la configuration se fait uniquement sur le serveur.</w:t>
      </w:r>
    </w:p>
    <w:p>
      <w:pPr>
        <w:pStyle w:val="ListParagraph"/>
        <w:numPr>
          <w:ilvl w:val="0"/>
          <w:numId w:val="10"/>
        </w:numPr>
      </w:pPr>
      <w:r>
        <w:rPr>
          <w:b/>
        </w:rPr>
        <w:t xml:space="preserve">Moindre privilège</w:t>
      </w:r>
      <w:r>
        <w:rPr/>
        <w:t xml:space="preserve"> : compte de service dédié non administrateur, droits SQL limités, db_ddladmin temporaire.</w:t>
      </w:r>
    </w:p>
    <w:p>
      <w:pPr>
        <w:pStyle w:val="ListParagraph"/>
        <w:numPr>
          <w:ilvl w:val="0"/>
          <w:numId w:val="10"/>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10"/>
        </w:numPr>
      </w:pPr>
      <w:r>
        <w:rPr>
          <w:b/>
        </w:rPr>
        <w:t xml:space="preserve">Aucun secret dans la configuration</w:t>
      </w:r>
      <w:r>
        <w:rPr/>
        <w:t xml:space="preserve"> : mots de passe dans des variables d'environnement ; mot de passe ou jetons de l'outil ITSM chiffrés par Windows (DPAPI, portée machine) dans secrets\, lisibles seulement par SYSTEM, les administrateurs et le compte de service ; gMSA recommandé.</w:t>
      </w:r>
    </w:p>
    <w:p>
      <w:pPr>
        <w:pStyle w:val="Heading2"/>
      </w:pPr>
      <w:bookmarkStart w:id="142" w:name="_Toc00142"/>
      <w:r>
        <w:rPr/>
        <w:t xml:space="preserve">10.2 Authentification et habilitations</w:t>
      </w:r>
      <w:bookmarkEnd w:id="142"/>
    </w:p>
    <w:p>
      <w:pPr>
        <w:pStyle w:val="Caption"/>
        <w:keepNext/>
      </w:pPr>
      <w:r>
        <w:rPr/>
        <w:t xml:space="preserve">Tableau 28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L'accès se gère par l'appartenance au groupe AD autorisé. Les rôles (</w:t>
      </w:r>
      <w:r>
        <w:rPr>
          <w:rFonts w:ascii="Consolas" w:hAnsi="Consolas" w:cs="Consolas"/>
          <w:color w:val="1C5CAB"/>
          <w:sz w:val="18"/>
          <w:szCs w:val="18"/>
          <w:shd w:val="clear" w:color="auto" w:fill="EEF3FA"/>
        </w:rPr>
        <w:t xml:space="preserve">web.roles</w:t>
      </w:r>
      <w:r>
        <w:rPr/>
        <w:t xml:space="preserve">) distinguent les </w:t>
      </w:r>
      <w:r>
        <w:rPr>
          <w:b/>
        </w:rPr>
        <w:t xml:space="preserve">administrateurs</w:t>
      </w:r>
      <w:r>
        <w:rPr/>
        <w:t xml:space="preserve"> (groupe saisi dans le Setup : vue globale et rubrique Administration), les </w:t>
      </w:r>
      <w:r>
        <w:rPr>
          <w:b/>
        </w:rPr>
        <w:t xml:space="preserve">lecteurs</w:t>
      </w:r>
      <w:r>
        <w:rPr/>
        <w:t xml:space="preserve"> (vue globale) et les </w:t>
      </w:r>
      <w:r>
        <w:rPr>
          <w:b/>
        </w:rPr>
        <w:t xml:space="preserve">responsables de service</w:t>
      </w:r>
      <w:r>
        <w:rPr/>
        <w:t xml:space="preserve"> (§ 8.13). Les actions d'administration exigent un en-tête personnalisé (protection contre les requêtes intersites) et sont tracées dans le journal d'audit.</w:t>
      </w:r>
    </w:p>
    <w:p>
      <w:pPr>
        <w:pStyle w:val="Heading2"/>
      </w:pPr>
      <w:bookmarkStart w:id="143" w:name="_Toc00143"/>
      <w:r>
        <w:rPr/>
        <w:t xml:space="preserve">10.3 Chiffrement</w:t>
      </w:r>
      <w:bookmarkEnd w:id="143"/>
    </w:p>
    <w:p>
      <w:pPr>
        <w:pStyle w:val="Caption"/>
        <w:keepNext/>
      </w:pPr>
      <w:r>
        <w:rPr/>
        <w:t xml:space="preserve">Tableau 29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44" w:name="_Toc00144"/>
      <w:r>
        <w:rPr/>
        <w:t xml:space="preserve">10.4 Traçabilité</w:t>
      </w:r>
      <w:bookmarkEnd w:id="144"/>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45" w:name="_Toc00145"/>
      <w:r>
        <w:rPr/>
        <w:t xml:space="preserve">10.5 Données personnelles</w:t>
      </w:r>
      <w:bookmarkEnd w:id="145"/>
    </w:p>
    <w:p>
      <w:pPr>
        <w:pStyle w:val="Caption"/>
        <w:keepNext/>
      </w:pPr>
      <w:r>
        <w:rPr/>
        <w:t xml:space="preserve">Tableau 30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46" w:name="_Toc00146"/>
      <w:r>
        <w:rPr/>
        <w:t xml:space="preserve">10.6 Liste de contrôle de déploiement</w:t>
      </w:r>
      <w:bookmarkEnd w:id="146"/>
    </w:p>
    <w:p>
      <w:pPr>
        <w:pStyle w:val="Caption"/>
        <w:keepNext/>
      </w:pPr>
      <w:r>
        <w:rPr/>
        <w:t xml:space="preserve">Tableau 31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HeptagonesLM-Setup.exe vérifiée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12</w:t>
            </w:r>
          </w:p>
        </w:tc>
        <w:tc>
          <w:tcPr>
            <w:tcW w:w="8362" w:type="dxa"/>
            <w:shd w:val="clear" w:color="auto" w:fill="F4F7FC"/>
          </w:tcPr>
          <w:p>
            <w:pPr>
              <w:pStyle w:val="TableText"/>
            </w:pPr>
            <w:r>
              <w:rPr>
                <w:sz w:val="18"/>
                <w:szCs w:val="18"/>
              </w:rPr>
              <w:t xml:space="preserve">Vrai lmutil / rlmutil configuré : aucun simulateur de test (la vérification le signale en erreur)</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13</w:t>
            </w:r>
          </w:p>
        </w:tc>
        <w:tc>
          <w:tcPr>
            <w:tcW w:w="8362" w:type="dxa"/>
          </w:tcPr>
          <w:p>
            <w:pPr>
              <w:pStyle w:val="TableText"/>
            </w:pPr>
            <w:r>
              <w:rPr>
                <w:sz w:val="18"/>
                <w:szCs w:val="18"/>
              </w:rPr>
              <w:t xml:space="preserve">Groupe des administrateurs restreint aux administrateurs de licences</w:t>
            </w:r>
          </w:p>
        </w:tc>
        <w:tc>
          <w:tcPr>
            <w:tcW w:w="708" w:type="dxa"/>
          </w:tcPr>
          <w:p>
            <w:pPr>
              <w:pStyle w:val="TableText"/>
            </w:pPr>
            <w:r>
              <w:rPr>
                <w:sz w:val="18"/>
                <w:szCs w:val="18"/>
              </w:rPr>
              <w:t xml:space="preserve">☐</w:t>
            </w:r>
          </w:p>
        </w:tc>
      </w:tr>
    </w:tbl>
    <w:p>
      <w:pPr>
        <w:spacing w:after="80"/>
      </w:pPr>
    </w:p>
    <w:p>
      <w:pPr>
        <w:pStyle w:val="Heading2"/>
      </w:pPr>
      <w:bookmarkStart w:id="147" w:name="_Toc00147"/>
      <w:r>
        <w:rPr/>
        <w:t xml:space="preserve">10.7 Risques résiduels</w:t>
      </w:r>
      <w:bookmarkEnd w:id="147"/>
    </w:p>
    <w:p>
      <w:pPr>
        <w:pStyle w:val="Caption"/>
        <w:keepNext/>
      </w:pPr>
      <w:r>
        <w:rPr/>
        <w:t xml:space="preserve">Tableau 32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48" w:name="_Toc00148"/>
      <w:r>
        <w:rPr/>
        <w:t xml:space="preserve">11. Gestion des incidents</w:t>
      </w:r>
      <w:bookmarkEnd w:id="148"/>
    </w:p>
    <w:p>
      <w:pPr>
        <w:pStyle w:val="Heading2"/>
      </w:pPr>
      <w:bookmarkStart w:id="149" w:name="_Toc00149"/>
      <w:r>
        <w:rPr/>
        <w:t xml:space="preserve">11.1 Démarche de diagnostic</w:t>
      </w:r>
      <w:bookmarkEnd w:id="149"/>
    </w:p>
    <w:p>
      <w:pPr>
        <w:pStyle w:val="ListParagraph"/>
        <w:numPr>
          <w:ilvl w:val="0"/>
          <w:numId w:val="11"/>
        </w:numPr>
      </w:pPr>
      <w:r>
        <w:rPr/>
        <w:t xml:space="preserve">Qualifier : interface, collecte d'un serveur, toutes les collectes, rapport, e-mail, connexion ?</w:t>
      </w:r>
    </w:p>
    <w:p>
      <w:pPr>
        <w:pStyle w:val="ListParagraph"/>
        <w:numPr>
          <w:ilvl w:val="0"/>
          <w:numId w:val="11"/>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1"/>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1"/>
        </w:numPr>
      </w:pPr>
      <w:r>
        <w:rPr/>
        <w:t xml:space="preserve">Vérifier le Planificateur de tâches (dernier résultat, historique).</w:t>
      </w:r>
    </w:p>
    <w:p>
      <w:pPr>
        <w:pStyle w:val="ListParagraph"/>
        <w:numPr>
          <w:ilvl w:val="0"/>
          <w:numId w:val="11"/>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1"/>
        </w:numPr>
      </w:pPr>
      <w:r>
        <w:rPr/>
        <w:t xml:space="preserve">Appliquer la résolution du tableau 11.2 ou escalader (§ 11.4).</w:t>
      </w:r>
    </w:p>
    <w:p>
      <w:pPr>
        <w:pStyle w:val="Heading2"/>
      </w:pPr>
      <w:bookmarkStart w:id="150" w:name="_Toc00150"/>
      <w:r>
        <w:rPr/>
        <w:t xml:space="preserve">11.2 Incidents courants</w:t>
      </w:r>
      <w:bookmarkEnd w:id="150"/>
    </w:p>
    <w:p>
      <w:pPr>
        <w:pStyle w:val="Caption"/>
        <w:keepNext/>
      </w:pPr>
      <w:r>
        <w:rPr/>
        <w:t xml:space="preserve">Tableau 33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(un dossier est complété par lmutil.exe ; un script .cmd / .bat est accepté) ou utiliser « Rechercher l'outil » dans l'assistant</w:t>
            </w:r>
          </w:p>
        </w:tc>
      </w:tr>
      <w:tr>
        <w:trPr>
          <w:cantSplit/>
        </w:trPr>
        <w:tc>
          <w:tcPr>
            <w:tcW w:w="2409" w:type="dxa"/>
          </w:tcPr>
          <w:p>
            <w:pPr>
              <w:pStyle w:val="TableText"/>
            </w:pPr>
            <w:r>
              <w:rPr>
                <w:sz w:val="16"/>
                <w:szCs w:val="16"/>
              </w:rPr>
              <w:t xml:space="preserve">Bandeau jaune « Démonstration » dans l'interface</w:t>
            </w:r>
          </w:p>
        </w:tc>
        <w:tc>
          <w:tcPr>
            <w:tcW w:w="2155" w:type="dxa"/>
          </w:tcPr>
          <w:p>
            <w:pPr>
              <w:pStyle w:val="TableText"/>
            </w:pPr>
            <w:r>
              <w:rPr>
                <w:sz w:val="16"/>
                <w:szCs w:val="16"/>
              </w:rPr>
              <w:t xml:space="preserve">Interface lancée sur des données fictives (</w:t>
            </w:r>
            <w:r>
              <w:rPr>
                <w:rFonts w:ascii="Consolas" w:hAnsi="Consolas" w:cs="Consolas"/>
                <w:color w:val="1C5CAB"/>
                <w:sz w:val="16"/>
                <w:szCs w:val="16"/>
                <w:shd w:val="clear" w:color="auto" w:fill="EEF3FA"/>
              </w:rPr>
              <w:t xml:space="preserve">web --demo</w:t>
            </w:r>
            <w:r>
              <w:rPr>
                <w:sz w:val="16"/>
                <w:szCs w:val="16"/>
              </w:rPr>
              <w:t xml:space="preserve"> ou HeptagonesLM.exe sans installation)</w:t>
            </w:r>
          </w:p>
        </w:tc>
        <w:tc>
          <w:tcPr>
            <w:tcW w:w="2409" w:type="dxa"/>
          </w:tcPr>
          <w:p>
            <w:pPr>
              <w:pStyle w:val="TableText"/>
            </w:pPr>
            <w:r>
              <w:rPr>
                <w:sz w:val="16"/>
                <w:szCs w:val="16"/>
              </w:rPr>
              <w:t xml:space="preserve">Titre de l'onglet « [Démonstration] »</w:t>
            </w:r>
          </w:p>
        </w:tc>
        <w:tc>
          <w:tcPr>
            <w:tcW w:w="2663" w:type="dxa"/>
          </w:tcPr>
          <w:p>
            <w:pPr>
              <w:pStyle w:val="TableText"/>
            </w:pPr>
            <w:r>
              <w:rPr>
                <w:sz w:val="16"/>
                <w:szCs w:val="16"/>
              </w:rPr>
              <w:t xml:space="preserve">Ouvrir l'adresse de l'installation (fin de l'assistant) ; installer avec HeptagonesLM-Setup.exe</w:t>
            </w:r>
          </w:p>
        </w:tc>
      </w:tr>
      <w:tr>
        <w:trPr>
          <w:cantSplit/>
        </w:trPr>
        <w:tc>
          <w:tcPr>
            <w:tcW w:w="2409" w:type="dxa"/>
            <w:shd w:val="clear" w:color="auto" w:fill="F4F7FC"/>
          </w:tcPr>
          <w:p>
            <w:pPr>
              <w:pStyle w:val="TableText"/>
            </w:pPr>
            <w:r>
              <w:rPr>
                <w:sz w:val="16"/>
                <w:szCs w:val="16"/>
              </w:rPr>
              <w:t xml:space="preserve">Code retour 1 « Erreur de configuration : … »</w:t>
            </w:r>
          </w:p>
        </w:tc>
        <w:tc>
          <w:tcPr>
            <w:tcW w:w="2155" w:type="dxa"/>
            <w:shd w:val="clear" w:color="auto" w:fill="F4F7FC"/>
          </w:tcPr>
          <w:p>
            <w:pPr>
              <w:pStyle w:val="TableText"/>
            </w:pPr>
            <w:r>
              <w:rPr>
                <w:sz w:val="16"/>
                <w:szCs w:val="16"/>
              </w:rPr>
              <w:t xml:space="preserve">Fichier YAML invalide (indentation, tabulation, guillemets)</w:t>
            </w:r>
          </w:p>
        </w:tc>
        <w:tc>
          <w:tcPr>
            <w:tcW w:w="2409" w:type="dxa"/>
            <w:shd w:val="clear" w:color="auto" w:fill="F4F7FC"/>
          </w:tcPr>
          <w:p>
            <w:pPr>
              <w:pStyle w:val="TableText"/>
            </w:pPr>
            <w:r>
              <w:rPr>
                <w:sz w:val="16"/>
                <w:szCs w:val="16"/>
              </w:rPr>
              <w:t xml:space="preserve">Message exact dans la console / le journal</w:t>
            </w:r>
          </w:p>
        </w:tc>
        <w:tc>
          <w:tcPr>
            <w:tcW w:w="2663" w:type="dxa"/>
            <w:shd w:val="clear" w:color="auto" w:fill="F4F7FC"/>
          </w:tcPr>
          <w:p>
            <w:pPr>
              <w:pStyle w:val="TableText"/>
            </w:pPr>
            <w:r>
              <w:rPr>
                <w:sz w:val="16"/>
                <w:szCs w:val="16"/>
              </w:rPr>
              <w:t xml:space="preserve">Corriger le fichier ; revenir à la copie de sauvegarde</w:t>
            </w:r>
          </w:p>
        </w:tc>
      </w:tr>
      <w:tr>
        <w:trPr>
          <w:cantSplit/>
        </w:trPr>
        <w:tc>
          <w:tcPr>
            <w:tcW w:w="2409" w:type="dxa"/>
          </w:tcPr>
          <w:p>
            <w:pPr>
              <w:pStyle w:val="TableText"/>
            </w:pPr>
            <w:r>
              <w:rPr>
                <w:sz w:val="16"/>
                <w:szCs w:val="16"/>
              </w:rPr>
              <w:t xml:space="preserve">Erreur ODBC / connexion SQL impossible</w:t>
            </w:r>
          </w:p>
        </w:tc>
        <w:tc>
          <w:tcPr>
            <w:tcW w:w="2155" w:type="dxa"/>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shd w:val="clear" w:color="auto" w:fill="F4F7FC"/>
          </w:tcPr>
          <w:p>
            <w:pPr>
              <w:pStyle w:val="TableText"/>
            </w:pPr>
            <w:r>
              <w:rPr>
                <w:sz w:val="16"/>
                <w:szCs w:val="16"/>
              </w:rPr>
              <w:t xml:space="preserve">« Colonne feature.expires_on absente : exécuter heptagoneslm init-db »</w:t>
            </w:r>
          </w:p>
        </w:tc>
        <w:tc>
          <w:tcPr>
            <w:tcW w:w="2155" w:type="dxa"/>
            <w:shd w:val="clear" w:color="auto" w:fill="F4F7FC"/>
          </w:tcPr>
          <w:p>
            <w:pPr>
              <w:pStyle w:val="TableText"/>
            </w:pPr>
            <w:r>
              <w:rPr>
                <w:sz w:val="16"/>
                <w:szCs w:val="16"/>
              </w:rPr>
              <w:t xml:space="preserve">Schéma non mis à jour après une montée de version</w:t>
            </w:r>
          </w:p>
        </w:tc>
        <w:tc>
          <w:tcPr>
            <w:tcW w:w="2409" w:type="dxa"/>
            <w:shd w:val="clear" w:color="auto" w:fill="F4F7FC"/>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shd w:val="clear" w:color="auto" w:fill="F4F7FC"/>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tcPr>
          <w:p>
            <w:pPr>
              <w:pStyle w:val="TableText"/>
            </w:pPr>
            <w:r>
              <w:rPr>
                <w:sz w:val="16"/>
                <w:szCs w:val="16"/>
              </w:rPr>
              <w:t xml:space="preserve">« Une collecte est déjà en cours : exécution ignorée » répété</w:t>
            </w:r>
          </w:p>
        </w:tc>
        <w:tc>
          <w:tcPr>
            <w:tcW w:w="2155" w:type="dxa"/>
          </w:tcPr>
          <w:p>
            <w:pPr>
              <w:pStyle w:val="TableText"/>
            </w:pPr>
            <w:r>
              <w:rPr>
                <w:sz w:val="16"/>
                <w:szCs w:val="16"/>
              </w:rPr>
              <w:t xml:space="preserve">Collecte bloquée (lmstat très lent)</w:t>
            </w:r>
          </w:p>
        </w:tc>
        <w:tc>
          <w:tcPr>
            <w:tcW w:w="2409" w:type="dxa"/>
          </w:tcPr>
          <w:p>
            <w:pPr>
              <w:pStyle w:val="TableText"/>
            </w:pPr>
            <w:r>
              <w:rPr>
                <w:sz w:val="16"/>
                <w:szCs w:val="16"/>
              </w:rPr>
              <w:t xml:space="preserve">Processus HeptagonesLM en cours, durée</w:t>
            </w:r>
          </w:p>
        </w:tc>
        <w:tc>
          <w:tcPr>
            <w:tcW w:w="2663" w:type="dxa"/>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shd w:val="clear" w:color="auto" w:fill="F4F7FC"/>
          </w:tcPr>
          <w:p>
            <w:pPr>
              <w:pStyle w:val="TableText"/>
            </w:pPr>
            <w:r>
              <w:rPr>
                <w:sz w:val="16"/>
                <w:szCs w:val="16"/>
              </w:rPr>
              <w:t xml:space="preserve">Aucun refus visible / « évènement(s) sans date ignoré(s) »</w:t>
            </w:r>
          </w:p>
        </w:tc>
        <w:tc>
          <w:tcPr>
            <w:tcW w:w="2155" w:type="dxa"/>
            <w:shd w:val="clear" w:color="auto" w:fill="F4F7FC"/>
          </w:tcPr>
          <w:p>
            <w:pPr>
              <w:pStyle w:val="TableText"/>
            </w:pPr>
            <w:r>
              <w:rPr>
                <w:sz w:val="16"/>
                <w:szCs w:val="16"/>
              </w:rPr>
              <w:t xml:space="preserve">Collecteur log absent, log non accessible, log sans horodatage</w:t>
            </w:r>
          </w:p>
        </w:tc>
        <w:tc>
          <w:tcPr>
            <w:tcW w:w="2409" w:type="dxa"/>
            <w:shd w:val="clear" w:color="auto" w:fill="F4F7FC"/>
          </w:tcPr>
          <w:p>
            <w:pPr>
              <w:pStyle w:val="TableText"/>
            </w:pPr>
            <w:r>
              <w:rPr>
                <w:sz w:val="16"/>
                <w:szCs w:val="16"/>
              </w:rPr>
              <w:t xml:space="preserve">Droits du compte sur le partage ; contenu du log</w:t>
            </w:r>
          </w:p>
        </w:tc>
        <w:tc>
          <w:tcPr>
            <w:tcW w:w="2663" w:type="dxa"/>
            <w:shd w:val="clear" w:color="auto" w:fill="F4F7FC"/>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tcPr>
          <w:p>
            <w:pPr>
              <w:pStyle w:val="TableText"/>
            </w:pPr>
            <w:r>
              <w:rPr>
                <w:sz w:val="16"/>
                <w:szCs w:val="16"/>
              </w:rPr>
              <w:t xml:space="preserve">Interface injoignable depuis les postes</w:t>
            </w:r>
          </w:p>
        </w:tc>
        <w:tc>
          <w:tcPr>
            <w:tcW w:w="2155" w:type="dxa"/>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shd w:val="clear" w:color="auto" w:fill="F4F7FC"/>
          </w:tcPr>
          <w:p>
            <w:pPr>
              <w:pStyle w:val="TableText"/>
            </w:pPr>
            <w:r>
              <w:rPr>
                <w:sz w:val="16"/>
                <w:szCs w:val="16"/>
              </w:rPr>
              <w:t xml:space="preserve">Erreur HTTP 421</w:t>
            </w:r>
          </w:p>
        </w:tc>
        <w:tc>
          <w:tcPr>
            <w:tcW w:w="2155" w:type="dxa"/>
            <w:shd w:val="clear" w:color="auto" w:fill="F4F7FC"/>
          </w:tcPr>
          <w:p>
            <w:pPr>
              <w:pStyle w:val="TableText"/>
            </w:pPr>
            <w:r>
              <w:rPr>
                <w:sz w:val="16"/>
                <w:szCs w:val="16"/>
              </w:rPr>
              <w:t xml:space="preserve">Nom utilisé par le navigateur non autorisé (protection DNS rebinding)</w:t>
            </w:r>
          </w:p>
        </w:tc>
        <w:tc>
          <w:tcPr>
            <w:tcW w:w="2409" w:type="dxa"/>
            <w:shd w:val="clear" w:color="auto" w:fill="F4F7FC"/>
          </w:tcPr>
          <w:p>
            <w:pPr>
              <w:pStyle w:val="TableText"/>
            </w:pPr>
            <w:r>
              <w:rPr>
                <w:sz w:val="16"/>
                <w:szCs w:val="16"/>
              </w:rPr>
              <w:t xml:space="preserve">Journal : « en-tête Host inattendu »</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tcPr>
          <w:p>
            <w:pPr>
              <w:pStyle w:val="TableText"/>
            </w:pPr>
            <w:r>
              <w:rPr>
                <w:sz w:val="16"/>
                <w:szCs w:val="16"/>
              </w:rPr>
              <w:t xml:space="preserve">L'interface refuse de démarrer en mode ldap</w:t>
            </w:r>
          </w:p>
        </w:tc>
        <w:tc>
          <w:tcPr>
            <w:tcW w:w="2155" w:type="dxa"/>
          </w:tcPr>
          <w:p>
            <w:pPr>
              <w:pStyle w:val="TableText"/>
            </w:pPr>
            <w:r>
              <w:rPr>
                <w:sz w:val="16"/>
                <w:szCs w:val="16"/>
              </w:rPr>
              <w:t xml:space="preserve">Écoute réseau sans HTTPS</w:t>
            </w:r>
          </w:p>
        </w:tc>
        <w:tc>
          <w:tcPr>
            <w:tcW w:w="2409" w:type="dxa"/>
          </w:tcPr>
          <w:p>
            <w:pPr>
              <w:pStyle w:val="TableText"/>
            </w:pPr>
            <w:r>
              <w:rPr>
                <w:sz w:val="16"/>
                <w:szCs w:val="16"/>
              </w:rPr>
              <w:t xml:space="preserve">Message au démarrage</w:t>
            </w:r>
          </w:p>
        </w:tc>
        <w:tc>
          <w:tcPr>
            <w:tcW w:w="2663" w:type="dxa"/>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shd w:val="clear" w:color="auto" w:fill="F4F7FC"/>
          </w:tcPr>
          <w:p>
            <w:pPr>
              <w:pStyle w:val="TableText"/>
            </w:pPr>
            <w:r>
              <w:rPr>
                <w:sz w:val="16"/>
                <w:szCs w:val="16"/>
              </w:rPr>
              <w:t xml:space="preserve">Utilisateur légitime refusé à la connexion</w:t>
            </w:r>
          </w:p>
        </w:tc>
        <w:tc>
          <w:tcPr>
            <w:tcW w:w="2155" w:type="dxa"/>
            <w:shd w:val="clear" w:color="auto" w:fill="F4F7FC"/>
          </w:tcPr>
          <w:p>
            <w:pPr>
              <w:pStyle w:val="TableText"/>
            </w:pPr>
            <w:r>
              <w:rPr>
                <w:sz w:val="16"/>
                <w:szCs w:val="16"/>
              </w:rPr>
              <w:t xml:space="preserve">Hors du groupe, blocage 15 min après 5 échecs, LDAPS non vérifiable</w:t>
            </w:r>
          </w:p>
        </w:tc>
        <w:tc>
          <w:tcPr>
            <w:tcW w:w="2409" w:type="dxa"/>
            <w:shd w:val="clear" w:color="auto" w:fill="F4F7FC"/>
          </w:tcPr>
          <w:p>
            <w:pPr>
              <w:pStyle w:val="TableText"/>
            </w:pPr>
            <w:r>
              <w:rPr>
                <w:sz w:val="16"/>
                <w:szCs w:val="16"/>
              </w:rPr>
              <w:t xml:space="preserve">Journal d'audit (cause réelle) ; appartenance au groupe</w:t>
            </w:r>
          </w:p>
        </w:tc>
        <w:tc>
          <w:tcPr>
            <w:tcW w:w="2663" w:type="dxa"/>
            <w:shd w:val="clear" w:color="auto" w:fill="F4F7FC"/>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tcPr>
          <w:p>
            <w:pPr>
              <w:pStyle w:val="TableText"/>
            </w:pPr>
            <w:r>
              <w:rPr>
                <w:sz w:val="16"/>
                <w:szCs w:val="16"/>
              </w:rPr>
              <w:t xml:space="preserve">« STARTTLS refusé ou échoué vers l'annuaire »</w:t>
            </w:r>
          </w:p>
        </w:tc>
        <w:tc>
          <w:tcPr>
            <w:tcW w:w="2155" w:type="dxa"/>
          </w:tcPr>
          <w:p>
            <w:pPr>
              <w:pStyle w:val="TableText"/>
            </w:pPr>
            <w:r>
              <w:rPr>
                <w:sz w:val="16"/>
                <w:szCs w:val="16"/>
              </w:rPr>
              <w:t xml:space="preserve">DC sans certificat valide</w:t>
            </w:r>
          </w:p>
        </w:tc>
        <w:tc>
          <w:tcPr>
            <w:tcW w:w="2409" w:type="dxa"/>
          </w:tcPr>
          <w:p>
            <w:pPr>
              <w:pStyle w:val="TableText"/>
            </w:pPr>
            <w:r>
              <w:rPr>
                <w:sz w:val="16"/>
                <w:szCs w:val="16"/>
              </w:rPr>
              <w:t xml:space="preserve">Journal</w:t>
            </w:r>
          </w:p>
        </w:tc>
        <w:tc>
          <w:tcPr>
            <w:tcW w:w="2663" w:type="dxa"/>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shd w:val="clear" w:color="auto" w:fill="F4F7FC"/>
          </w:tcPr>
          <w:p>
            <w:pPr>
              <w:pStyle w:val="TableText"/>
            </w:pPr>
            <w:r>
              <w:rPr>
                <w:sz w:val="16"/>
                <w:szCs w:val="16"/>
              </w:rPr>
              <w:t xml:space="preserve">Alerte de certificat dans le navigateur</w:t>
            </w:r>
          </w:p>
        </w:tc>
        <w:tc>
          <w:tcPr>
            <w:tcW w:w="2155" w:type="dxa"/>
            <w:shd w:val="clear" w:color="auto" w:fill="F4F7FC"/>
          </w:tcPr>
          <w:p>
            <w:pPr>
              <w:pStyle w:val="TableText"/>
            </w:pPr>
            <w:r>
              <w:rPr>
                <w:sz w:val="16"/>
                <w:szCs w:val="16"/>
              </w:rPr>
              <w:t xml:space="preserve">Certificat expiré ou nom différent de l'adresse</w:t>
            </w:r>
          </w:p>
        </w:tc>
        <w:tc>
          <w:tcPr>
            <w:tcW w:w="2409" w:type="dxa"/>
            <w:shd w:val="clear" w:color="auto" w:fill="F4F7FC"/>
          </w:tcPr>
          <w:p>
            <w:pPr>
              <w:pStyle w:val="TableText"/>
            </w:pPr>
            <w:r>
              <w:rPr>
                <w:sz w:val="16"/>
                <w:szCs w:val="16"/>
              </w:rPr>
              <w:t xml:space="preserve">Détail du certificat</w:t>
            </w:r>
          </w:p>
        </w:tc>
        <w:tc>
          <w:tcPr>
            <w:tcW w:w="2663" w:type="dxa"/>
            <w:shd w:val="clear" w:color="auto" w:fill="F4F7FC"/>
          </w:tcPr>
          <w:p>
            <w:pPr>
              <w:pStyle w:val="TableText"/>
            </w:pPr>
            <w:r>
              <w:rPr>
                <w:sz w:val="16"/>
                <w:szCs w:val="16"/>
              </w:rPr>
              <w:t xml:space="preserve">Renouveler (§ 12.4) ; utiliser le nom du certificat</w:t>
            </w:r>
          </w:p>
        </w:tc>
      </w:tr>
      <w:tr>
        <w:trPr>
          <w:cantSplit/>
        </w:trPr>
        <w:tc>
          <w:tcPr>
            <w:tcW w:w="2409" w:type="dxa"/>
          </w:tcPr>
          <w:p>
            <w:pPr>
              <w:pStyle w:val="TableText"/>
            </w:pPr>
            <w:r>
              <w:rPr>
                <w:sz w:val="16"/>
                <w:szCs w:val="16"/>
              </w:rPr>
              <w:t xml:space="preserve">E-mail non reçu</w:t>
            </w:r>
          </w:p>
        </w:tc>
        <w:tc>
          <w:tcPr>
            <w:tcW w:w="2155" w:type="dxa"/>
          </w:tcPr>
          <w:p>
            <w:pPr>
              <w:pStyle w:val="TableText"/>
            </w:pPr>
            <w:r>
              <w:rPr>
                <w:sz w:val="16"/>
                <w:szCs w:val="16"/>
              </w:rPr>
              <w:t xml:space="preserve">SMTP refusé, anti-spam, déjà envoyé pour la période</w:t>
            </w:r>
          </w:p>
        </w:tc>
        <w:tc>
          <w:tcPr>
            <w:tcW w:w="2409" w:type="dxa"/>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shd w:val="clear" w:color="auto" w:fill="F4F7FC"/>
          </w:tcPr>
          <w:p>
            <w:pPr>
              <w:pStyle w:val="TableText"/>
            </w:pPr>
            <w:r>
              <w:rPr>
                <w:sz w:val="16"/>
                <w:szCs w:val="16"/>
              </w:rPr>
              <w:t xml:space="preserve">Rapport mensuel absent</w:t>
            </w:r>
          </w:p>
        </w:tc>
        <w:tc>
          <w:tcPr>
            <w:tcW w:w="2155" w:type="dxa"/>
            <w:shd w:val="clear" w:color="auto" w:fill="F4F7FC"/>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shd w:val="clear" w:color="auto" w:fill="F4F7FC"/>
          </w:tcPr>
          <w:p>
            <w:pPr>
              <w:pStyle w:val="TableText"/>
            </w:pPr>
            <w:r>
              <w:rPr>
                <w:sz w:val="16"/>
                <w:szCs w:val="16"/>
              </w:rPr>
              <w:t xml:space="preserve">Journal ; dernier résultat de la tâche</w:t>
            </w:r>
          </w:p>
        </w:tc>
        <w:tc>
          <w:tcPr>
            <w:tcW w:w="2663" w:type="dxa"/>
            <w:shd w:val="clear" w:color="auto" w:fill="F4F7FC"/>
          </w:tcPr>
          <w:p>
            <w:pPr>
              <w:pStyle w:val="TableText"/>
            </w:pPr>
            <w:r>
              <w:rPr>
                <w:sz w:val="16"/>
                <w:szCs w:val="16"/>
              </w:rPr>
              <w:t xml:space="preserve">Corriger les droits ; relancer la tâche</w:t>
            </w:r>
          </w:p>
        </w:tc>
      </w:tr>
      <w:tr>
        <w:trPr>
          <w:cantSplit/>
        </w:trPr>
        <w:tc>
          <w:tcPr>
            <w:tcW w:w="2409" w:type="dxa"/>
          </w:tcPr>
          <w:p>
            <w:pPr>
              <w:pStyle w:val="TableText"/>
            </w:pPr>
            <w:r>
              <w:rPr>
                <w:sz w:val="16"/>
                <w:szCs w:val="16"/>
              </w:rPr>
              <w:t xml:space="preserve">Ticket ITSM non créé</w:t>
            </w:r>
          </w:p>
        </w:tc>
        <w:tc>
          <w:tcPr>
            <w:tcW w:w="2155" w:type="dxa"/>
          </w:tcPr>
          <w:p>
            <w:pPr>
              <w:pStyle w:val="TableText"/>
            </w:pPr>
            <w:r>
              <w:rPr>
                <w:sz w:val="16"/>
                <w:szCs w:val="16"/>
              </w:rPr>
              <w:t xml:space="preserve">URL, identifiants ou droits de l'utilisateur technique ; gravité inférieure à min_severity</w:t>
            </w:r>
          </w:p>
        </w:tc>
        <w:tc>
          <w:tcPr>
            <w:tcW w:w="2409" w:type="dxa"/>
          </w:tcPr>
          <w:p>
            <w:pPr>
              <w:pStyle w:val="TableText"/>
            </w:pPr>
            <w:r>
              <w:rPr>
                <w:rFonts w:ascii="Consolas" w:hAnsi="Consolas" w:cs="Consolas"/>
                <w:color w:val="1C5CAB"/>
                <w:sz w:val="16"/>
                <w:szCs w:val="16"/>
                <w:shd w:val="clear" w:color="auto" w:fill="EEF3FA"/>
              </w:rPr>
              <w:t xml:space="preserve">test-itsm</w:t>
            </w:r>
            <w:r>
              <w:rPr>
                <w:sz w:val="16"/>
                <w:szCs w:val="16"/>
              </w:rPr>
              <w:t xml:space="preserve"> (message d'erreur de l'outil) ; journal « ITSM : … »</w:t>
            </w:r>
          </w:p>
        </w:tc>
        <w:tc>
          <w:tcPr>
            <w:tcW w:w="2663" w:type="dxa"/>
          </w:tcPr>
          <w:p>
            <w:pPr>
              <w:pStyle w:val="TableText"/>
            </w:pPr>
            <w:r>
              <w:rPr>
                <w:sz w:val="16"/>
                <w:szCs w:val="16"/>
              </w:rPr>
              <w:t xml:space="preserve">Corriger le connecteur ; accorder le droit de créer des incidents</w:t>
            </w:r>
          </w:p>
        </w:tc>
      </w:tr>
      <w:tr>
        <w:trPr>
          <w:cantSplit/>
        </w:trPr>
        <w:tc>
          <w:tcPr>
            <w:tcW w:w="2409" w:type="dxa"/>
            <w:shd w:val="clear" w:color="auto" w:fill="F4F7FC"/>
          </w:tcPr>
          <w:p>
            <w:pPr>
              <w:pStyle w:val="TableText"/>
            </w:pPr>
            <w:r>
              <w:rPr>
                <w:sz w:val="16"/>
                <w:szCs w:val="16"/>
              </w:rPr>
              <w:t xml:space="preserve">« Pas de rôle » à l'ouverture de l'interface</w:t>
            </w:r>
          </w:p>
        </w:tc>
        <w:tc>
          <w:tcPr>
            <w:tcW w:w="2155" w:type="dxa"/>
            <w:shd w:val="clear" w:color="auto" w:fill="F4F7FC"/>
          </w:tcPr>
          <w:p>
            <w:pPr>
              <w:pStyle w:val="TableText"/>
            </w:pPr>
            <w:r>
              <w:rPr>
                <w:sz w:val="16"/>
                <w:szCs w:val="16"/>
              </w:rPr>
              <w:t xml:space="preserve">Utilisateur hors des groupes de web.roles (default: none)</w:t>
            </w:r>
          </w:p>
        </w:tc>
        <w:tc>
          <w:tcPr>
            <w:tcW w:w="2409" w:type="dxa"/>
            <w:shd w:val="clear" w:color="auto" w:fill="F4F7FC"/>
          </w:tcPr>
          <w:p>
            <w:pPr>
              <w:pStyle w:val="TableText"/>
            </w:pPr>
            <w:r>
              <w:rPr>
                <w:sz w:val="16"/>
                <w:szCs w:val="16"/>
              </w:rPr>
              <w:t xml:space="preserve">Journal d'audit « Accès refusé (aucun rôle) »</w:t>
            </w:r>
          </w:p>
        </w:tc>
        <w:tc>
          <w:tcPr>
            <w:tcW w:w="2663" w:type="dxa"/>
            <w:shd w:val="clear" w:color="auto" w:fill="F4F7FC"/>
          </w:tcPr>
          <w:p>
            <w:pPr>
              <w:pStyle w:val="TableText"/>
            </w:pPr>
            <w:r>
              <w:rPr>
                <w:sz w:val="16"/>
                <w:szCs w:val="16"/>
              </w:rPr>
              <w:t xml:space="preserve">Ajouter au groupe du rôle ou passer default: reader</w:t>
            </w:r>
          </w:p>
        </w:tc>
      </w:tr>
      <w:tr>
        <w:trPr>
          <w:cantSplit/>
        </w:trPr>
        <w:tc>
          <w:tcPr>
            <w:tcW w:w="2409" w:type="dxa"/>
          </w:tcPr>
          <w:p>
            <w:pPr>
              <w:pStyle w:val="TableText"/>
            </w:pPr>
            <w:r>
              <w:rPr>
                <w:sz w:val="16"/>
                <w:szCs w:val="16"/>
              </w:rPr>
              <w:t xml:space="preserve">Alertes non reçues</w:t>
            </w:r>
          </w:p>
        </w:tc>
        <w:tc>
          <w:tcPr>
            <w:tcW w:w="2155" w:type="dxa"/>
          </w:tcPr>
          <w:p>
            <w:pPr>
              <w:pStyle w:val="TableText"/>
            </w:pPr>
            <w:r>
              <w:rPr>
                <w:sz w:val="16"/>
                <w:szCs w:val="16"/>
              </w:rPr>
              <w:t xml:space="preserve">Section </w:t>
            </w:r>
            <w:r>
              <w:rPr>
                <w:rFonts w:ascii="Consolas" w:hAnsi="Consolas" w:cs="Consolas"/>
                <w:color w:val="1C5CAB"/>
                <w:sz w:val="16"/>
                <w:szCs w:val="16"/>
                <w:shd w:val="clear" w:color="auto" w:fill="EEF3FA"/>
              </w:rPr>
              <w:t xml:space="preserve">alerts</w:t>
            </w:r>
            <w:r>
              <w:rPr>
                <w:sz w:val="16"/>
                <w:szCs w:val="16"/>
              </w:rPr>
              <w:t xml:space="preserve"> absente, SMTP refusé, schéma non migré, alerte déjà envoyée</w:t>
            </w:r>
          </w:p>
        </w:tc>
        <w:tc>
          <w:tcPr>
            <w:tcW w:w="2409" w:type="dxa"/>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shd w:val="clear" w:color="auto" w:fill="F4F7FC"/>
          </w:tcPr>
          <w:p>
            <w:pPr>
              <w:pStyle w:val="TableText"/>
            </w:pPr>
            <w:r>
              <w:rPr>
                <w:sz w:val="16"/>
                <w:szCs w:val="16"/>
              </w:rPr>
              <w:t xml:space="preserve">Serveur RLM en échec</w:t>
            </w:r>
          </w:p>
        </w:tc>
        <w:tc>
          <w:tcPr>
            <w:tcW w:w="2155" w:type="dxa"/>
            <w:shd w:val="clear" w:color="auto" w:fill="F4F7FC"/>
          </w:tcPr>
          <w:p>
            <w:pPr>
              <w:pStyle w:val="TableText"/>
            </w:pPr>
            <w:r>
              <w:rPr>
                <w:sz w:val="16"/>
                <w:szCs w:val="16"/>
              </w:rPr>
              <w:t xml:space="preserve">rlmutil absent, port rlm filtré, serveur arrêté</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shd w:val="clear" w:color="auto" w:fill="F4F7FC"/>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tcPr>
          <w:p>
            <w:pPr>
              <w:pStyle w:val="TableText"/>
            </w:pPr>
            <w:r>
              <w:rPr>
                <w:sz w:val="16"/>
                <w:szCs w:val="16"/>
              </w:rPr>
              <w:t xml:space="preserve">Produits affichés sous leur code technique</w:t>
            </w:r>
          </w:p>
        </w:tc>
        <w:tc>
          <w:tcPr>
            <w:tcW w:w="2155" w:type="dxa"/>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tcPr>
          <w:p>
            <w:pPr>
              <w:pStyle w:val="TableText"/>
            </w:pPr>
            <w:r>
              <w:rPr>
                <w:sz w:val="16"/>
                <w:szCs w:val="16"/>
              </w:rPr>
              <w:t xml:space="preserve">Vue Synthèse</w:t>
            </w:r>
          </w:p>
        </w:tc>
        <w:tc>
          <w:tcPr>
            <w:tcW w:w="2663" w:type="dxa"/>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shd w:val="clear" w:color="auto" w:fill="F4F7FC"/>
          </w:tcPr>
          <w:p>
            <w:pPr>
              <w:pStyle w:val="TableText"/>
            </w:pPr>
            <w:r>
              <w:rPr>
                <w:sz w:val="16"/>
                <w:szCs w:val="16"/>
              </w:rPr>
              <w:t xml:space="preserve">Utilisateurs sans service ni nom</w:t>
            </w:r>
          </w:p>
        </w:tc>
        <w:tc>
          <w:tcPr>
            <w:tcW w:w="2155" w:type="dxa"/>
            <w:shd w:val="clear" w:color="auto" w:fill="F4F7FC"/>
          </w:tcPr>
          <w:p>
            <w:pPr>
              <w:pStyle w:val="TableText"/>
            </w:pPr>
            <w:r>
              <w:rPr>
                <w:sz w:val="16"/>
                <w:szCs w:val="16"/>
              </w:rPr>
              <w:t xml:space="preserve">Référentiel non importé</w:t>
            </w:r>
          </w:p>
        </w:tc>
        <w:tc>
          <w:tcPr>
            <w:tcW w:w="2409" w:type="dxa"/>
            <w:shd w:val="clear" w:color="auto" w:fill="F4F7FC"/>
          </w:tcPr>
          <w:p>
            <w:pPr>
              <w:pStyle w:val="TableText"/>
            </w:pPr>
            <w:r>
              <w:rPr>
                <w:sz w:val="16"/>
                <w:szCs w:val="16"/>
              </w:rPr>
              <w:t xml:space="preserve">Vue Répartition par service « (non renseigné) »</w:t>
            </w:r>
          </w:p>
        </w:tc>
        <w:tc>
          <w:tcPr>
            <w:tcW w:w="2663" w:type="dxa"/>
            <w:shd w:val="clear" w:color="auto" w:fill="F4F7FC"/>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tcPr>
          <w:p>
            <w:pPr>
              <w:pStyle w:val="TableText"/>
            </w:pPr>
            <w:r>
              <w:rPr>
                <w:sz w:val="16"/>
                <w:szCs w:val="16"/>
              </w:rPr>
              <w:t xml:space="preserve">Sessions anormalement longues</w:t>
            </w:r>
          </w:p>
        </w:tc>
        <w:tc>
          <w:tcPr>
            <w:tcW w:w="2155" w:type="dxa"/>
          </w:tcPr>
          <w:p>
            <w:pPr>
              <w:pStyle w:val="TableText"/>
            </w:pPr>
            <w:r>
              <w:rPr>
                <w:sz w:val="16"/>
                <w:szCs w:val="16"/>
              </w:rPr>
              <w:t xml:space="preserve">Démon éditeur arrêté (sessions laissées ouvertes)</w:t>
            </w:r>
          </w:p>
        </w:tc>
        <w:tc>
          <w:tcPr>
            <w:tcW w:w="2409" w:type="dxa"/>
          </w:tcPr>
          <w:p>
            <w:pPr>
              <w:pStyle w:val="TableText"/>
            </w:pPr>
            <w:r>
              <w:rPr>
                <w:sz w:val="16"/>
                <w:szCs w:val="16"/>
              </w:rPr>
              <w:t xml:space="preserve">Vue Sessions (fin vide)</w:t>
            </w:r>
          </w:p>
        </w:tc>
        <w:tc>
          <w:tcPr>
            <w:tcW w:w="2663" w:type="dxa"/>
          </w:tcPr>
          <w:p>
            <w:pPr>
              <w:pStyle w:val="TableText"/>
            </w:pPr>
            <w:r>
              <w:rPr>
                <w:sz w:val="16"/>
                <w:szCs w:val="16"/>
              </w:rPr>
              <w:t xml:space="preserve">Se referment au retour du démon ; sinon à la disparition des jetons</w:t>
            </w:r>
          </w:p>
        </w:tc>
      </w:tr>
      <w:tr>
        <w:trPr>
          <w:cantSplit/>
        </w:trPr>
        <w:tc>
          <w:tcPr>
            <w:tcW w:w="2409" w:type="dxa"/>
            <w:shd w:val="clear" w:color="auto" w:fill="F4F7FC"/>
          </w:tcPr>
          <w:p>
            <w:pPr>
              <w:pStyle w:val="TableText"/>
            </w:pPr>
            <w:r>
              <w:rPr>
                <w:sz w:val="16"/>
                <w:szCs w:val="16"/>
              </w:rPr>
              <w:t xml:space="preserve">Base volumineuse / disque plein</w:t>
            </w:r>
          </w:p>
        </w:tc>
        <w:tc>
          <w:tcPr>
            <w:tcW w:w="2155" w:type="dxa"/>
            <w:shd w:val="clear" w:color="auto" w:fill="F4F7FC"/>
          </w:tcPr>
          <w:p>
            <w:pPr>
              <w:pStyle w:val="TableText"/>
            </w:pPr>
            <w:r>
              <w:rPr>
                <w:sz w:val="16"/>
                <w:szCs w:val="16"/>
              </w:rPr>
              <w:t xml:space="preserve">Purge non exécutée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shd w:val="clear" w:color="auto" w:fill="F4F7FC"/>
          </w:tcPr>
          <w:p>
            <w:pPr>
              <w:pStyle w:val="TableText"/>
            </w:pPr>
            <w:r>
              <w:rPr>
                <w:sz w:val="16"/>
                <w:szCs w:val="16"/>
              </w:rPr>
              <w:t xml:space="preserve">Relancer la purge ; vérifier la tâche</w:t>
            </w:r>
          </w:p>
        </w:tc>
      </w:tr>
      <w:tr>
        <w:trPr>
          <w:cantSplit/>
        </w:trPr>
        <w:tc>
          <w:tcPr>
            <w:tcW w:w="2409" w:type="dxa"/>
          </w:tcPr>
          <w:p>
            <w:pPr>
              <w:pStyle w:val="TableText"/>
            </w:pPr>
            <w:r>
              <w:rPr>
                <w:sz w:val="16"/>
                <w:szCs w:val="16"/>
              </w:rPr>
              <w:t xml:space="preserve">Tableau de bord injoignable après un redémarrage</w:t>
            </w:r>
          </w:p>
        </w:tc>
        <w:tc>
          <w:tcPr>
            <w:tcW w:w="2155" w:type="dxa"/>
          </w:tcPr>
          <w:p>
            <w:pPr>
              <w:pStyle w:val="TableText"/>
            </w:pPr>
            <w:r>
              <w:rPr>
                <w:sz w:val="16"/>
                <w:szCs w:val="16"/>
              </w:rPr>
              <w:t xml:space="preserve">Interface démarrée trop tôt (domaine, base)</w:t>
            </w:r>
          </w:p>
        </w:tc>
        <w:tc>
          <w:tcPr>
            <w:tcW w:w="2409" w:type="dxa"/>
          </w:tcPr>
          <w:p>
            <w:pPr>
              <w:pStyle w:val="TableText"/>
            </w:pPr>
            <w:r>
              <w:rPr>
                <w:sz w:val="16"/>
                <w:szCs w:val="16"/>
              </w:rPr>
              <w:t xml:space="preserve">Tâches </w:t>
            </w:r>
            <w:r>
              <w:rPr>
                <w:rFonts w:ascii="Consolas" w:hAnsi="Consolas" w:cs="Consolas"/>
                <w:color w:val="1C5CAB"/>
                <w:sz w:val="16"/>
                <w:szCs w:val="16"/>
                <w:shd w:val="clear" w:color="auto" w:fill="EEF3FA"/>
              </w:rPr>
              <w:t xml:space="preserve">\HeptagonesLM\</w:t>
            </w:r>
            <w:r>
              <w:rPr>
                <w:sz w:val="16"/>
                <w:szCs w:val="16"/>
              </w:rPr>
              <w:t xml:space="preserve"> (Get-ScheduledTaskInfo), heptagoneslm.log</w:t>
            </w:r>
          </w:p>
        </w:tc>
        <w:tc>
          <w:tcPr>
            <w:tcW w:w="2663" w:type="dxa"/>
          </w:tcPr>
          <w:p>
            <w:pPr>
              <w:pStyle w:val="TableText"/>
            </w:pPr>
            <w:r>
              <w:rPr>
                <w:sz w:val="16"/>
                <w:szCs w:val="16"/>
              </w:rPr>
              <w:t xml:space="preserve">La surveillance la relance sous 5 minutes ; sinon « Réappliquer la mise à jour »</w:t>
            </w:r>
          </w:p>
        </w:tc>
      </w:tr>
      <w:tr>
        <w:trPr>
          <w:cantSplit/>
        </w:trPr>
        <w:tc>
          <w:tcPr>
            <w:tcW w:w="2409" w:type="dxa"/>
            <w:shd w:val="clear" w:color="auto" w:fill="F4F7FC"/>
          </w:tcPr>
          <w:p>
            <w:pPr>
              <w:pStyle w:val="TableText"/>
            </w:pPr>
            <w:r>
              <w:rPr>
                <w:sz w:val="16"/>
                <w:szCs w:val="16"/>
              </w:rPr>
              <w:t xml:space="preserve">Vérification : « SIMULATEUR DE TEST branché »</w:t>
            </w:r>
          </w:p>
        </w:tc>
        <w:tc>
          <w:tcPr>
            <w:tcW w:w="2155" w:type="dxa"/>
            <w:shd w:val="clear" w:color="auto" w:fill="F4F7FC"/>
          </w:tcPr>
          <w:p>
            <w:pPr>
              <w:pStyle w:val="TableText"/>
            </w:pPr>
            <w:r>
              <w:rPr>
                <w:sz w:val="16"/>
                <w:szCs w:val="16"/>
              </w:rPr>
              <w:t xml:space="preserve">heptagoneslm.yaml pointe vers le faux lmutil des tests</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lmutil_path</w:t>
            </w:r>
            <w:r>
              <w:rPr>
                <w:sz w:val="16"/>
                <w:szCs w:val="16"/>
              </w:rPr>
              <w:t xml:space="preserve">, serveurs déclarés</w:t>
            </w:r>
          </w:p>
        </w:tc>
        <w:tc>
          <w:tcPr>
            <w:tcW w:w="2663" w:type="dxa"/>
            <w:shd w:val="clear" w:color="auto" w:fill="F4F7FC"/>
          </w:tcPr>
          <w:p>
            <w:pPr>
              <w:pStyle w:val="TableText"/>
            </w:pPr>
            <w:r>
              <w:rPr>
                <w:sz w:val="16"/>
                <w:szCs w:val="16"/>
              </w:rPr>
              <w:t xml:space="preserve">Remettre le vrai lmutil et les vrais serveurs</w:t>
            </w:r>
          </w:p>
        </w:tc>
      </w:tr>
      <w:tr>
        <w:trPr>
          <w:cantSplit/>
        </w:trPr>
        <w:tc>
          <w:tcPr>
            <w:tcW w:w="2409" w:type="dxa"/>
          </w:tcPr>
          <w:p>
            <w:pPr>
              <w:pStyle w:val="TableText"/>
            </w:pPr>
            <w:r>
              <w:rPr>
                <w:sz w:val="16"/>
                <w:szCs w:val="16"/>
              </w:rPr>
              <w:t xml:space="preserve">Autodesk : « Usage quotidien indisponible »</w:t>
            </w:r>
          </w:p>
        </w:tc>
        <w:tc>
          <w:tcPr>
            <w:tcW w:w="2155" w:type="dxa"/>
          </w:tcPr>
          <w:p>
            <w:pPr>
              <w:pStyle w:val="TableText"/>
            </w:pPr>
            <w:r>
              <w:rPr>
                <w:sz w:val="16"/>
                <w:szCs w:val="16"/>
              </w:rPr>
              <w:t xml:space="preserve">Requête jour par jour refusée par l'API</w:t>
            </w:r>
          </w:p>
        </w:tc>
        <w:tc>
          <w:tcPr>
            <w:tcW w:w="2409" w:type="dxa"/>
          </w:tcPr>
          <w:p>
            <w:pPr>
              <w:pStyle w:val="TableText"/>
            </w:pPr>
            <w:r>
              <w:rPr>
                <w:sz w:val="16"/>
                <w:szCs w:val="16"/>
              </w:rPr>
              <w:t xml:space="preserve">Sortie de </w:t>
            </w:r>
            <w:r>
              <w:rPr>
                <w:rFonts w:ascii="Consolas" w:hAnsi="Consolas" w:cs="Consolas"/>
                <w:color w:val="1C5CAB"/>
                <w:sz w:val="16"/>
                <w:szCs w:val="16"/>
                <w:shd w:val="clear" w:color="auto" w:fill="EEF3FA"/>
              </w:rPr>
              <w:t xml:space="preserve">autodesk-sync</w:t>
            </w:r>
          </w:p>
        </w:tc>
        <w:tc>
          <w:tcPr>
            <w:tcW w:w="2663" w:type="dxa"/>
          </w:tcPr>
          <w:p>
            <w:pPr>
              <w:pStyle w:val="TableText"/>
            </w:pPr>
            <w:r>
              <w:rPr>
                <w:sz w:val="16"/>
                <w:szCs w:val="16"/>
              </w:rPr>
              <w:t xml:space="preserve">Rapport « utilisateurs nommés » seul ; transmettre le message</w:t>
            </w:r>
          </w:p>
        </w:tc>
      </w:tr>
    </w:tbl>
    <w:p>
      <w:pPr>
        <w:spacing w:after="80"/>
      </w:pPr>
    </w:p>
    <w:p>
      <w:pPr>
        <w:pStyle w:val="Heading2"/>
      </w:pPr>
      <w:bookmarkStart w:id="151" w:name="_Toc00151"/>
      <w:r>
        <w:rPr/>
        <w:t xml:space="preserve">11.3 Commandes de diagnostic</w:t>
      </w:r>
      <w:bookmarkEnd w:id="151"/>
    </w:p>
    <w:p>
      <w:pPr>
        <w:pStyle w:val="Caption"/>
        <w:keepNext/>
      </w:pPr>
      <w:r>
        <w:rPr/>
        <w:t xml:space="preserve">Tableau 34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52" w:name="_Toc00152"/>
      <w:r>
        <w:rPr/>
        <w:t xml:space="preserve">11.4 Escalade</w:t>
      </w:r>
      <w:bookmarkEnd w:id="152"/>
    </w:p>
    <w:p>
      <w:pPr>
        <w:pStyle w:val="Caption"/>
        <w:keepNext/>
      </w:pPr>
      <w:r>
        <w:rPr/>
        <w:t xml:space="preserve">Tableau 35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53" w:name="_Toc00153"/>
      <w:r>
        <w:rPr/>
        <w:t xml:space="preserve">12. Maintenance et évolutions</w:t>
      </w:r>
      <w:bookmarkEnd w:id="153"/>
    </w:p>
    <w:p>
      <w:pPr>
        <w:pStyle w:val="Heading2"/>
      </w:pPr>
      <w:bookmarkStart w:id="154" w:name="_Toc00154"/>
      <w:r>
        <w:rPr/>
        <w:t xml:space="preserve">12.1 Mise à jour de version</w:t>
      </w:r>
      <w:bookmarkEnd w:id="154"/>
    </w:p>
    <w:p>
      <w:pPr/>
      <w:r>
        <w:rPr>
          <w:b/>
        </w:rPr>
        <w:t xml:space="preserve">Méthode simple</w:t>
      </w:r>
      <w:r>
        <w:rPr/>
        <w:t xml:space="preserve"> : lancer le nouveau </w:t>
      </w:r>
      <w:r>
        <w:rPr>
          <w:rFonts w:ascii="Consolas" w:hAnsi="Consolas" w:cs="Consolas"/>
          <w:color w:val="1C5CAB"/>
          <w:sz w:val="18"/>
          <w:szCs w:val="18"/>
          <w:shd w:val="clear" w:color="auto" w:fill="EEF3FA"/>
        </w:rPr>
        <w:t xml:space="preserve">HeptagonesLM-Setup.exe</w:t>
      </w:r>
      <w:r>
        <w:rPr/>
        <w:t xml:space="preserve"> sur le serveur et cliquer sur </w:t>
      </w:r>
      <w:r>
        <w:rPr>
          <w:b/>
        </w:rPr>
        <w:t xml:space="preserve">« Mettre à jour vers 26.x »</w:t>
      </w:r>
      <w:r>
        <w:rPr/>
        <w:t xml:space="preserve"> (ou </w:t>
      </w:r>
      <w:r>
        <w:rPr>
          <w:rFonts w:ascii="Consolas" w:hAnsi="Consolas" w:cs="Consolas"/>
          <w:color w:val="1C5CAB"/>
          <w:sz w:val="18"/>
          <w:szCs w:val="18"/>
          <w:shd w:val="clear" w:color="auto" w:fill="EEF3FA"/>
        </w:rPr>
        <w:t xml:space="preserve">setup --update</w:t>
      </w:r>
      <w:r>
        <w:rPr/>
        <w:t xml:space="preserve"> en silencieux) : sauvegarde, remplacement de l'exécutable, schéma, droits, relance de l'interface, collecte de contrôle et vérification, sans rien ressaisir. </w:t>
      </w:r>
      <w:r>
        <w:rPr>
          <w:b/>
        </w:rPr>
        <w:t xml:space="preserve">Méthode manuelle</w:t>
      </w:r>
      <w:r>
        <w:rPr/>
        <w:t xml:space="preserve"> :</w:t>
      </w:r>
    </w:p>
    <w:p>
      <w:pPr>
        <w:pStyle w:val="ListParagraph"/>
        <w:numPr>
          <w:ilvl w:val="0"/>
          <w:numId w:val="12"/>
        </w:numPr>
      </w:pPr>
      <w:r>
        <w:rPr/>
        <w:t xml:space="preserve">Lire le CHANGELOG de la nouvelle version (évolutions, changements de configuration).</w:t>
      </w:r>
    </w:p>
    <w:p>
      <w:pPr>
        <w:pStyle w:val="ListParagraph"/>
        <w:numPr>
          <w:ilvl w:val="0"/>
          <w:numId w:val="12"/>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2"/>
        </w:numPr>
      </w:pPr>
      <w:r>
        <w:rPr/>
        <w:t xml:space="preserve">Désactiver les tâches et arrêter l'interface web (§ 7.2).</w:t>
      </w:r>
    </w:p>
    <w:p>
      <w:pPr>
        <w:pStyle w:val="ListParagraph"/>
        <w:numPr>
          <w:ilvl w:val="0"/>
          <w:numId w:val="12"/>
        </w:numPr>
      </w:pPr>
      <w:r>
        <w:rPr/>
        <w:t xml:space="preserve">Relancer le nouveau </w:t>
      </w:r>
      <w:r>
        <w:rPr>
          <w:rFonts w:ascii="Consolas" w:hAnsi="Consolas" w:cs="Consolas"/>
          <w:color w:val="1C5CAB"/>
          <w:sz w:val="18"/>
          <w:szCs w:val="18"/>
          <w:shd w:val="clear" w:color="auto" w:fill="EEF3FA"/>
        </w:rPr>
        <w:t xml:space="preserve">HeptagonesLM-Setup.exe</w:t>
      </w:r>
      <w:r>
        <w:rPr/>
        <w:t xml:space="preserve"> (empreinte SHA-256 vérifiée) : il met à jour HeptagonesLM.exe et conserve la configuration ; ou mettre à jour l'environnement Python.</w:t>
      </w:r>
    </w:p>
    <w:p>
      <w:pPr>
        <w:pStyle w:val="ListParagraph"/>
        <w:numPr>
          <w:ilvl w:val="0"/>
          <w:numId w:val="12"/>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2"/>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 Exemple : le schéma v7 ajoute les tables </w:t>
      </w:r>
      <w:r>
        <w:rPr>
          <w:rFonts w:ascii="Consolas" w:hAnsi="Consolas" w:cs="Consolas"/>
          <w:color w:val="1C5CAB"/>
          <w:sz w:val="18"/>
          <w:szCs w:val="18"/>
          <w:shd w:val="clear" w:color="auto" w:fill="EEF3FA"/>
        </w:rPr>
        <w:t xml:space="preserve">named_seat</w:t>
      </w:r>
      <w:r>
        <w:rPr/>
        <w:t xml:space="preserve"> et </w:t>
      </w:r>
      <w:r>
        <w:rPr>
          <w:rFonts w:ascii="Consolas" w:hAnsi="Consolas" w:cs="Consolas"/>
          <w:color w:val="1C5CAB"/>
          <w:sz w:val="18"/>
          <w:szCs w:val="18"/>
          <w:shd w:val="clear" w:color="auto" w:fill="EEF3FA"/>
        </w:rPr>
        <w:t xml:space="preserve">named_import</w:t>
      </w:r>
      <w:r>
        <w:rPr/>
        <w:t xml:space="preserve"> (licences Autodesk nommées), le schéma v8 la table </w:t>
      </w:r>
      <w:r>
        <w:rPr>
          <w:rFonts w:ascii="Consolas" w:hAnsi="Consolas" w:cs="Consolas"/>
          <w:color w:val="1C5CAB"/>
          <w:sz w:val="18"/>
          <w:szCs w:val="18"/>
          <w:shd w:val="clear" w:color="auto" w:fill="EEF3FA"/>
        </w:rPr>
        <w:t xml:space="preserve">named_usage_day</w:t>
      </w:r>
      <w:r>
        <w:rPr/>
        <w:t xml:space="preserve"> (usage quotidien Autodesk), le schéma v9 la table </w:t>
      </w:r>
      <w:r>
        <w:rPr>
          <w:rFonts w:ascii="Consolas" w:hAnsi="Consolas" w:cs="Consolas"/>
          <w:color w:val="1C5CAB"/>
          <w:sz w:val="18"/>
          <w:szCs w:val="18"/>
          <w:shd w:val="clear" w:color="auto" w:fill="EEF3FA"/>
        </w:rPr>
        <w:t xml:space="preserve">user_project</w:t>
      </w:r>
      <w:r>
        <w:rPr/>
        <w:t xml:space="preserve"> (affectation des utilisateurs aux projets).</w:t>
      </w:r>
    </w:p>
    <w:p>
      <w:pPr>
        <w:pStyle w:val="Heading2"/>
      </w:pPr>
      <w:bookmarkStart w:id="155" w:name="_Toc00155"/>
      <w:r>
        <w:rPr/>
        <w:t xml:space="preserve">12.2 Ajout d'un serveur de licences</w:t>
      </w:r>
      <w:bookmarkEnd w:id="155"/>
    </w:p>
    <w:p>
      <w:pPr/>
      <w:r>
        <w:rPr/>
        <w:t xml:space="preserve">Depuis l'interface : rubrique </w:t>
      </w:r>
      <w:r>
        <w:rPr>
          <w:b/>
        </w:rPr>
        <w:t xml:space="preserve">Administration</w:t>
      </w:r>
      <w:r>
        <w:rPr/>
        <w:t xml:space="preserve"> › Serveurs de licences (« Tester la connexion », puis « Enregistrer »). Ou à la main :</w:t>
      </w:r>
    </w:p>
    <w:p>
      <w:pPr>
        <w:pStyle w:val="ListParagraph"/>
        <w:numPr>
          <w:ilvl w:val="0"/>
          <w:numId w:val="13"/>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3"/>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3"/>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3"/>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56" w:name="_Toc00156"/>
      <w:r>
        <w:rPr/>
        <w:t xml:space="preserve">12.3 Produits, coûts et abonnements</w:t>
      </w:r>
      <w:bookmarkEnd w:id="156"/>
    </w:p>
    <w:p>
      <w:pPr/>
      <w:r>
        <w:rPr/>
        <w:t xml:space="preserve">Les coûts et les fins d'abonnement des licences Autodesk nommées, l'affectation des projets et les rapports planifiés se saisissent dans la rubrique Administration. 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57" w:name="_Toc00157"/>
      <w:r>
        <w:rPr/>
        <w:t xml:space="preserve">12.4 Renouvellement des certificats</w:t>
      </w:r>
      <w:bookmarkEnd w:id="157"/>
    </w:p>
    <w:p>
      <w:pPr>
        <w:pStyle w:val="ListParagraph"/>
        <w:numPr>
          <w:ilvl w:val="0"/>
          <w:numId w:val="14"/>
        </w:numPr>
      </w:pPr>
      <w:r>
        <w:rPr/>
        <w:t xml:space="preserve">Obtenir le nouveau certificat (même nom DNS) au format PEM (certificat + chaîne) et la clé.</w:t>
      </w:r>
    </w:p>
    <w:p>
      <w:pPr>
        <w:pStyle w:val="ListParagraph"/>
        <w:numPr>
          <w:ilvl w:val="0"/>
          <w:numId w:val="14"/>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4"/>
        </w:numPr>
      </w:pPr>
      <w:r>
        <w:rPr/>
        <w:t xml:space="preserve">Redémarrer la tâche « HeptagonesLM - Interface web » et vérifier la date d'expiration dans le navigateur.</w:t>
      </w:r>
    </w:p>
    <w:p>
      <w:pPr>
        <w:pStyle w:val="Heading2"/>
      </w:pPr>
      <w:bookmarkStart w:id="158" w:name="_Toc00158"/>
      <w:r>
        <w:rPr/>
        <w:t xml:space="preserve">12.5 Compte de service</w:t>
      </w:r>
      <w:bookmarkEnd w:id="158"/>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59" w:name="_Toc00159"/>
      <w:r>
        <w:rPr/>
        <w:t xml:space="preserve">12.6 Ajout d'un autre gestionnaire de licences</w:t>
      </w:r>
      <w:bookmarkEnd w:id="159"/>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60" w:name="_Toc00160"/>
      <w:r>
        <w:rPr/>
        <w:t xml:space="preserve">13. Continuité et reprise d'activité</w:t>
      </w:r>
      <w:bookmarkEnd w:id="160"/>
    </w:p>
    <w:p>
      <w:pPr>
        <w:pStyle w:val="Heading2"/>
      </w:pPr>
      <w:bookmarkStart w:id="161" w:name="_Toc00161"/>
      <w:r>
        <w:rPr/>
        <w:t xml:space="preserve">13.1 Impact d'une indisponibilité</w:t>
      </w:r>
      <w:bookmarkEnd w:id="161"/>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62" w:name="_Toc00162"/>
      <w:r>
        <w:rPr/>
        <w:t xml:space="preserve">13.2 Scénarios de reprise</w:t>
      </w:r>
      <w:bookmarkEnd w:id="162"/>
    </w:p>
    <w:p>
      <w:pPr>
        <w:pStyle w:val="Caption"/>
        <w:keepNext/>
      </w:pPr>
      <w:r>
        <w:rPr/>
        <w:t xml:space="preserve">Tableau 36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63" w:name="_Toc00163"/>
      <w:r>
        <w:rPr/>
        <w:t xml:space="preserve">13.3 Reconstruction complète</w:t>
      </w:r>
      <w:bookmarkEnd w:id="163"/>
    </w:p>
    <w:p>
      <w:pPr>
        <w:pStyle w:val="ListParagraph"/>
        <w:numPr>
          <w:ilvl w:val="0"/>
          <w:numId w:val="15"/>
        </w:numPr>
      </w:pPr>
      <w:r>
        <w:rPr/>
        <w:t xml:space="preserve">Préparer un serveur Windows conforme au § 4.1, joint au domaine.</w:t>
      </w:r>
    </w:p>
    <w:p>
      <w:pPr>
        <w:pStyle w:val="ListParagraph"/>
        <w:numPr>
          <w:ilvl w:val="0"/>
          <w:numId w:val="15"/>
        </w:numPr>
      </w:pPr>
      <w:r>
        <w:rPr/>
        <w:t xml:space="preserve">Restaurer la base (§ 9.4) si l'instance SQL est aussi perdue.</w:t>
      </w:r>
    </w:p>
    <w:p>
      <w:pPr>
        <w:pStyle w:val="ListParagraph"/>
        <w:numPr>
          <w:ilvl w:val="0"/>
          <w:numId w:val="15"/>
        </w:numPr>
      </w:pPr>
      <w:r>
        <w:rPr/>
        <w:t xml:space="preserve">Réinstaller avec HeptagonesLM-Setup.exe (ressaisir les identifiants ITSM : les secrets DPAPI ne se déchiffrent que sur le serveur d'origine), puis restaurer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5"/>
        </w:numPr>
      </w:pPr>
      <w:r>
        <w:rPr/>
        <w:t xml:space="preserve">Relancer HeptagonesLM-Setup.exe (même fichier de réponses) : schéma, IIS, tâches et pare-feu sont recréés ; recréer l'enregistrement DNS si besoin.</w:t>
      </w:r>
    </w:p>
    <w:p>
      <w:pPr>
        <w:pStyle w:val="ListParagraph"/>
        <w:numPr>
          <w:ilvl w:val="0"/>
          <w:numId w:val="15"/>
        </w:numPr>
      </w:pPr>
      <w:r>
        <w:rPr/>
        <w:t xml:space="preserve">Dérouler la recette de mise en service (§ 5.3).</w:t>
      </w:r>
    </w:p>
    <w:p>
      <w:pPr>
        <w:pStyle w:val="Heading1"/>
      </w:pPr>
      <w:bookmarkStart w:id="164" w:name="_Toc00164"/>
      <w:r>
        <w:rPr/>
        <w:t xml:space="preserve">14. Contacts et responsabilités</w:t>
      </w:r>
      <w:bookmarkEnd w:id="164"/>
    </w:p>
    <w:p>
      <w:pPr>
        <w:pStyle w:val="Heading2"/>
      </w:pPr>
      <w:bookmarkStart w:id="165" w:name="_Toc00165"/>
      <w:r>
        <w:rPr/>
        <w:t xml:space="preserve">14.1 Contacts</w:t>
      </w:r>
      <w:bookmarkEnd w:id="165"/>
    </w:p>
    <w:p>
      <w:pPr>
        <w:pStyle w:val="Caption"/>
        <w:keepNext/>
      </w:pPr>
      <w:r>
        <w:rPr/>
        <w:t xml:space="preserve">Tableau 37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66" w:name="_Toc00166"/>
      <w:r>
        <w:rPr/>
        <w:t xml:space="preserve">14.2 Matrice des responsabilités (RACI)</w:t>
      </w:r>
      <w:bookmarkEnd w:id="166"/>
    </w:p>
    <w:p>
      <w:pPr/>
      <w:r>
        <w:rPr/>
        <w:t xml:space="preserve">R = réalise, A = approuve, C = consulté, I = informé.</w:t>
      </w:r>
    </w:p>
    <w:p>
      <w:pPr>
        <w:pStyle w:val="Caption"/>
        <w:keepNext/>
      </w:pPr>
      <w:r>
        <w:rPr/>
        <w:t xml:space="preserve">Tableau 38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67" w:name="_Toc00167"/>
      <w:r>
        <w:rPr/>
        <w:t xml:space="preserve">Annexe A. Référence des commandes</w:t>
      </w:r>
      <w:bookmarkEnd w:id="167"/>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(double-clic), </w:t>
      </w:r>
      <w:r>
        <w:rPr>
          <w:rFonts w:ascii="Consolas" w:hAnsi="Consolas" w:cs="Consolas"/>
          <w:color w:val="1C5CAB"/>
          <w:sz w:val="18"/>
          <w:szCs w:val="18"/>
          <w:shd w:val="clear" w:color="auto" w:fill="EEF3FA"/>
        </w:rPr>
        <w:t xml:space="preserve">HeptagonesLM.exe</w:t>
      </w:r>
      <w:r>
        <w:rPr/>
        <w:t xml:space="preserve"> ouvre l'interface de l'installation trouvée (y compris </w:t>
      </w:r>
      <w:r>
        <w:rPr>
          <w:rFonts w:ascii="Consolas" w:hAnsi="Consolas" w:cs="Consolas"/>
          <w:color w:val="1C5CAB"/>
          <w:sz w:val="18"/>
          <w:szCs w:val="18"/>
          <w:shd w:val="clear" w:color="auto" w:fill="EEF3FA"/>
        </w:rPr>
        <w:t xml:space="preserve">C:\HeptagonesLM</w:t>
      </w:r>
      <w:r>
        <w:rPr/>
        <w:t xml:space="preserve">) ou le navigateur si l'interface est déjà servie ; sans installation, il propose d'installer ou de voir la démonstration (bandeau « Démonstration »).</w:t>
      </w:r>
    </w:p>
    <w:p>
      <w:pPr>
        <w:pStyle w:val="Caption"/>
        <w:keepNext/>
      </w:pPr>
      <w:r>
        <w:rPr/>
        <w:t xml:space="preserve">Tableau 39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les alertes, envoie l'e-mail et synchronise les tickets (aussi après chaque collecte)</w:t>
            </w:r>
          </w:p>
        </w:tc>
      </w:tr>
      <w:tr>
        <w:trPr>
          <w:cantSplit/>
        </w:trPr>
        <w:tc>
          <w:tcPr>
            <w:tcW w:w="1927" w:type="dxa"/>
          </w:tcPr>
          <w:p>
            <w:pPr>
              <w:pStyle w:val="TableText"/>
            </w:pPr>
            <w:r>
              <w:rPr>
                <w:sz w:val="18"/>
                <w:szCs w:val="18"/>
              </w:rPr>
              <w:t xml:space="preserve">test-itsm</w:t>
            </w:r>
          </w:p>
        </w:tc>
        <w:tc>
          <w:tcPr>
            <w:tcW w:w="3855" w:type="dxa"/>
          </w:tcPr>
          <w:p>
            <w:pPr>
              <w:pStyle w:val="TableText"/>
            </w:pPr>
            <w:r>
              <w:rPr>
                <w:sz w:val="18"/>
                <w:szCs w:val="18"/>
              </w:rPr>
              <w:t xml:space="preserve">--connector NOM, --keep-open</w:t>
            </w:r>
          </w:p>
        </w:tc>
        <w:tc>
          <w:tcPr>
            <w:tcW w:w="3855" w:type="dxa"/>
          </w:tcPr>
          <w:p>
            <w:pPr>
              <w:pStyle w:val="TableText"/>
            </w:pPr>
            <w:r>
              <w:rPr>
                <w:sz w:val="18"/>
                <w:szCs w:val="18"/>
              </w:rPr>
              <w:t xml:space="preserve">Ticket de test ouvert, commenté puis résolu dans chaque outil ITSM</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import-projects</w:t>
            </w:r>
          </w:p>
        </w:tc>
        <w:tc>
          <w:tcPr>
            <w:tcW w:w="3855" w:type="dxa"/>
            <w:shd w:val="clear" w:color="auto" w:fill="F4F7FC"/>
          </w:tcPr>
          <w:p>
            <w:pPr>
              <w:pStyle w:val="TableText"/>
            </w:pPr>
            <w:r>
              <w:rPr>
                <w:sz w:val="18"/>
                <w:szCs w:val="18"/>
              </w:rPr>
              <w:t xml:space="preserve">fichier.csv, --replace</w:t>
            </w:r>
          </w:p>
        </w:tc>
        <w:tc>
          <w:tcPr>
            <w:tcW w:w="3855" w:type="dxa"/>
            <w:shd w:val="clear" w:color="auto" w:fill="F4F7FC"/>
          </w:tcPr>
          <w:p>
            <w:pPr>
              <w:pStyle w:val="TableText"/>
            </w:pPr>
            <w:r>
              <w:rPr>
                <w:sz w:val="18"/>
                <w:szCs w:val="18"/>
              </w:rPr>
              <w:t xml:space="preserve">Affectation des utilisateurs aux projets (CSV utilisateur ; projet)</w:t>
            </w:r>
          </w:p>
        </w:tc>
      </w:tr>
      <w:tr>
        <w:trPr>
          <w:cantSplit/>
        </w:trPr>
        <w:tc>
          <w:tcPr>
            <w:tcW w:w="1927" w:type="dxa"/>
          </w:tcPr>
          <w:p>
            <w:pPr>
              <w:pStyle w:val="TableText"/>
            </w:pPr>
            <w:r>
              <w:rPr>
                <w:sz w:val="18"/>
                <w:szCs w:val="18"/>
              </w:rPr>
              <w:t xml:space="preserve">apply-products</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Réapplique les règles de produits à l'historique</w:t>
            </w:r>
          </w:p>
        </w:tc>
      </w:tr>
      <w:tr>
        <w:trPr>
          <w:cantSplit/>
        </w:trPr>
        <w:tc>
          <w:tcPr>
            <w:tcW w:w="1927" w:type="dxa"/>
            <w:shd w:val="clear" w:color="auto" w:fill="F4F7FC"/>
          </w:tcPr>
          <w:p>
            <w:pPr>
              <w:pStyle w:val="TableText"/>
            </w:pPr>
            <w:r>
              <w:rPr>
                <w:sz w:val="18"/>
                <w:szCs w:val="18"/>
              </w:rPr>
              <w:t xml:space="preserve">purge</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Applique la rétention</w:t>
            </w:r>
          </w:p>
        </w:tc>
      </w:tr>
      <w:tr>
        <w:trPr>
          <w:cantSplit/>
        </w:trPr>
        <w:tc>
          <w:tcPr>
            <w:tcW w:w="1927" w:type="dxa"/>
          </w:tcPr>
          <w:p>
            <w:pPr>
              <w:pStyle w:val="TableText"/>
            </w:pPr>
            <w:r>
              <w:rPr>
                <w:sz w:val="18"/>
                <w:szCs w:val="18"/>
              </w:rPr>
              <w:t xml:space="preserve">test-server</w:t>
            </w:r>
          </w:p>
        </w:tc>
        <w:tc>
          <w:tcPr>
            <w:tcW w:w="3855" w:type="dxa"/>
          </w:tcPr>
          <w:p>
            <w:pPr>
              <w:pStyle w:val="TableText"/>
            </w:pPr>
            <w:r>
              <w:rPr>
                <w:sz w:val="18"/>
                <w:szCs w:val="18"/>
              </w:rPr>
              <w:t xml:space="preserve">--server X</w:t>
            </w:r>
          </w:p>
        </w:tc>
        <w:tc>
          <w:tcPr>
            <w:tcW w:w="3855" w:type="dxa"/>
          </w:tcPr>
          <w:p>
            <w:pPr>
              <w:pStyle w:val="TableText"/>
            </w:pPr>
            <w:r>
              <w:rPr>
                <w:sz w:val="18"/>
                <w:szCs w:val="18"/>
              </w:rPr>
              <w:t xml:space="preserve">Interroge un serveur sans rien écrire</w:t>
            </w:r>
          </w:p>
        </w:tc>
      </w:tr>
      <w:tr>
        <w:trPr>
          <w:cantSplit/>
        </w:trPr>
        <w:tc>
          <w:tcPr>
            <w:tcW w:w="1927" w:type="dxa"/>
            <w:shd w:val="clear" w:color="auto" w:fill="F4F7FC"/>
          </w:tcPr>
          <w:p>
            <w:pPr>
              <w:pStyle w:val="TableText"/>
            </w:pPr>
            <w:r>
              <w:rPr>
                <w:sz w:val="18"/>
                <w:szCs w:val="18"/>
              </w:rPr>
              <w:t xml:space="preserve">parse-lmstat / parse-log</w:t>
            </w:r>
          </w:p>
        </w:tc>
        <w:tc>
          <w:tcPr>
            <w:tcW w:w="3855" w:type="dxa"/>
            <w:shd w:val="clear" w:color="auto" w:fill="F4F7FC"/>
          </w:tcPr>
          <w:p>
            <w:pPr>
              <w:pStyle w:val="TableText"/>
            </w:pPr>
            <w:r>
              <w:rPr>
                <w:sz w:val="18"/>
                <w:szCs w:val="18"/>
              </w:rPr>
              <w:t xml:space="preserve">fichier</w:t>
            </w:r>
          </w:p>
        </w:tc>
        <w:tc>
          <w:tcPr>
            <w:tcW w:w="3855" w:type="dxa"/>
            <w:shd w:val="clear" w:color="auto" w:fill="F4F7FC"/>
          </w:tcPr>
          <w:p>
            <w:pPr>
              <w:pStyle w:val="TableText"/>
            </w:pPr>
            <w:r>
              <w:rPr>
                <w:sz w:val="18"/>
                <w:szCs w:val="18"/>
              </w:rPr>
              <w:t xml:space="preserve">Diagnostic des parsers (sans base)</w:t>
            </w:r>
          </w:p>
        </w:tc>
      </w:tr>
      <w:tr>
        <w:trPr>
          <w:cantSplit/>
        </w:trPr>
        <w:tc>
          <w:tcPr>
            <w:tcW w:w="1927" w:type="dxa"/>
          </w:tcPr>
          <w:p>
            <w:pPr>
              <w:pStyle w:val="TableText"/>
            </w:pPr>
            <w:r>
              <w:rPr>
                <w:sz w:val="18"/>
                <w:szCs w:val="18"/>
              </w:rPr>
              <w:t xml:space="preserve">demo</w:t>
            </w:r>
          </w:p>
        </w:tc>
        <w:tc>
          <w:tcPr>
            <w:tcW w:w="3855" w:type="dxa"/>
          </w:tcPr>
          <w:p>
            <w:pPr>
              <w:pStyle w:val="TableText"/>
            </w:pPr>
            <w:r>
              <w:rPr>
                <w:sz w:val="18"/>
                <w:szCs w:val="18"/>
              </w:rPr>
              <w:t xml:space="preserve">--days, --output-dir, --connection-string</w:t>
            </w:r>
          </w:p>
        </w:tc>
        <w:tc>
          <w:tcPr>
            <w:tcW w:w="3855" w:type="dxa"/>
          </w:tcPr>
          <w:p>
            <w:pPr>
              <w:pStyle w:val="TableText"/>
            </w:pPr>
            <w:r>
              <w:rPr>
                <w:sz w:val="18"/>
                <w:szCs w:val="18"/>
              </w:rPr>
              <w:t xml:space="preserve">Environnement de démonstration simulé</w:t>
            </w:r>
          </w:p>
        </w:tc>
      </w:tr>
      <w:tr>
        <w:trPr>
          <w:cantSplit/>
        </w:trPr>
        <w:tc>
          <w:tcPr>
            <w:tcW w:w="1927" w:type="dxa"/>
            <w:shd w:val="clear" w:color="auto" w:fill="F4F7FC"/>
          </w:tcPr>
          <w:p>
            <w:pPr>
              <w:pStyle w:val="TableText"/>
            </w:pPr>
            <w:r>
              <w:rPr>
                <w:sz w:val="18"/>
                <w:szCs w:val="18"/>
              </w:rPr>
              <w:t xml:space="preserve">ddl</w:t>
            </w:r>
          </w:p>
        </w:tc>
        <w:tc>
          <w:tcPr>
            <w:tcW w:w="3855" w:type="dxa"/>
            <w:shd w:val="clear" w:color="auto" w:fill="F4F7FC"/>
          </w:tcPr>
          <w:p>
            <w:pPr>
              <w:pStyle w:val="TableText"/>
            </w:pPr>
            <w:r>
              <w:rPr>
                <w:sz w:val="18"/>
                <w:szCs w:val="18"/>
              </w:rPr>
              <w:t xml:space="preserve">--dialect mssql|sqlite</w:t>
            </w:r>
          </w:p>
        </w:tc>
        <w:tc>
          <w:tcPr>
            <w:tcW w:w="3855" w:type="dxa"/>
            <w:shd w:val="clear" w:color="auto" w:fill="F4F7FC"/>
          </w:tcPr>
          <w:p>
            <w:pPr>
              <w:pStyle w:val="TableText"/>
            </w:pPr>
            <w:r>
              <w:rPr>
                <w:sz w:val="18"/>
                <w:szCs w:val="18"/>
              </w:rPr>
              <w:t xml:space="preserve">Affiche le script SQL du schéma</w:t>
            </w:r>
          </w:p>
        </w:tc>
      </w:tr>
      <w:tr>
        <w:trPr>
          <w:cantSplit/>
        </w:trPr>
        <w:tc>
          <w:tcPr>
            <w:tcW w:w="1927" w:type="dxa"/>
          </w:tcPr>
          <w:p>
            <w:pPr>
              <w:pStyle w:val="TableText"/>
            </w:pPr>
            <w:r>
              <w:rPr>
                <w:sz w:val="18"/>
                <w:szCs w:val="18"/>
              </w:rPr>
              <w:t xml:space="preserve">setup</w:t>
            </w:r>
          </w:p>
        </w:tc>
        <w:tc>
          <w:tcPr>
            <w:tcW w:w="3855" w:type="dxa"/>
          </w:tcPr>
          <w:p>
            <w:pPr>
              <w:pStyle w:val="TableText"/>
            </w:pPr>
            <w:r>
              <w:rPr>
                <w:sz w:val="18"/>
                <w:szCs w:val="18"/>
              </w:rPr>
              <w:t xml:space="preserve">--simulate, --answers FICHIER.json, --port, --no-open</w:t>
            </w:r>
          </w:p>
        </w:tc>
        <w:tc>
          <w:tcPr>
            <w:tcW w:w="3855" w:type="dxa"/>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last-quarter</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68" w:name="_Toc00168"/>
      <w:r>
        <w:rPr/>
        <w:t xml:space="preserve">Annexe B. Exemple de configuration</w:t>
      </w:r>
      <w:bookmarkEnd w:id="168"/>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 et par projet.</w:t>
      </w:r>
    </w:p>
    <w:p>
      <w:pPr>
        <w:pStyle w:val="Code"/>
      </w:pPr>
      <w:r>
        <w:t xml:space="preserve"># renewal (optionnel) : échéance du contrat AAAA-MM-JJ, pour les licences permanentes sous maintenance</w:t>
      </w:r>
    </w:p>
    <w:p>
      <w:pPr>
        <w:pStyle w:val="Code"/>
      </w:pPr>
      <w:r>
        <w:t xml:space="preserve"># (rapport « Renouvellements » ; sinon la date d'expiration lue dans le fichier de licence est utilisée).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 Sites des postes (multi-sites) : motif fnmatch sur le nom du poste, la première règle gagne.</w:t>
      </w:r>
    </w:p>
    <w:p>
      <w:pPr>
        <w:pStyle w:val="Code"/>
      </w:pPr>
      <w:r>
        <w:t xml:space="preserve"># Filtre et répartition « Site » dans l'interface. Après modification : `heptagoneslm apply-products`.</w:t>
      </w:r>
    </w:p>
    <w:p>
      <w:pPr>
        <w:pStyle w:val="Code"/>
      </w:pPr>
      <w:r>
        <w:t xml:space="preserve"># sites:</w:t>
      </w:r>
    </w:p>
    <w:p>
      <w:pPr>
        <w:pStyle w:val="Code"/>
      </w:pPr>
      <w:r>
        <w:t xml:space="preserve">#   - { pattern: "par-*", site: "Paris" }</w:t>
      </w:r>
    </w:p>
    <w:p>
      <w:pPr>
        <w:pStyle w:val="Code"/>
      </w:pPr>
      <w:r>
        <w:t xml:space="preserve">#   - { pattern: "lyo-*", site: "Lyon" }</w:t>
      </w:r>
    </w:p>
    <w:p>
      <w:pPr>
        <w:pStyle w:val="Code"/>
      </w:pPr>
      <w:r>
        <w:t xml:space="preserve">#   - { pattern: "*",     site: "Autres sites" }</w:t>
      </w:r>
    </w:p>
    <w:p>
      <w:pPr>
        <w:pStyle w:val="Code"/>
      </w:pPr>
      <w:r>
        <w:t xml:space="preserve"> </w:t>
      </w:r>
    </w:p>
    <w:p>
      <w:pPr>
        <w:pStyle w:val="Code"/>
      </w:pPr>
      <w:r>
        <w:t xml:space="preserve"># Projets (refacturation par projet : Répartition / Croisement « par Projet »).</w:t>
      </w:r>
    </w:p>
    <w:p>
      <w:pPr>
        <w:pStyle w:val="Code"/>
      </w:pPr>
      <w:r>
        <w:t xml:space="preserve"># L'affectation importée en CSV (heptagoneslm import-projects, ou Administration › Projets) prime ;</w:t>
      </w:r>
    </w:p>
    <w:p>
      <w:pPr>
        <w:pStyle w:val="Code"/>
      </w:pPr>
      <w:r>
        <w:t xml:space="preserve"># sinon la première règle qui correspond : motifs sur le poste (hosts) ou l'utilisateur (users), service exact.</w:t>
      </w:r>
    </w:p>
    <w:p>
      <w:pPr>
        <w:pStyle w:val="Code"/>
      </w:pPr>
      <w:r>
        <w:t xml:space="preserve"># projects:</w:t>
      </w:r>
    </w:p>
    <w:p>
      <w:pPr>
        <w:pStyle w:val="Code"/>
      </w:pPr>
      <w:r>
        <w:t xml:space="preserve">#   - { project: "A12 Viaduc", hosts: ["CAO-A12-*"] }</w:t>
      </w:r>
    </w:p>
    <w:p>
      <w:pPr>
        <w:pStyle w:val="Code"/>
      </w:pPr>
      <w:r>
        <w:t xml:space="preserve">#   - { project: "Atelier",    departments: ["Production"]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 Rôles (docs/AUTHENTIFICATION.md § 2 bis) : sans cette section, tout utilisateur autorisé voit tout</w:t>
      </w:r>
    </w:p>
    <w:p>
      <w:pPr>
        <w:pStyle w:val="Code"/>
      </w:pPr>
      <w:r>
        <w:t xml:space="preserve">  # roles:</w:t>
      </w:r>
    </w:p>
    <w:p>
      <w:pPr>
        <w:pStyle w:val="Code"/>
      </w:pPr>
      <w:r>
        <w:t xml:space="preserve">  #   admins: ["ENTREPRISE\\GG_HeptagonesLM_Admins"]</w:t>
      </w:r>
    </w:p>
    <w:p>
      <w:pPr>
        <w:pStyle w:val="Code"/>
      </w:pPr>
      <w:r>
        <w:t xml:space="preserve">  #   readers: ["ENTREPRISE\\GG_HeptagonesLM_Lecteurs"]</w:t>
      </w:r>
    </w:p>
    <w:p>
      <w:pPr>
        <w:pStyle w:val="Code"/>
      </w:pPr>
      <w:r>
        <w:t xml:space="preserve">  #   departments:                              # responsables de service : leurs services uniquement</w:t>
      </w:r>
    </w:p>
    <w:p>
      <w:pPr>
        <w:pStyle w:val="Code"/>
      </w:pPr>
      <w:r>
        <w:t xml:space="preserve">  #     - group: "ENTREPRISE\\GG_Resp_Simulation"</w:t>
      </w:r>
    </w:p>
    <w:p>
      <w:pPr>
        <w:pStyle w:val="Code"/>
      </w:pPr>
      <w:r>
        <w:t xml:space="preserve">  #       departments: ["Simulation &amp; calcul"]</w:t>
      </w:r>
    </w:p>
    <w:p>
      <w:pPr>
        <w:pStyle w:val="Code"/>
      </w:pPr>
      <w:r>
        <w:t xml:space="preserve">  #     - user: chef.methodes</w:t>
      </w:r>
    </w:p>
    <w:p>
      <w:pPr>
        <w:pStyle w:val="Code"/>
      </w:pPr>
      <w:r>
        <w:t xml:space="preserve">  #       departments: ["Méthodes industrialisation"]</w:t>
      </w:r>
    </w:p>
    <w:p>
      <w:pPr>
        <w:pStyle w:val="Code"/>
      </w:pPr>
      <w:r>
        <w:t xml:space="preserve">  #       servers: [AUTODESK]                   # optionnel (ou products)</w:t>
      </w:r>
    </w:p>
    <w:p>
      <w:pPr>
        <w:pStyle w:val="Code"/>
      </w:pPr>
      <w:r>
        <w:t xml:space="preserve">  #   default: none                             # sans rôle : none (refusé) | reader</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last-quarter | last-7d | this-month | last-year</w:t>
      </w:r>
    </w:p>
    <w:p>
      <w:pPr>
        <w:pStyle w:val="Code"/>
      </w:pPr>
      <w:r>
        <w:t xml:space="preserve">#     - name: Achats             # rapport sur mesure : vues de l'interface, une feuille Excel par vue</w:t>
      </w:r>
    </w:p>
    <w:p>
      <w:pPr>
        <w:pStyle w:val="Code"/>
      </w:pPr>
      <w:r>
        <w:t xml:space="preserve">#       recipients: [achats@entreprise.local]</w:t>
      </w:r>
    </w:p>
    <w:p>
      <w:pPr>
        <w:pStyle w:val="Code"/>
      </w:pPr>
      <w:r>
        <w:t xml:space="preserve">#       period: last-quarter</w:t>
      </w:r>
    </w:p>
    <w:p>
      <w:pPr>
        <w:pStyle w:val="Code"/>
      </w:pPr>
      <w:r>
        <w:t xml:space="preserve">#       views: [forecast, renewal, optimization, breakdown]</w:t>
      </w:r>
    </w:p>
    <w:p>
      <w:pPr>
        <w:pStyle w:val="Code"/>
      </w:pPr>
      <w:r>
        <w:t xml:space="preserve">#       dimension: project       # axe de la Répartition / du Croisement (user, department, project, site…)</w:t>
      </w:r>
    </w:p>
    <w:p>
      <w:pPr>
        <w:pStyle w:val="Code"/>
      </w:pPr>
      <w:r>
        <w:t xml:space="preserve">#       # users / departments / sites / servers / products : filtres de l'abonnement</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 ---------------------------------------------------------------------------</w:t>
      </w:r>
    </w:p>
    <w:p>
      <w:pPr>
        <w:pStyle w:val="Code"/>
      </w:pPr>
      <w:r>
        <w:t xml:space="preserve"># Alertes immédiates : e-mail et / ou tickets ITSM, évaluées après chaque collecte</w:t>
      </w:r>
    </w:p>
    <w:p>
      <w:pPr>
        <w:pStyle w:val="Code"/>
      </w:pPr>
      <w:r>
        <w:t xml:space="preserve"># (ou : heptagoneslm check-alerts ; test des connecteurs : heptagoneslm test-itsm)</w:t>
      </w:r>
    </w:p>
    <w:p>
      <w:pPr>
        <w:pStyle w:val="Code"/>
      </w:pPr>
      <w:r>
        <w:t xml:space="preserve"># ---------------------------------------------------------------------------</w:t>
      </w:r>
    </w:p>
    <w:p>
      <w:pPr>
        <w:pStyle w:val="Code"/>
      </w:pPr>
      <w:r>
        <w:t xml:space="preserve"># alerts:</w:t>
      </w:r>
    </w:p>
    <w:p>
      <w:pPr>
        <w:pStyle w:val="Code"/>
      </w:pPr>
      <w:r>
        <w:t xml:space="preserve">#   recipients: [exploitation@entreprise.local]   # e-mail (nécessite email.smtp_host) ; vide = pas d'e-mail</w:t>
      </w:r>
    </w:p>
    <w:p>
      <w:pPr>
        <w:pStyle w:val="Code"/>
      </w:pPr>
      <w:r>
        <w:t xml:space="preserve">#   types: [collection, denial, saturation, expiry]   # défaut : toutes</w:t>
      </w:r>
    </w:p>
    <w:p>
      <w:pPr>
        <w:pStyle w:val="Code"/>
      </w:pPr>
      <w:r>
        <w:t xml:space="preserve">#   # collection : collecte en échec / arrêtée (+ « rétablie ») ; denial : nouveaux refus ;</w:t>
      </w:r>
    </w:p>
    <w:p>
      <w:pPr>
        <w:pStyle w:val="Code"/>
      </w:pPr>
      <w:r>
        <w:t xml:space="preserve">#   # saturation : plus aucun jeton disponible ; expiry : licence qui expire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 (et commentaire sur le ticket)</w:t>
      </w:r>
    </w:p>
    <w:p>
      <w:pPr>
        <w:pStyle w:val="Code"/>
      </w:pPr>
      <w:r>
        <w:t xml:space="preserve">#   min_denials: 1               # refus minimum pour alerter sur un produit</w:t>
      </w:r>
    </w:p>
    <w:p>
      <w:pPr>
        <w:pStyle w:val="Code"/>
      </w:pPr>
      <w:r>
        <w:t xml:space="preserve">#</w:t>
      </w:r>
    </w:p>
    <w:p>
      <w:pPr>
        <w:pStyle w:val="Code"/>
      </w:pPr>
      <w:r>
        <w:t xml:space="preserve">#   # Tickets : ouverts à l'apparition, commentés aux rappels, résolus quand la condition disparaît.</w:t>
      </w:r>
    </w:p>
    <w:p>
      <w:pPr>
        <w:pStyle w:val="Code"/>
      </w:pPr>
      <w:r>
        <w:t xml:space="preserve">#   # Communs : name, types, min_severity (info | warning | serious | critical, défaut serious),</w:t>
      </w:r>
    </w:p>
    <w:p>
      <w:pPr>
        <w:pStyle w:val="Code"/>
      </w:pPr>
      <w:r>
        <w:t xml:space="preserve">#   #           timeout_s, verify_tls, ca_file (AC interne), fields (champs supplémentaires à la création)</w:t>
      </w:r>
    </w:p>
    <w:p>
      <w:pPr>
        <w:pStyle w:val="Code"/>
      </w:pPr>
      <w:r>
        <w:t xml:space="preserve">#   itsm:</w:t>
      </w:r>
    </w:p>
    <w:p>
      <w:pPr>
        <w:pStyle w:val="Code"/>
      </w:pPr>
      <w:r>
        <w:t xml:space="preserve">#     - type: servicenow</w:t>
      </w:r>
    </w:p>
    <w:p>
      <w:pPr>
        <w:pStyle w:val="Code"/>
      </w:pPr>
      <w:r>
        <w:t xml:space="preserve">#       url: https://entreprise.service-now.com</w:t>
      </w:r>
    </w:p>
    <w:p>
      <w:pPr>
        <w:pStyle w:val="Code"/>
      </w:pPr>
      <w:r>
        <w:t xml:space="preserve">#       username: svc_heptagoneslm</w:t>
      </w:r>
    </w:p>
    <w:p>
      <w:pPr>
        <w:pStyle w:val="Code"/>
      </w:pPr>
      <w:r>
        <w:t xml:space="preserve">#       password: ${HEPTAGONESLM_ITSM_PASSWORD}</w:t>
      </w:r>
    </w:p>
    <w:p>
      <w:pPr>
        <w:pStyle w:val="Code"/>
      </w:pPr>
      <w:r>
        <w:t xml:space="preserve">#       assignment_group: "Support licences"       # optionnel</w:t>
      </w:r>
    </w:p>
    <w:p>
      <w:pPr>
        <w:pStyle w:val="Code"/>
      </w:pPr>
      <w:r>
        <w:t xml:space="preserve">#       caller: svc_heptagoneslm                   # optionnel</w:t>
      </w:r>
    </w:p>
    <w:p>
      <w:pPr>
        <w:pStyle w:val="Code"/>
      </w:pPr>
      <w:r>
        <w:t xml:space="preserve">#     - type: jira</w:t>
      </w:r>
    </w:p>
    <w:p>
      <w:pPr>
        <w:pStyle w:val="Code"/>
      </w:pPr>
      <w:r>
        <w:t xml:space="preserve">#       url: https://entreprise.atlassian.net      # ou Jira Data Center</w:t>
      </w:r>
    </w:p>
    <w:p>
      <w:pPr>
        <w:pStyle w:val="Code"/>
      </w:pPr>
      <w:r>
        <w:t xml:space="preserve">#       username: svc-heptagoneslm@entreprise.fr   # Cloud : e-mail + jeton d'API ; Data Center : jeton seul (PAT)</w:t>
      </w:r>
    </w:p>
    <w:p>
      <w:pPr>
        <w:pStyle w:val="Code"/>
      </w:pPr>
      <w:r>
        <w:t xml:space="preserve">#       token: ${HEPTAGONESLM_JIRA_TOKEN}</w:t>
      </w:r>
    </w:p>
    <w:p>
      <w:pPr>
        <w:pStyle w:val="Code"/>
      </w:pPr>
      <w:r>
        <w:t xml:space="preserve">#       project: LIC</w:t>
      </w:r>
    </w:p>
    <w:p>
      <w:pPr>
        <w:pStyle w:val="Code"/>
      </w:pPr>
      <w:r>
        <w:t xml:space="preserve">#       issue_type: Incident</w:t>
      </w:r>
    </w:p>
    <w:p>
      <w:pPr>
        <w:pStyle w:val="Code"/>
      </w:pPr>
      <w:r>
        <w:t xml:space="preserve">#       # resolve_transitions: ["Done", "Terminé"]  # transition utilisée pour résoudre</w:t>
      </w:r>
    </w:p>
    <w:p>
      <w:pPr>
        <w:pStyle w:val="Code"/>
      </w:pPr>
      <w:r>
        <w:t xml:space="preserve">#     - type: glpi</w:t>
      </w:r>
    </w:p>
    <w:p>
      <w:pPr>
        <w:pStyle w:val="Code"/>
      </w:pPr>
      <w:r>
        <w:t xml:space="preserve">#       url: https://glpi.entreprise.local/apirest.php</w:t>
      </w:r>
    </w:p>
    <w:p>
      <w:pPr>
        <w:pStyle w:val="Code"/>
      </w:pPr>
      <w:r>
        <w:t xml:space="preserve">#       app_token: ${HEPTAGONESLM_GLPI_APP_TOKEN}</w:t>
      </w:r>
    </w:p>
    <w:p>
      <w:pPr>
        <w:pStyle w:val="Code"/>
      </w:pPr>
      <w:r>
        <w:t xml:space="preserve">#       user_token: ${HEPTAGONESLM_GLPI_USER_TOKEN}</w:t>
      </w:r>
    </w:p>
    <w:p>
      <w:pPr>
        <w:pStyle w:val="Code"/>
      </w:pPr>
      <w:r>
        <w:t xml:space="preserve">#       entity_id: 0                               # optionnel</w:t>
      </w:r>
    </w:p>
    <w:p>
      <w:pPr>
        <w:pStyle w:val="Code"/>
      </w:pPr>
      <w:r>
        <w:t xml:space="preserve">#       category_id: 12                            # optionnel</w:t>
      </w:r>
    </w:p>
    <w:p>
      <w:pPr>
        <w:pStyle w:val="Code"/>
      </w:pPr>
      <w:r>
        <w:t xml:space="preserve">#     - type: webhook                              # Teams, Slack ou tout outil acceptant du JSON</w:t>
      </w:r>
    </w:p>
    <w:p>
      <w:pPr>
        <w:pStyle w:val="Code"/>
      </w:pPr>
      <w:r>
        <w:t xml:space="preserve">#       name: teams-exploitation</w:t>
      </w:r>
    </w:p>
    <w:p>
      <w:pPr>
        <w:pStyle w:val="Code"/>
      </w:pPr>
      <w:r>
        <w:t xml:space="preserve">#       url: ${HEPTAGONESLM_TEAMS_WEBHOOK}</w:t>
      </w:r>
    </w:p>
    <w:p>
      <w:pPr>
        <w:pStyle w:val="Code"/>
      </w:pPr>
      <w:r>
        <w:t xml:space="preserve">#       format: teams                              # json | teams | slack</w:t>
      </w:r>
    </w:p>
    <w:p>
      <w:pPr>
        <w:pStyle w:val="Code"/>
      </w:pPr>
      <w:r>
        <w:t xml:space="preserve">#       min_severity: warning</w:t>
      </w:r>
    </w:p>
    <w:p>
      <w:pPr>
        <w:pStyle w:val="Code"/>
      </w:pPr>
      <w:r>
        <w:t xml:space="preserve"> </w:t>
      </w:r>
    </w:p>
    <w:p>
      <w:pPr>
        <w:pStyle w:val="Code"/>
      </w:pPr>
      <w:r>
        <w:t xml:space="preserve"># Licences Autodesk « utilisateur nommé » (abonnements sans serveur de licences).</w:t>
      </w:r>
    </w:p>
    <w:p>
      <w:pPr>
        <w:pStyle w:val="Code"/>
      </w:pPr>
      <w:r>
        <w:t xml:space="preserve"># Exporter le rapport depuis Autodesk Account : manage.autodesk.com › Reporting › Usage report › Export</w:t>
      </w:r>
    </w:p>
    <w:p>
      <w:pPr>
        <w:pStyle w:val="Code"/>
      </w:pPr>
      <w:r>
        <w:t xml:space="preserve"># (CSV ou Excel), puis le déposer dans import_dir (importé à la collecte suivante) ou lancer</w:t>
      </w:r>
    </w:p>
    <w:p>
      <w:pPr>
        <w:pStyle w:val="Code"/>
      </w:pPr>
      <w:r>
        <w:t xml:space="preserve"># « heptagoneslm import-autodesk export.csv ».</w:t>
      </w:r>
    </w:p>
    <w:p>
      <w:pPr>
        <w:pStyle w:val="Code"/>
      </w:pPr>
      <w:r>
        <w:t xml:space="preserve"># autodesk:</w:t>
      </w:r>
    </w:p>
    <w:p>
      <w:pPr>
        <w:pStyle w:val="Code"/>
      </w:pPr>
      <w:r>
        <w:t xml:space="preserve">#   import_dir: C:\HeptagonesLM\autodesk</w:t>
      </w:r>
    </w:p>
    <w:p>
      <w:pPr>
        <w:pStyle w:val="Code"/>
      </w:pPr>
      <w:r>
        <w:t xml:space="preserve">#   inactive_days: 30                              # inactive au-delà de 30 jours sans lancement</w:t>
      </w:r>
    </w:p>
    <w:p>
      <w:pPr>
        <w:pStyle w:val="Code"/>
      </w:pPr>
      <w:r>
        <w:t xml:space="preserve">#   annual_costs:                                  # coût annuel d'une licence (motif * accepté)</w:t>
      </w:r>
    </w:p>
    <w:p>
      <w:pPr>
        <w:pStyle w:val="Code"/>
      </w:pPr>
      <w:r>
        <w:t xml:space="preserve">#     "AutoCAD": 2300</w:t>
      </w:r>
    </w:p>
    <w:p>
      <w:pPr>
        <w:pStyle w:val="Code"/>
      </w:pPr>
      <w:r>
        <w:t xml:space="preserve">#     "AutoCAD LT": 560</w:t>
      </w:r>
    </w:p>
    <w:p>
      <w:pPr>
        <w:pStyle w:val="Code"/>
      </w:pPr>
      <w:r>
        <w:t xml:space="preserve">#     "Revit": 3100</w:t>
      </w:r>
    </w:p>
    <w:p>
      <w:pPr>
        <w:pStyle w:val="Code"/>
      </w:pPr>
      <w:r>
        <w:t xml:space="preserve">#     "Product Design*": 3500</w:t>
      </w:r>
    </w:p>
    <w:p>
      <w:pPr>
        <w:pStyle w:val="Code"/>
      </w:pPr>
      <w:r>
        <w:t xml:space="preserve">#   renewals:                                      # fin d'abonnement (rapport « Renouvellements »)</w:t>
      </w:r>
    </w:p>
    <w:p>
      <w:pPr>
        <w:pStyle w:val="Code"/>
      </w:pPr>
      <w:r>
        <w:t xml:space="preserve">#     "Product Design*": 2027-03-31</w:t>
      </w:r>
    </w:p>
    <w:p>
      <w:pPr>
        <w:pStyle w:val="Code"/>
      </w:pPr>
      <w:r>
        <w:t xml:space="preserve">#   api:                                           # API Autodesk Business Success Plan (docs/AUTODESK_API.md)</w:t>
      </w:r>
    </w:p>
    <w:p>
      <w:pPr>
        <w:pStyle w:val="Code"/>
      </w:pPr>
      <w:r>
        <w:t xml:space="preserve">#     client_id: VOTRE_CLIENT_ID                    # application aps.autodesk.com, URL de rappel :</w:t>
      </w:r>
    </w:p>
    <w:p>
      <w:pPr>
        <w:pStyle w:val="Code"/>
      </w:pPr>
      <w:r>
        <w:t xml:space="preserve">#                                                  #   http://localhost:8770/autodesk/callback</w:t>
      </w:r>
    </w:p>
    <w:p>
      <w:pPr>
        <w:pStyle w:val="Code"/>
      </w:pPr>
      <w:r>
        <w:t xml:space="preserve">#     # client_secret: dpapi:C:/HeptagonesLM/secrets/autodesk_client_secret.dpapi   # « Traditional Web App »</w:t>
      </w:r>
    </w:p>
    <w:p>
      <w:pPr>
        <w:pStyle w:val="Code"/>
      </w:pPr>
      <w:r>
        <w:t xml:space="preserve">#     # context_id: ÉQUIPE                         # si le compte administre plusieurs équipes</w:t>
      </w:r>
    </w:p>
    <w:p>
      <w:pPr>
        <w:pStyle w:val="Code"/>
      </w:pPr>
      <w:r>
        <w:t xml:space="preserve">#     lookback_days: 90</w:t>
      </w:r>
    </w:p>
    <w:p>
      <w:pPr>
        <w:pStyle w:val="Code"/>
      </w:pPr>
      <w:r>
        <w:t xml:space="preserve">#     sync_hours: 24                               # synchronisation par la collecte, au plus toutes les 24 h</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69" w:name="_Toc00169"/>
      <w:r>
        <w:rPr/>
        <w:t xml:space="preserve">Annexe C. Requêtes SQL utiles</w:t>
      </w:r>
      <w:bookmarkEnd w:id="169"/>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70" w:name="_Toc00170"/>
      <w:r>
        <w:rPr/>
        <w:t xml:space="preserve">Annexe D. Fiche de contrôle quotidien</w:t>
      </w:r>
      <w:bookmarkEnd w:id="170"/>
    </w:p>
    <w:p>
      <w:pPr>
        <w:pStyle w:val="Caption"/>
        <w:keepNext/>
      </w:pPr>
      <w:r>
        <w:rPr/>
        <w:t xml:space="preserve">Tableau 40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1.12</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1"/>
    <w:lvlOverride w:ilvl="0">
      <w:startOverride w:val="1"/>
    </w:lvlOverride>
  </w:num>
  <w:num w:numId="9">
    <w:abstractNumId w:val="2"/>
    <w:lvlOverride w:ilvl="0">
      <w:startOverride w:val="1"/>
    </w:lvlOverride>
  </w:num>
  <w:num w:numId="10">
    <w:abstractNumId w:val="1"/>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 Id="rIdImg40" Type="http://schemas.openxmlformats.org/officeDocument/2006/relationships/image" Target="media/image40.png"/><Relationship Id="rIdImg41" Type="http://schemas.openxmlformats.org/officeDocument/2006/relationships/image" Target="media/image41.png"/><Relationship Id="rIdImg42" Type="http://schemas.openxmlformats.org/officeDocument/2006/relationships/image" Target="media/image42.png"/><Relationship Id="rIdImg43" Type="http://schemas.openxmlformats.org/officeDocument/2006/relationships/image" Target="media/image43.png"/><Relationship Id="rIdImg44" Type="http://schemas.openxmlformats.org/officeDocument/2006/relationships/image" Target="media/image44.png"/><Relationship Id="rIdImg45" Type="http://schemas.openxmlformats.org/officeDocument/2006/relationships/image" Target="media/image45.png"/><Relationship Id="rIdImg46" Type="http://schemas.openxmlformats.org/officeDocument/2006/relationships/image" Target="media/image46.png"/><Relationship Id="rIdImg47" Type="http://schemas.openxmlformats.org/officeDocument/2006/relationships/image" Target="media/image47.png"/><Relationship Id="rIdImg48" Type="http://schemas.openxmlformats.org/officeDocument/2006/relationships/image" Target="media/image48.png"/><Relationship Id="rIdImg49" Type="http://schemas.openxmlformats.org/officeDocument/2006/relationships/image" Target="media/image49.png"/><Relationship Id="rIdImg50" Type="http://schemas.openxmlformats.org/officeDocument/2006/relationships/image" Target="media/image50.png"/><Relationship Id="rIdImg51" Type="http://schemas.openxmlformats.org/officeDocument/2006/relationships/image" Target="media/image51.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2026-10-05T19:19:03Z</dcterms:created>
  <dcterms:modified xsi:type="dcterms:W3CDTF">2026-10-05T19:19:03Z</dcterms:modified>
</cp:coreProperties>
</file>