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 et RLM</w:t>
            </w:r>
          </w:p>
          <w:p>
            <w:pPr/>
            <w:r>
              <w:rPr>
                <w:color w:val="FFFFFF"/>
                <w:sz w:val="20"/>
                <w:szCs w:val="20"/>
              </w:rPr>
              <w:t xml:space="preserve">Version du document 1.7  ·  Application HeptagonesLM 26.3.0  ·  29/09/2026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1.7 du 29/09/2026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26.3.0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github.com/Valou94460/HEPTAGONES-LM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28/09/2026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28/09/2026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r>
        <w:trPr>
          <w:cantSplit/>
        </w:trPr>
        <w:tc>
          <w:tcPr>
            <w:tcW w:w="1070" w:type="dxa"/>
          </w:tcPr>
          <w:p>
            <w:pPr>
              <w:pStyle w:val="TableText"/>
            </w:pPr>
            <w:r>
              <w:rPr>
                <w:sz w:val="18"/>
                <w:szCs w:val="18"/>
              </w:rPr>
              <w:t xml:space="preserve">1.6</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26.2.0 : alertes immédiates par e-mail (§ 6.2, 8.12, 11), collecte des serveurs RLM (§ 2.3, 5.1, 6.2).</w:t>
            </w:r>
          </w:p>
        </w:tc>
      </w:tr>
      <w:tr>
        <w:trPr>
          <w:cantSplit/>
        </w:trPr>
        <w:tc>
          <w:tcPr>
            <w:tcW w:w="1070" w:type="dxa"/>
            <w:shd w:val="clear" w:color="auto" w:fill="F4F7FC"/>
          </w:tcPr>
          <w:p>
            <w:pPr>
              <w:pStyle w:val="TableText"/>
            </w:pPr>
            <w:r>
              <w:rPr>
                <w:sz w:val="18"/>
                <w:szCs w:val="18"/>
              </w:rPr>
              <w:t xml:space="preserve">1.7</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26.3.0 : tickets ITSM ServiceNow, Jira, GLPI et webhook (§ 6.2, 8.12), rôles par service (§ 6.2, 8.13), emprunts, réservations, multi-sites et licences inutilisées (§ 8.14).</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5" w:history="1">
        <w:r>
          <w:t xml:space="preserve">Authentification unique : SPN, zone Intranet et test depuis un poste</w:t>
        </w:r>
        <w:r>
          <w:tab/>
        </w:r>
        <w:r>
          <w:t>21</w:t>
        </w:r>
      </w:hyperlink>
    </w:p>
    <w:p>
      <w:pPr>
        <w:pStyle w:val="TOC3"/>
      </w:pPr>
      <w:hyperlink w:anchor="_Toc00037" w:history="1">
        <w:r>
          <w:t xml:space="preserve">Installation silencieuse et serveur hors ligne</w:t>
        </w:r>
        <w:r>
          <w:tab/>
        </w:r>
        <w:r>
          <w:t>22</w:t>
        </w:r>
      </w:hyperlink>
    </w:p>
    <w:p>
      <w:pPr>
        <w:pStyle w:val="TOC2"/>
      </w:pPr>
      <w:hyperlink w:anchor="_Toc00038" w:history="1">
        <w:r>
          <w:t xml:space="preserve">5.2 Installation manuelle</w:t>
        </w:r>
        <w:r>
          <w:tab/>
        </w:r>
        <w:r>
          <w:t>22</w:t>
        </w:r>
      </w:hyperlink>
    </w:p>
    <w:p>
      <w:pPr>
        <w:pStyle w:val="TOC3"/>
      </w:pPr>
      <w:hyperlink w:anchor="_Toc00039" w:history="1">
        <w:r>
          <w:t xml:space="preserve">5.2.1 Création de la base (DBA)</w:t>
        </w:r>
        <w:r>
          <w:tab/>
        </w:r>
        <w:r>
          <w:t>23</w:t>
        </w:r>
      </w:hyperlink>
    </w:p>
    <w:p>
      <w:pPr>
        <w:pStyle w:val="TOC3"/>
      </w:pPr>
      <w:hyperlink w:anchor="_Toc00040" w:history="1">
        <w:r>
          <w:t xml:space="preserve">5.2.2 Déploiement des binaires</w:t>
        </w:r>
        <w:r>
          <w:tab/>
        </w:r>
        <w:r>
          <w:t>23</w:t>
        </w:r>
      </w:hyperlink>
    </w:p>
    <w:p>
      <w:pPr>
        <w:pStyle w:val="TOC3"/>
      </w:pPr>
      <w:hyperlink w:anchor="_Toc00041" w:history="1">
        <w:r>
          <w:t xml:space="preserve">5.2.3 Configuration</w:t>
        </w:r>
        <w:r>
          <w:tab/>
        </w:r>
        <w:r>
          <w:t>23</w:t>
        </w:r>
      </w:hyperlink>
    </w:p>
    <w:p>
      <w:pPr>
        <w:pStyle w:val="TOC3"/>
      </w:pPr>
      <w:hyperlink w:anchor="_Toc00042" w:history="1">
        <w:r>
          <w:t xml:space="preserve">5.2.4 Initialisation du schéma</w:t>
        </w:r>
        <w:r>
          <w:tab/>
        </w:r>
        <w:r>
          <w:t>23</w:t>
        </w:r>
      </w:hyperlink>
    </w:p>
    <w:p>
      <w:pPr>
        <w:pStyle w:val="TOC3"/>
      </w:pPr>
      <w:hyperlink w:anchor="_Toc00043" w:history="1">
        <w:r>
          <w:t xml:space="preserve">5.2.5 Vérification des serveurs de licences</w:t>
        </w:r>
        <w:r>
          <w:tab/>
        </w:r>
        <w:r>
          <w:t>23</w:t>
        </w:r>
      </w:hyperlink>
    </w:p>
    <w:p>
      <w:pPr>
        <w:pStyle w:val="TOC3"/>
      </w:pPr>
      <w:hyperlink w:anchor="_Toc00044" w:history="1">
        <w:r>
          <w:t xml:space="preserve">5.2.6 Planification des tâches</w:t>
        </w:r>
        <w:r>
          <w:tab/>
        </w:r>
        <w:r>
          <w:t>23</w:t>
        </w:r>
      </w:hyperlink>
    </w:p>
    <w:p>
      <w:pPr>
        <w:pStyle w:val="TOC3"/>
      </w:pPr>
      <w:hyperlink w:anchor="_Toc00045" w:history="1">
        <w:r>
          <w:t xml:space="preserve">5.2.7 Référentiel utilisateurs</w:t>
        </w:r>
        <w:r>
          <w:tab/>
        </w:r>
        <w:r>
          <w:t>24</w:t>
        </w:r>
      </w:hyperlink>
    </w:p>
    <w:p>
      <w:pPr>
        <w:pStyle w:val="TOC3"/>
      </w:pPr>
      <w:hyperlink w:anchor="_Toc00046" w:history="1">
        <w:r>
          <w:t xml:space="preserve">5.2.8 Reprise d'historique (option)</w:t>
        </w:r>
        <w:r>
          <w:tab/>
        </w:r>
        <w:r>
          <w:t>24</w:t>
        </w:r>
      </w:hyperlink>
    </w:p>
    <w:p>
      <w:pPr>
        <w:pStyle w:val="TOC3"/>
      </w:pPr>
      <w:hyperlink w:anchor="_Toc00047" w:history="1">
        <w:r>
          <w:t xml:space="preserve">5.2.9 Ouverture de l'interface sur le réseau</w:t>
        </w:r>
        <w:r>
          <w:tab/>
        </w:r>
        <w:r>
          <w:t>24</w:t>
        </w:r>
      </w:hyperlink>
    </w:p>
    <w:p>
      <w:pPr>
        <w:pStyle w:val="TOC2"/>
      </w:pPr>
      <w:hyperlink w:anchor="_Toc00048" w:history="1">
        <w:r>
          <w:t xml:space="preserve">5.3 Recette de mise en service</w:t>
        </w:r>
        <w:r>
          <w:tab/>
        </w:r>
        <w:r>
          <w:t>24</w:t>
        </w:r>
      </w:hyperlink>
    </w:p>
    <w:p>
      <w:pPr>
        <w:pStyle w:val="TOC1"/>
      </w:pPr>
      <w:hyperlink w:anchor="_Toc00049" w:history="1">
        <w:r>
          <w:t xml:space="preserve">6. Configuration de référence</w:t>
        </w:r>
        <w:r>
          <w:tab/>
        </w:r>
        <w:r>
          <w:t>26</w:t>
        </w:r>
      </w:hyperlink>
    </w:p>
    <w:p>
      <w:pPr>
        <w:pStyle w:val="TOC2"/>
      </w:pPr>
      <w:hyperlink w:anchor="_Toc00050" w:history="1">
        <w:r>
          <w:t xml:space="preserve">6.1 Sections du fichier</w:t>
        </w:r>
        <w:r>
          <w:tab/>
        </w:r>
        <w:r>
          <w:t>26</w:t>
        </w:r>
      </w:hyperlink>
    </w:p>
    <w:p>
      <w:pPr>
        <w:pStyle w:val="TOC2"/>
      </w:pPr>
      <w:hyperlink w:anchor="_Toc00051" w:history="1">
        <w:r>
          <w:t xml:space="preserve">6.2 Paramètres détaillés</w:t>
        </w:r>
        <w:r>
          <w:tab/>
        </w:r>
        <w:r>
          <w:t>26</w:t>
        </w:r>
      </w:hyperlink>
    </w:p>
    <w:p>
      <w:pPr>
        <w:pStyle w:val="TOC3"/>
      </w:pPr>
      <w:hyperlink w:anchor="_Toc00052" w:history="1">
        <w:r>
          <w:t xml:space="preserve">database, lmutil_path, logging</w:t>
        </w:r>
        <w:r>
          <w:tab/>
        </w:r>
        <w:r>
          <w:t>26</w:t>
        </w:r>
      </w:hyperlink>
    </w:p>
    <w:p>
      <w:pPr>
        <w:pStyle w:val="TOC3"/>
      </w:pPr>
      <w:hyperlink w:anchor="_Toc00053" w:history="1">
        <w:r>
          <w:t xml:space="preserve">servers (un bloc par serveur de licences)</w:t>
        </w:r>
        <w:r>
          <w:tab/>
        </w:r>
        <w:r>
          <w:t>26</w:t>
        </w:r>
      </w:hyperlink>
    </w:p>
    <w:p>
      <w:pPr>
        <w:pStyle w:val="TOC3"/>
      </w:pPr>
      <w:hyperlink w:anchor="_Toc00054" w:history="1">
        <w:r>
          <w:t xml:space="preserve">products (règles de correspondance)</w:t>
        </w:r>
        <w:r>
          <w:tab/>
        </w:r>
        <w:r>
          <w:t>27</w:t>
        </w:r>
      </w:hyperlink>
    </w:p>
    <w:p>
      <w:pPr>
        <w:pStyle w:val="TOC3"/>
      </w:pPr>
      <w:hyperlink w:anchor="_Toc00055" w:history="1">
        <w:r>
          <w:t xml:space="preserve">reporting</w:t>
        </w:r>
        <w:r>
          <w:tab/>
        </w:r>
        <w:r>
          <w:t>27</w:t>
        </w:r>
      </w:hyperlink>
    </w:p>
    <w:p>
      <w:pPr>
        <w:pStyle w:val="TOC3"/>
      </w:pPr>
      <w:hyperlink w:anchor="_Toc00056" w:history="1">
        <w:r>
          <w:t xml:space="preserve">web et web.auth</w:t>
        </w:r>
        <w:r>
          <w:tab/>
        </w:r>
        <w:r>
          <w:t>27</w:t>
        </w:r>
      </w:hyperlink>
    </w:p>
    <w:p>
      <w:pPr>
        <w:pStyle w:val="TOC3"/>
      </w:pPr>
      <w:hyperlink w:anchor="_Toc00057" w:history="1">
        <w:r>
          <w:t xml:space="preserve">email</w:t>
        </w:r>
        <w:r>
          <w:tab/>
        </w:r>
        <w:r>
          <w:t>28</w:t>
        </w:r>
      </w:hyperlink>
    </w:p>
    <w:p>
      <w:pPr>
        <w:pStyle w:val="TOC3"/>
      </w:pPr>
      <w:hyperlink w:anchor="_Toc00058" w:history="1">
        <w:r>
          <w:t xml:space="preserve">alerts (alertes immédiates et tickets ITSM)</w:t>
        </w:r>
        <w:r>
          <w:tab/>
        </w:r>
        <w:r>
          <w:t>28</w:t>
        </w:r>
      </w:hyperlink>
    </w:p>
    <w:p>
      <w:pPr>
        <w:pStyle w:val="TOC3"/>
      </w:pPr>
      <w:hyperlink w:anchor="_Toc00059" w:history="1">
        <w:r>
          <w:t xml:space="preserve">sites</w:t>
        </w:r>
        <w:r>
          <w:tab/>
        </w:r>
        <w:r>
          <w:t>29</w:t>
        </w:r>
      </w:hyperlink>
    </w:p>
    <w:p>
      <w:pPr>
        <w:pStyle w:val="TOC3"/>
      </w:pPr>
      <w:hyperlink w:anchor="_Toc00060" w:history="1">
        <w:r>
          <w:t xml:space="preserve">retention</w:t>
        </w:r>
        <w:r>
          <w:tab/>
        </w:r>
        <w:r>
          <w:t>29</w:t>
        </w:r>
      </w:hyperlink>
    </w:p>
    <w:p>
      <w:pPr>
        <w:pStyle w:val="TOC2"/>
      </w:pPr>
      <w:hyperlink w:anchor="_Toc00061" w:history="1">
        <w:r>
          <w:t xml:space="preserve">6.3 Procédure de modification de la configuration</w:t>
        </w:r>
        <w:r>
          <w:tab/>
        </w:r>
        <w:r>
          <w:t>29</w:t>
        </w:r>
      </w:hyperlink>
    </w:p>
    <w:p>
      <w:pPr>
        <w:pStyle w:val="TOC1"/>
      </w:pPr>
      <w:hyperlink w:anchor="_Toc00062" w:history="1">
        <w:r>
          <w:t xml:space="preserve">7. Exploitation courante</w:t>
        </w:r>
        <w:r>
          <w:tab/>
        </w:r>
        <w:r>
          <w:t>30</w:t>
        </w:r>
      </w:hyperlink>
    </w:p>
    <w:p>
      <w:pPr>
        <w:pStyle w:val="TOC2"/>
      </w:pPr>
      <w:hyperlink w:anchor="_Toc00063" w:history="1">
        <w:r>
          <w:t xml:space="preserve">7.1 Ordonnancement</w:t>
        </w:r>
        <w:r>
          <w:tab/>
        </w:r>
        <w:r>
          <w:t>30</w:t>
        </w:r>
      </w:hyperlink>
    </w:p>
    <w:p>
      <w:pPr>
        <w:pStyle w:val="TOC2"/>
      </w:pPr>
      <w:hyperlink w:anchor="_Toc00064" w:history="1">
        <w:r>
          <w:t xml:space="preserve">7.2 Démarrage et arrêt</w:t>
        </w:r>
        <w:r>
          <w:tab/>
        </w:r>
        <w:r>
          <w:t>30</w:t>
        </w:r>
      </w:hyperlink>
    </w:p>
    <w:p>
      <w:pPr>
        <w:pStyle w:val="TOC2"/>
      </w:pPr>
      <w:hyperlink w:anchor="_Toc00065" w:history="1">
        <w:r>
          <w:t xml:space="preserve">7.3 Contrôles quotidiens (N1, 5 minutes)</w:t>
        </w:r>
        <w:r>
          <w:tab/>
        </w:r>
        <w:r>
          <w:t>30</w:t>
        </w:r>
      </w:hyperlink>
    </w:p>
    <w:p>
      <w:pPr>
        <w:pStyle w:val="TOC2"/>
      </w:pPr>
      <w:hyperlink w:anchor="_Toc00066" w:history="1">
        <w:r>
          <w:t xml:space="preserve">7.4 Contrôles hebdomadaires et mensuels (N2)</w:t>
        </w:r>
        <w:r>
          <w:tab/>
        </w:r>
        <w:r>
          <w:t>31</w:t>
        </w:r>
      </w:hyperlink>
    </w:p>
    <w:p>
      <w:pPr>
        <w:pStyle w:val="TOC2"/>
      </w:pPr>
      <w:hyperlink w:anchor="_Toc00067" w:history="1">
        <w:r>
          <w:t xml:space="preserve">7.5 Supervision</w:t>
        </w:r>
        <w:r>
          <w:tab/>
        </w:r>
        <w:r>
          <w:t>31</w:t>
        </w:r>
      </w:hyperlink>
    </w:p>
    <w:p>
      <w:pPr>
        <w:pStyle w:val="TOC2"/>
      </w:pPr>
      <w:hyperlink w:anchor="_Toc00068" w:history="1">
        <w:r>
          <w:t xml:space="preserve">7.6 Journaux</w:t>
        </w:r>
        <w:r>
          <w:tab/>
        </w:r>
        <w:r>
          <w:t>32</w:t>
        </w:r>
      </w:hyperlink>
    </w:p>
    <w:p>
      <w:pPr>
        <w:pStyle w:val="TOC2"/>
      </w:pPr>
      <w:hyperlink w:anchor="_Toc00069" w:history="1">
        <w:r>
          <w:t xml:space="preserve">7.7 Codes retour</w:t>
        </w:r>
        <w:r>
          <w:tab/>
        </w:r>
        <w:r>
          <w:t>32</w:t>
        </w:r>
      </w:hyperlink>
    </w:p>
    <w:p>
      <w:pPr>
        <w:pStyle w:val="TOC1"/>
      </w:pPr>
      <w:hyperlink w:anchor="_Toc00070" w:history="1">
        <w:r>
          <w:t xml:space="preserve">8. Utilisation de l'interface web</w:t>
        </w:r>
        <w:r>
          <w:tab/>
        </w:r>
        <w:r>
          <w:t>33</w:t>
        </w:r>
      </w:hyperlink>
    </w:p>
    <w:p>
      <w:pPr>
        <w:pStyle w:val="TOC2"/>
      </w:pPr>
      <w:hyperlink w:anchor="_Toc00071" w:history="1">
        <w:r>
          <w:t xml:space="preserve">8.1 Accès et connexion</w:t>
        </w:r>
        <w:r>
          <w:tab/>
        </w:r>
        <w:r>
          <w:t>33</w:t>
        </w:r>
      </w:hyperlink>
    </w:p>
    <w:p>
      <w:pPr>
        <w:pStyle w:val="TOC2"/>
      </w:pPr>
      <w:hyperlink w:anchor="_Toc00075" w:history="1">
        <w:r>
          <w:t xml:space="preserve">8.2 Navigation et filtres</w:t>
        </w:r>
        <w:r>
          <w:tab/>
        </w:r>
        <w:r>
          <w:t>34</w:t>
        </w:r>
      </w:hyperlink>
    </w:p>
    <w:p>
      <w:pPr>
        <w:pStyle w:val="TOC2"/>
      </w:pPr>
      <w:hyperlink w:anchor="_Toc00079" w:history="1">
        <w:r>
          <w:t xml:space="preserve">8.3 Tableau de bord</w:t>
        </w:r>
        <w:r>
          <w:tab/>
        </w:r>
        <w:r>
          <w:t>35</w:t>
        </w:r>
      </w:hyperlink>
    </w:p>
    <w:p>
      <w:pPr>
        <w:pStyle w:val="TOC3"/>
      </w:pPr>
      <w:hyperlink w:anchor="_Toc00081" w:history="1">
        <w:r>
          <w:t xml:space="preserve">Alertes</w:t>
        </w:r>
        <w:r>
          <w:tab/>
        </w:r>
        <w:r>
          <w:t>36</w:t>
        </w:r>
      </w:hyperlink>
    </w:p>
    <w:p>
      <w:pPr>
        <w:pStyle w:val="TOC3"/>
      </w:pPr>
      <w:hyperlink w:anchor="_Toc00083" w:history="1">
        <w:r>
          <w:t xml:space="preserve">Indicateurs clés</w:t>
        </w:r>
        <w:r>
          <w:tab/>
        </w:r>
        <w:r>
          <w:t>37</w:t>
        </w:r>
      </w:hyperlink>
    </w:p>
    <w:p>
      <w:pPr>
        <w:pStyle w:val="TOC3"/>
      </w:pPr>
      <w:hyperlink w:anchor="_Toc00085" w:history="1">
        <w:r>
          <w:t xml:space="preserve">Blocs de détail</w:t>
        </w:r>
        <w:r>
          <w:tab/>
        </w:r>
        <w:r>
          <w:t>37</w:t>
        </w:r>
      </w:hyperlink>
    </w:p>
    <w:p>
      <w:pPr>
        <w:pStyle w:val="TOC2"/>
      </w:pPr>
      <w:hyperlink w:anchor="_Toc00087" w:history="1">
        <w:r>
          <w:t xml:space="preserve">8.4 En direct</w:t>
        </w:r>
        <w:r>
          <w:tab/>
        </w:r>
        <w:r>
          <w:t>38</w:t>
        </w:r>
      </w:hyperlink>
    </w:p>
    <w:p>
      <w:pPr>
        <w:pStyle w:val="TOC2"/>
      </w:pPr>
      <w:hyperlink w:anchor="_Toc00089" w:history="1">
        <w:r>
          <w:t xml:space="preserve">8.5 Rapports d'analyse</w:t>
        </w:r>
        <w:r>
          <w:tab/>
        </w:r>
        <w:r>
          <w:t>39</w:t>
        </w:r>
      </w:hyperlink>
    </w:p>
    <w:p>
      <w:pPr>
        <w:pStyle w:val="TOC2"/>
      </w:pPr>
      <w:hyperlink w:anchor="_Toc00095" w:history="1">
        <w:r>
          <w:t xml:space="preserve">8.6 Optimisation</w:t>
        </w:r>
        <w:r>
          <w:tab/>
        </w:r>
        <w:r>
          <w:t>42</w:t>
        </w:r>
      </w:hyperlink>
    </w:p>
    <w:p>
      <w:pPr>
        <w:pStyle w:val="TOC2"/>
      </w:pPr>
      <w:hyperlink w:anchor="_Toc00101" w:history="1">
        <w:r>
          <w:t xml:space="preserve">8.7 Données</w:t>
        </w:r>
        <w:r>
          <w:tab/>
        </w:r>
        <w:r>
          <w:t>45</w:t>
        </w:r>
      </w:hyperlink>
    </w:p>
    <w:p>
      <w:pPr>
        <w:pStyle w:val="TOC2"/>
      </w:pPr>
      <w:hyperlink w:anchor="_Toc00104" w:history="1">
        <w:r>
          <w:t xml:space="preserve">8.8 Exports</w:t>
        </w:r>
        <w:r>
          <w:tab/>
        </w:r>
        <w:r>
          <w:t>47</w:t>
        </w:r>
      </w:hyperlink>
    </w:p>
    <w:p>
      <w:pPr>
        <w:pStyle w:val="TOC2"/>
      </w:pPr>
      <w:hyperlink w:anchor="_Toc00105" w:history="1">
        <w:r>
          <w:t xml:space="preserve">8.9 Thème et affichage mobile</w:t>
        </w:r>
        <w:r>
          <w:tab/>
        </w:r>
        <w:r>
          <w:t>47</w:t>
        </w:r>
      </w:hyperlink>
    </w:p>
    <w:p>
      <w:pPr>
        <w:pStyle w:val="TOC2"/>
      </w:pPr>
      <w:hyperlink w:anchor="_Toc00108" w:history="1">
        <w:r>
          <w:t xml:space="preserve">8.10 Rapport Excel mensuel</w:t>
        </w:r>
        <w:r>
          <w:tab/>
        </w:r>
        <w:r>
          <w:t>48</w:t>
        </w:r>
      </w:hyperlink>
    </w:p>
    <w:p>
      <w:pPr>
        <w:pStyle w:val="TOC2"/>
      </w:pPr>
      <w:hyperlink w:anchor="_Toc00109" w:history="1">
        <w:r>
          <w:t xml:space="preserve">8.11 Rapport par e-mail</w:t>
        </w:r>
        <w:r>
          <w:tab/>
        </w:r>
        <w:r>
          <w:t>48</w:t>
        </w:r>
      </w:hyperlink>
    </w:p>
    <w:p>
      <w:pPr>
        <w:pStyle w:val="TOC2"/>
      </w:pPr>
      <w:hyperlink w:anchor="_Toc00111" w:history="1">
        <w:r>
          <w:t xml:space="preserve">8.12 Alertes immédiates</w:t>
        </w:r>
        <w:r>
          <w:tab/>
        </w:r>
        <w:r>
          <w:t>49</w:t>
        </w:r>
      </w:hyperlink>
    </w:p>
    <w:p>
      <w:pPr>
        <w:pStyle w:val="TOC2"/>
      </w:pPr>
      <w:hyperlink w:anchor="_Toc00113" w:history="1">
        <w:r>
          <w:t xml:space="preserve">8.13 Rôles</w:t>
        </w:r>
        <w:r>
          <w:tab/>
        </w:r>
        <w:r>
          <w:t>50</w:t>
        </w:r>
      </w:hyperlink>
    </w:p>
    <w:p>
      <w:pPr>
        <w:pStyle w:val="TOC2"/>
      </w:pPr>
      <w:hyperlink w:anchor="_Toc00114" w:history="1">
        <w:r>
          <w:t xml:space="preserve">8.14 Licences inutilisées, réservations, emprunts et sites</w:t>
        </w:r>
        <w:r>
          <w:tab/>
        </w:r>
        <w:r>
          <w:t>50</w:t>
        </w:r>
      </w:hyperlink>
    </w:p>
    <w:p>
      <w:pPr>
        <w:pStyle w:val="TOC1"/>
      </w:pPr>
      <w:hyperlink w:anchor="_Toc00117" w:history="1">
        <w:r>
          <w:t xml:space="preserve">9. Sauvegarde, restauration et rétention</w:t>
        </w:r>
        <w:r>
          <w:tab/>
        </w:r>
        <w:r>
          <w:t>52</w:t>
        </w:r>
      </w:hyperlink>
    </w:p>
    <w:p>
      <w:pPr>
        <w:pStyle w:val="TOC2"/>
      </w:pPr>
      <w:hyperlink w:anchor="_Toc00118" w:history="1">
        <w:r>
          <w:t xml:space="preserve">9.1 Éléments à sauvegarder</w:t>
        </w:r>
        <w:r>
          <w:tab/>
        </w:r>
        <w:r>
          <w:t>52</w:t>
        </w:r>
      </w:hyperlink>
    </w:p>
    <w:p>
      <w:pPr>
        <w:pStyle w:val="TOC2"/>
      </w:pPr>
      <w:hyperlink w:anchor="_Toc00119" w:history="1">
        <w:r>
          <w:t xml:space="preserve">9.2 Politique de rétention</w:t>
        </w:r>
        <w:r>
          <w:tab/>
        </w:r>
        <w:r>
          <w:t>52</w:t>
        </w:r>
      </w:hyperlink>
    </w:p>
    <w:p>
      <w:pPr>
        <w:pStyle w:val="TOC2"/>
      </w:pPr>
      <w:hyperlink w:anchor="_Toc00120" w:history="1">
        <w:r>
          <w:t xml:space="preserve">9.3 Procédure de sauvegarde SQL</w:t>
        </w:r>
        <w:r>
          <w:tab/>
        </w:r>
        <w:r>
          <w:t>52</w:t>
        </w:r>
      </w:hyperlink>
    </w:p>
    <w:p>
      <w:pPr>
        <w:pStyle w:val="TOC2"/>
      </w:pPr>
      <w:hyperlink w:anchor="_Toc00121" w:history="1">
        <w:r>
          <w:t xml:space="preserve">9.4 Procédure de restauration</w:t>
        </w:r>
        <w:r>
          <w:tab/>
        </w:r>
        <w:r>
          <w:t>52</w:t>
        </w:r>
      </w:hyperlink>
    </w:p>
    <w:p>
      <w:pPr>
        <w:pStyle w:val="TOC2"/>
      </w:pPr>
      <w:hyperlink w:anchor="_Toc00122" w:history="1">
        <w:r>
          <w:t xml:space="preserve">9.5 Purge manuelle</w:t>
        </w:r>
        <w:r>
          <w:tab/>
        </w:r>
        <w:r>
          <w:t>53</w:t>
        </w:r>
      </w:hyperlink>
    </w:p>
    <w:p>
      <w:pPr>
        <w:pStyle w:val="TOC1"/>
      </w:pPr>
      <w:hyperlink w:anchor="_Toc00123" w:history="1">
        <w:r>
          <w:t xml:space="preserve">10. Sécurité</w:t>
        </w:r>
        <w:r>
          <w:tab/>
        </w:r>
        <w:r>
          <w:t>54</w:t>
        </w:r>
      </w:hyperlink>
    </w:p>
    <w:p>
      <w:pPr>
        <w:pStyle w:val="TOC2"/>
      </w:pPr>
      <w:hyperlink w:anchor="_Toc00124" w:history="1">
        <w:r>
          <w:t xml:space="preserve">10.1 Principes</w:t>
        </w:r>
        <w:r>
          <w:tab/>
        </w:r>
        <w:r>
          <w:t>54</w:t>
        </w:r>
      </w:hyperlink>
    </w:p>
    <w:p>
      <w:pPr>
        <w:pStyle w:val="TOC2"/>
      </w:pPr>
      <w:hyperlink w:anchor="_Toc00125" w:history="1">
        <w:r>
          <w:t xml:space="preserve">10.2 Authentification et habilitations</w:t>
        </w:r>
        <w:r>
          <w:tab/>
        </w:r>
        <w:r>
          <w:t>54</w:t>
        </w:r>
      </w:hyperlink>
    </w:p>
    <w:p>
      <w:pPr>
        <w:pStyle w:val="TOC2"/>
      </w:pPr>
      <w:hyperlink w:anchor="_Toc00126" w:history="1">
        <w:r>
          <w:t xml:space="preserve">10.3 Chiffrement</w:t>
        </w:r>
        <w:r>
          <w:tab/>
        </w:r>
        <w:r>
          <w:t>54</w:t>
        </w:r>
      </w:hyperlink>
    </w:p>
    <w:p>
      <w:pPr>
        <w:pStyle w:val="TOC2"/>
      </w:pPr>
      <w:hyperlink w:anchor="_Toc00127" w:history="1">
        <w:r>
          <w:t xml:space="preserve">10.4 Traçabilité</w:t>
        </w:r>
        <w:r>
          <w:tab/>
        </w:r>
        <w:r>
          <w:t>54</w:t>
        </w:r>
      </w:hyperlink>
    </w:p>
    <w:p>
      <w:pPr>
        <w:pStyle w:val="TOC2"/>
      </w:pPr>
      <w:hyperlink w:anchor="_Toc00128" w:history="1">
        <w:r>
          <w:t xml:space="preserve">10.5 Données personnelles</w:t>
        </w:r>
        <w:r>
          <w:tab/>
        </w:r>
        <w:r>
          <w:t>55</w:t>
        </w:r>
      </w:hyperlink>
    </w:p>
    <w:p>
      <w:pPr>
        <w:pStyle w:val="TOC2"/>
      </w:pPr>
      <w:hyperlink w:anchor="_Toc00129" w:history="1">
        <w:r>
          <w:t xml:space="preserve">10.6 Liste de contrôle de déploiement</w:t>
        </w:r>
        <w:r>
          <w:tab/>
        </w:r>
        <w:r>
          <w:t>55</w:t>
        </w:r>
      </w:hyperlink>
    </w:p>
    <w:p>
      <w:pPr>
        <w:pStyle w:val="TOC2"/>
      </w:pPr>
      <w:hyperlink w:anchor="_Toc00130" w:history="1">
        <w:r>
          <w:t xml:space="preserve">10.7 Risques résiduels</w:t>
        </w:r>
        <w:r>
          <w:tab/>
        </w:r>
        <w:r>
          <w:t>55</w:t>
        </w:r>
      </w:hyperlink>
    </w:p>
    <w:p>
      <w:pPr>
        <w:pStyle w:val="TOC1"/>
      </w:pPr>
      <w:hyperlink w:anchor="_Toc00131" w:history="1">
        <w:r>
          <w:t xml:space="preserve">11. Gestion des incidents</w:t>
        </w:r>
        <w:r>
          <w:tab/>
        </w:r>
        <w:r>
          <w:t>56</w:t>
        </w:r>
      </w:hyperlink>
    </w:p>
    <w:p>
      <w:pPr>
        <w:pStyle w:val="TOC2"/>
      </w:pPr>
      <w:hyperlink w:anchor="_Toc00132" w:history="1">
        <w:r>
          <w:t xml:space="preserve">11.1 Démarche de diagnostic</w:t>
        </w:r>
        <w:r>
          <w:tab/>
        </w:r>
        <w:r>
          <w:t>56</w:t>
        </w:r>
      </w:hyperlink>
    </w:p>
    <w:p>
      <w:pPr>
        <w:pStyle w:val="TOC2"/>
      </w:pPr>
      <w:hyperlink w:anchor="_Toc00133" w:history="1">
        <w:r>
          <w:t xml:space="preserve">11.2 Incidents courants</w:t>
        </w:r>
        <w:r>
          <w:tab/>
        </w:r>
        <w:r>
          <w:t>56</w:t>
        </w:r>
      </w:hyperlink>
    </w:p>
    <w:p>
      <w:pPr>
        <w:pStyle w:val="TOC2"/>
      </w:pPr>
      <w:hyperlink w:anchor="_Toc00134" w:history="1">
        <w:r>
          <w:t xml:space="preserve">11.3 Commandes de diagnostic</w:t>
        </w:r>
        <w:r>
          <w:tab/>
        </w:r>
        <w:r>
          <w:t>57</w:t>
        </w:r>
      </w:hyperlink>
    </w:p>
    <w:p>
      <w:pPr>
        <w:pStyle w:val="TOC2"/>
      </w:pPr>
      <w:hyperlink w:anchor="_Toc00135" w:history="1">
        <w:r>
          <w:t xml:space="preserve">11.4 Escalade</w:t>
        </w:r>
        <w:r>
          <w:tab/>
        </w:r>
        <w:r>
          <w:t>58</w:t>
        </w:r>
      </w:hyperlink>
    </w:p>
    <w:p>
      <w:pPr>
        <w:pStyle w:val="TOC1"/>
      </w:pPr>
      <w:hyperlink w:anchor="_Toc00136" w:history="1">
        <w:r>
          <w:t xml:space="preserve">12. Maintenance et évolutions</w:t>
        </w:r>
        <w:r>
          <w:tab/>
        </w:r>
        <w:r>
          <w:t>59</w:t>
        </w:r>
      </w:hyperlink>
    </w:p>
    <w:p>
      <w:pPr>
        <w:pStyle w:val="TOC2"/>
      </w:pPr>
      <w:hyperlink w:anchor="_Toc00137" w:history="1">
        <w:r>
          <w:t xml:space="preserve">12.1 Mise à jour de version</w:t>
        </w:r>
        <w:r>
          <w:tab/>
        </w:r>
        <w:r>
          <w:t>59</w:t>
        </w:r>
      </w:hyperlink>
    </w:p>
    <w:p>
      <w:pPr>
        <w:pStyle w:val="TOC2"/>
      </w:pPr>
      <w:hyperlink w:anchor="_Toc00138" w:history="1">
        <w:r>
          <w:t xml:space="preserve">12.2 Ajout d'un serveur de licences</w:t>
        </w:r>
        <w:r>
          <w:tab/>
        </w:r>
        <w:r>
          <w:t>59</w:t>
        </w:r>
      </w:hyperlink>
    </w:p>
    <w:p>
      <w:pPr>
        <w:pStyle w:val="TOC2"/>
      </w:pPr>
      <w:hyperlink w:anchor="_Toc00139" w:history="1">
        <w:r>
          <w:t xml:space="preserve">12.3 Produits, coûts et abonnements</w:t>
        </w:r>
        <w:r>
          <w:tab/>
        </w:r>
        <w:r>
          <w:t>59</w:t>
        </w:r>
      </w:hyperlink>
    </w:p>
    <w:p>
      <w:pPr>
        <w:pStyle w:val="TOC2"/>
      </w:pPr>
      <w:hyperlink w:anchor="_Toc00140" w:history="1">
        <w:r>
          <w:t xml:space="preserve">12.4 Renouvellement des certificats</w:t>
        </w:r>
        <w:r>
          <w:tab/>
        </w:r>
        <w:r>
          <w:t>59</w:t>
        </w:r>
      </w:hyperlink>
    </w:p>
    <w:p>
      <w:pPr>
        <w:pStyle w:val="TOC2"/>
      </w:pPr>
      <w:hyperlink w:anchor="_Toc00141" w:history="1">
        <w:r>
          <w:t xml:space="preserve">12.5 Compte de service</w:t>
        </w:r>
        <w:r>
          <w:tab/>
        </w:r>
        <w:r>
          <w:t>59</w:t>
        </w:r>
      </w:hyperlink>
    </w:p>
    <w:p>
      <w:pPr>
        <w:pStyle w:val="TOC2"/>
      </w:pPr>
      <w:hyperlink w:anchor="_Toc00142" w:history="1">
        <w:r>
          <w:t xml:space="preserve">12.6 Ajout d'un autre gestionnaire de licences</w:t>
        </w:r>
        <w:r>
          <w:tab/>
        </w:r>
        <w:r>
          <w:t>60</w:t>
        </w:r>
      </w:hyperlink>
    </w:p>
    <w:p>
      <w:pPr>
        <w:pStyle w:val="TOC1"/>
      </w:pPr>
      <w:hyperlink w:anchor="_Toc00143" w:history="1">
        <w:r>
          <w:t xml:space="preserve">13. Continuité et reprise d'activité</w:t>
        </w:r>
        <w:r>
          <w:tab/>
        </w:r>
        <w:r>
          <w:t>61</w:t>
        </w:r>
      </w:hyperlink>
    </w:p>
    <w:p>
      <w:pPr>
        <w:pStyle w:val="TOC2"/>
      </w:pPr>
      <w:hyperlink w:anchor="_Toc00144" w:history="1">
        <w:r>
          <w:t xml:space="preserve">13.1 Impact d'une indisponibilité</w:t>
        </w:r>
        <w:r>
          <w:tab/>
        </w:r>
        <w:r>
          <w:t>61</w:t>
        </w:r>
      </w:hyperlink>
    </w:p>
    <w:p>
      <w:pPr>
        <w:pStyle w:val="TOC2"/>
      </w:pPr>
      <w:hyperlink w:anchor="_Toc00145" w:history="1">
        <w:r>
          <w:t xml:space="preserve">13.2 Scénarios de reprise</w:t>
        </w:r>
        <w:r>
          <w:tab/>
        </w:r>
        <w:r>
          <w:t>61</w:t>
        </w:r>
      </w:hyperlink>
    </w:p>
    <w:p>
      <w:pPr>
        <w:pStyle w:val="TOC2"/>
      </w:pPr>
      <w:hyperlink w:anchor="_Toc00146" w:history="1">
        <w:r>
          <w:t xml:space="preserve">13.3 Reconstruction complète</w:t>
        </w:r>
        <w:r>
          <w:tab/>
        </w:r>
        <w:r>
          <w:t>61</w:t>
        </w:r>
      </w:hyperlink>
    </w:p>
    <w:p>
      <w:pPr>
        <w:pStyle w:val="TOC1"/>
      </w:pPr>
      <w:hyperlink w:anchor="_Toc00147" w:history="1">
        <w:r>
          <w:t xml:space="preserve">14. Contacts et responsabilités</w:t>
        </w:r>
        <w:r>
          <w:tab/>
        </w:r>
        <w:r>
          <w:t>62</w:t>
        </w:r>
      </w:hyperlink>
    </w:p>
    <w:p>
      <w:pPr>
        <w:pStyle w:val="TOC2"/>
      </w:pPr>
      <w:hyperlink w:anchor="_Toc00148" w:history="1">
        <w:r>
          <w:t xml:space="preserve">14.1 Contacts</w:t>
        </w:r>
        <w:r>
          <w:tab/>
        </w:r>
        <w:r>
          <w:t>62</w:t>
        </w:r>
      </w:hyperlink>
    </w:p>
    <w:p>
      <w:pPr>
        <w:pStyle w:val="TOC2"/>
      </w:pPr>
      <w:hyperlink w:anchor="_Toc00149" w:history="1">
        <w:r>
          <w:t xml:space="preserve">14.2 Matrice des responsabilités (RACI)</w:t>
        </w:r>
        <w:r>
          <w:tab/>
        </w:r>
        <w:r>
          <w:t>62</w:t>
        </w:r>
      </w:hyperlink>
    </w:p>
    <w:p>
      <w:pPr>
        <w:pStyle w:val="TOC1"/>
      </w:pPr>
      <w:hyperlink w:anchor="_Toc00150" w:history="1">
        <w:r>
          <w:t xml:space="preserve">Annexe A. Référence des commandes</w:t>
        </w:r>
        <w:r>
          <w:tab/>
        </w:r>
        <w:r>
          <w:t>63</w:t>
        </w:r>
      </w:hyperlink>
    </w:p>
    <w:p>
      <w:pPr>
        <w:pStyle w:val="TOC1"/>
      </w:pPr>
      <w:hyperlink w:anchor="_Toc00151" w:history="1">
        <w:r>
          <w:t xml:space="preserve">Annexe B. Exemple de configuration</w:t>
        </w:r>
        <w:r>
          <w:tab/>
        </w:r>
        <w:r>
          <w:t>64</w:t>
        </w:r>
      </w:hyperlink>
    </w:p>
    <w:p>
      <w:pPr>
        <w:pStyle w:val="TOC1"/>
      </w:pPr>
      <w:hyperlink w:anchor="_Toc00152" w:history="1">
        <w:r>
          <w:t xml:space="preserve">Annexe C. Requêtes SQL utiles</w:t>
        </w:r>
        <w:r>
          <w:tab/>
        </w:r>
        <w:r>
          <w:t>68</w:t>
        </w:r>
      </w:hyperlink>
    </w:p>
    <w:p>
      <w:pPr>
        <w:pStyle w:val="TOC1"/>
      </w:pPr>
      <w:hyperlink w:anchor="_Toc00153" w:history="1">
        <w:r>
          <w:t xml:space="preserve">Annexe D. Fiche de contrôle quotidien</w:t>
        </w:r>
        <w:r>
          <w:tab/>
        </w:r>
        <w:r>
          <w:t>69</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récapitulatif avant installation</w:t>
        </w:r>
        <w:r>
          <w:tab/>
        </w:r>
        <w:r>
          <w:t>20</w:t>
        </w:r>
      </w:hyperlink>
    </w:p>
    <w:p>
      <w:pPr>
        <w:pStyle w:val="TableofFigures"/>
      </w:pPr>
      <w:hyperlink w:anchor="_Fig00033" w:history="1">
        <w:r>
          <w:t xml:space="preserve">Figure 8 – Assistant : installation avec barre de progression</w:t>
        </w:r>
        <w:r>
          <w:tab/>
        </w:r>
        <w:r>
          <w:t>21</w:t>
        </w:r>
      </w:hyperlink>
    </w:p>
    <w:p>
      <w:pPr>
        <w:pStyle w:val="TableofFigures"/>
      </w:pPr>
      <w:hyperlink w:anchor="_Fig00034" w:history="1">
        <w:r>
          <w:t xml:space="preserve">Figure 9 – Assistant : vérification finale de bout en bout</w:t>
        </w:r>
        <w:r>
          <w:tab/>
        </w:r>
        <w:r>
          <w:t>21</w:t>
        </w:r>
      </w:hyperlink>
    </w:p>
    <w:p>
      <w:pPr>
        <w:pStyle w:val="TableofFigures"/>
      </w:pPr>
      <w:hyperlink w:anchor="_Fig00036" w:history="1">
        <w:r>
          <w:t xml:space="preserve">Figure 10 – Page de test d'accès depuis un poste utilisateur (/acces)</w:t>
        </w:r>
        <w:r>
          <w:tab/>
        </w:r>
        <w:r>
          <w:t>22</w:t>
        </w:r>
      </w:hyperlink>
    </w:p>
    <w:p>
      <w:pPr>
        <w:pStyle w:val="TableofFigures"/>
      </w:pPr>
      <w:hyperlink w:anchor="_Fig00072" w:history="1">
        <w:r>
          <w:t xml:space="preserve">Figure 11 – Page de connexion</w:t>
        </w:r>
        <w:r>
          <w:tab/>
        </w:r>
        <w:r>
          <w:t>33</w:t>
        </w:r>
      </w:hyperlink>
    </w:p>
    <w:p>
      <w:pPr>
        <w:pStyle w:val="TableofFigures"/>
      </w:pPr>
      <w:hyperlink w:anchor="_Fig00073" w:history="1">
        <w:r>
          <w:t xml:space="preserve">Figure 12 – Message d'erreur de connexion</w:t>
        </w:r>
        <w:r>
          <w:tab/>
        </w:r>
        <w:r>
          <w:t>34</w:t>
        </w:r>
      </w:hyperlink>
    </w:p>
    <w:p>
      <w:pPr>
        <w:pStyle w:val="TableofFigures"/>
      </w:pPr>
      <w:hyperlink w:anchor="_Fig00074" w:history="1">
        <w:r>
          <w:t xml:space="preserve">Figure 13 – En-tête : badge d'état des collectes et utilisateur connecté</w:t>
        </w:r>
        <w:r>
          <w:tab/>
        </w:r>
        <w:r>
          <w:t>34</w:t>
        </w:r>
      </w:hyperlink>
    </w:p>
    <w:p>
      <w:pPr>
        <w:pStyle w:val="TableofFigures"/>
      </w:pPr>
      <w:hyperlink w:anchor="_Fig00076" w:history="1">
        <w:r>
          <w:t xml:space="preserve">Figure 14 – Barre latérale de navigation</w:t>
        </w:r>
        <w:r>
          <w:tab/>
        </w:r>
        <w:r>
          <w:t>35</w:t>
        </w:r>
      </w:hyperlink>
    </w:p>
    <w:p>
      <w:pPr>
        <w:pStyle w:val="TableofFigures"/>
      </w:pPr>
      <w:hyperlink w:anchor="_Fig00077" w:history="1">
        <w:r>
          <w:t xml:space="preserve">Figure 15 – Barre de filtres et boutons d'export</w:t>
        </w:r>
        <w:r>
          <w:tab/>
        </w:r>
        <w:r>
          <w:t>35</w:t>
        </w:r>
      </w:hyperlink>
    </w:p>
    <w:p>
      <w:pPr>
        <w:pStyle w:val="TableofFigures"/>
      </w:pPr>
      <w:hyperlink w:anchor="_Fig00078" w:history="1">
        <w:r>
          <w:t xml:space="preserve">Figure 16 – Sélection multiple avec recherche (filtre Produits)</w:t>
        </w:r>
        <w:r>
          <w:tab/>
        </w:r>
        <w:r>
          <w:t>35</w:t>
        </w:r>
      </w:hyperlink>
    </w:p>
    <w:p>
      <w:pPr>
        <w:pStyle w:val="TableofFigures"/>
      </w:pPr>
      <w:hyperlink w:anchor="_Fig00080" w:history="1">
        <w:r>
          <w:t xml:space="preserve">Figure 17 – Tableau de bord complet</w:t>
        </w:r>
        <w:r>
          <w:tab/>
        </w:r>
        <w:r>
          <w:t>36</w:t>
        </w:r>
      </w:hyperlink>
    </w:p>
    <w:p>
      <w:pPr>
        <w:pStyle w:val="TableofFigures"/>
      </w:pPr>
      <w:hyperlink w:anchor="_Fig00082" w:history="1">
        <w:r>
          <w:t xml:space="preserve">Figure 18 – Bandeau d'alertes</w:t>
        </w:r>
        <w:r>
          <w:tab/>
        </w:r>
        <w:r>
          <w:t>37</w:t>
        </w:r>
      </w:hyperlink>
    </w:p>
    <w:p>
      <w:pPr>
        <w:pStyle w:val="TableofFigures"/>
      </w:pPr>
      <w:hyperlink w:anchor="_Fig00084" w:history="1">
        <w:r>
          <w:t xml:space="preserve">Figure 19 – Indicateurs clés</w:t>
        </w:r>
        <w:r>
          <w:tab/>
        </w:r>
        <w:r>
          <w:t>37</w:t>
        </w:r>
      </w:hyperlink>
    </w:p>
    <w:p>
      <w:pPr>
        <w:pStyle w:val="TableofFigures"/>
      </w:pPr>
      <w:hyperlink w:anchor="_Fig00086" w:history="1">
        <w:r>
          <w:t xml:space="preserve">Figure 20 – Bloc « Serveurs et échéances »</w:t>
        </w:r>
        <w:r>
          <w:tab/>
        </w:r>
        <w:r>
          <w:t>38</w:t>
        </w:r>
      </w:hyperlink>
    </w:p>
    <w:p>
      <w:pPr>
        <w:pStyle w:val="TableofFigures"/>
      </w:pPr>
      <w:hyperlink w:anchor="_Fig00088" w:history="1">
        <w:r>
          <w:t xml:space="preserve">Figure 21 – Vue En direct</w:t>
        </w:r>
        <w:r>
          <w:tab/>
        </w:r>
        <w:r>
          <w:t>39</w:t>
        </w:r>
      </w:hyperlink>
    </w:p>
    <w:p>
      <w:pPr>
        <w:pStyle w:val="TableofFigures"/>
      </w:pPr>
      <w:hyperlink w:anchor="_Fig00090" w:history="1">
        <w:r>
          <w:t xml:space="preserve">Figure 22 – Synthèse par produit</w:t>
        </w:r>
        <w:r>
          <w:tab/>
        </w:r>
        <w:r>
          <w:t>40</w:t>
        </w:r>
      </w:hyperlink>
    </w:p>
    <w:p>
      <w:pPr>
        <w:pStyle w:val="TableofFigures"/>
      </w:pPr>
      <w:hyperlink w:anchor="_Fig00091" w:history="1">
        <w:r>
          <w:t xml:space="preserve">Figure 23 – Usage dans le temps (taux d'occupation journalier)</w:t>
        </w:r>
        <w:r>
          <w:tab/>
        </w:r>
        <w:r>
          <w:t>41</w:t>
        </w:r>
      </w:hyperlink>
    </w:p>
    <w:p>
      <w:pPr>
        <w:pStyle w:val="TableofFigures"/>
      </w:pPr>
      <w:hyperlink w:anchor="_Fig00092" w:history="1">
        <w:r>
          <w:t xml:space="preserve">Figure 24 – Répartition par service (refacturation)</w:t>
        </w:r>
        <w:r>
          <w:tab/>
        </w:r>
        <w:r>
          <w:t>41</w:t>
        </w:r>
      </w:hyperlink>
    </w:p>
    <w:p>
      <w:pPr>
        <w:pStyle w:val="TableofFigures"/>
      </w:pPr>
      <w:hyperlink w:anchor="_Fig00093" w:history="1">
        <w:r>
          <w:t xml:space="preserve">Figure 25 – Croisement service × produit</w:t>
        </w:r>
        <w:r>
          <w:tab/>
        </w:r>
        <w:r>
          <w:t>42</w:t>
        </w:r>
      </w:hyperlink>
    </w:p>
    <w:p>
      <w:pPr>
        <w:pStyle w:val="TableofFigures"/>
      </w:pPr>
      <w:hyperlink w:anchor="_Fig00094" w:history="1">
        <w:r>
          <w:t xml:space="preserve">Figure 26 – Profil horaire</w:t>
        </w:r>
        <w:r>
          <w:tab/>
        </w:r>
        <w:r>
          <w:t>42</w:t>
        </w:r>
      </w:hyperlink>
    </w:p>
    <w:p>
      <w:pPr>
        <w:pStyle w:val="TableofFigures"/>
      </w:pPr>
      <w:hyperlink w:anchor="_Fig00096" w:history="1">
        <w:r>
          <w:t xml:space="preserve">Figure 27 – Efficacité des jetons (comparaison des produits)</w:t>
        </w:r>
        <w:r>
          <w:tab/>
        </w:r>
        <w:r>
          <w:t>43</w:t>
        </w:r>
      </w:hyperlink>
    </w:p>
    <w:p>
      <w:pPr>
        <w:pStyle w:val="TableofFigures"/>
      </w:pPr>
      <w:hyperlink w:anchor="_Fig00097" w:history="1">
        <w:r>
          <w:t xml:space="preserve">Figure 28 – Efficacité d'un produit (MATLAB) en nombre de jetons</w:t>
        </w:r>
        <w:r>
          <w:tab/>
        </w:r>
        <w:r>
          <w:t>43</w:t>
        </w:r>
      </w:hyperlink>
    </w:p>
    <w:p>
      <w:pPr>
        <w:pStyle w:val="TableofFigures"/>
      </w:pPr>
      <w:hyperlink w:anchor="_Fig00098" w:history="1">
        <w:r>
          <w:t xml:space="preserve">Figure 29 – Optimisation et coûts</w:t>
        </w:r>
        <w:r>
          <w:tab/>
        </w:r>
        <w:r>
          <w:t>44</w:t>
        </w:r>
      </w:hyperlink>
    </w:p>
    <w:p>
      <w:pPr>
        <w:pStyle w:val="TableofFigures"/>
      </w:pPr>
      <w:hyperlink w:anchor="_Fig00099" w:history="1">
        <w:r>
          <w:t xml:space="preserve">Figure 30 – Contention</w:t>
        </w:r>
        <w:r>
          <w:tab/>
        </w:r>
        <w:r>
          <w:t>45</w:t>
        </w:r>
      </w:hyperlink>
    </w:p>
    <w:p>
      <w:pPr>
        <w:pStyle w:val="TableofFigures"/>
      </w:pPr>
      <w:hyperlink w:anchor="_Fig00100" w:history="1">
        <w:r>
          <w:t xml:space="preserve">Figure 31 – Refus de licence</w:t>
        </w:r>
        <w:r>
          <w:tab/>
        </w:r>
        <w:r>
          <w:t>45</w:t>
        </w:r>
      </w:hyperlink>
    </w:p>
    <w:p>
      <w:pPr>
        <w:pStyle w:val="TableofFigures"/>
      </w:pPr>
      <w:hyperlink w:anchor="_Fig00102" w:history="1">
        <w:r>
          <w:t xml:space="preserve">Figure 32 – Sessions</w:t>
        </w:r>
        <w:r>
          <w:tab/>
        </w:r>
        <w:r>
          <w:t>46</w:t>
        </w:r>
      </w:hyperlink>
    </w:p>
    <w:p>
      <w:pPr>
        <w:pStyle w:val="TableofFigures"/>
      </w:pPr>
      <w:hyperlink w:anchor="_Fig00103" w:history="1">
        <w:r>
          <w:t xml:space="preserve">Figure 33 – Journal des collectes</w:t>
        </w:r>
        <w:r>
          <w:tab/>
        </w:r>
        <w:r>
          <w:t>46</w:t>
        </w:r>
      </w:hyperlink>
    </w:p>
    <w:p>
      <w:pPr>
        <w:pStyle w:val="TableofFigures"/>
      </w:pPr>
      <w:hyperlink w:anchor="_Fig00106" w:history="1">
        <w:r>
          <w:t xml:space="preserve">Figure 34 – Tableau de bord en thème sombre</w:t>
        </w:r>
        <w:r>
          <w:tab/>
        </w:r>
        <w:r>
          <w:t>47</w:t>
        </w:r>
      </w:hyperlink>
    </w:p>
    <w:p>
      <w:pPr>
        <w:pStyle w:val="TableofFigures"/>
      </w:pPr>
      <w:hyperlink w:anchor="_Fig00107" w:history="1">
        <w:r>
          <w:t xml:space="preserve">Figure 35 – Affichage sur téléphone : tableau de bord et menu</w:t>
        </w:r>
        <w:r>
          <w:tab/>
        </w:r>
        <w:r>
          <w:t>48</w:t>
        </w:r>
      </w:hyperlink>
    </w:p>
    <w:p>
      <w:pPr>
        <w:pStyle w:val="TableofFigures"/>
      </w:pPr>
      <w:hyperlink w:anchor="_Fig00110" w:history="1">
        <w:r>
          <w:t xml:space="preserve">Figure 36 – Rapport mensuel reçu par e-mail</w:t>
        </w:r>
        <w:r>
          <w:tab/>
        </w:r>
        <w:r>
          <w:t>49</w:t>
        </w:r>
      </w:hyperlink>
    </w:p>
    <w:p>
      <w:pPr>
        <w:pStyle w:val="TableofFigures"/>
      </w:pPr>
      <w:hyperlink w:anchor="_Fig00112" w:history="1">
        <w:r>
          <w:t xml:space="preserve">Figure 37 – Message d'alertes immédiates</w:t>
        </w:r>
        <w:r>
          <w:tab/>
        </w:r>
        <w:r>
          <w:t>50</w:t>
        </w:r>
      </w:hyperlink>
    </w:p>
    <w:p>
      <w:pPr>
        <w:pStyle w:val="TableofFigures"/>
      </w:pPr>
      <w:hyperlink w:anchor="_Fig00115" w:history="1">
        <w:r>
          <w:t xml:space="preserve">Figure 38 – Licences inutilisées</w:t>
        </w:r>
        <w:r>
          <w:tab/>
        </w:r>
        <w:r>
          <w:t>51</w:t>
        </w:r>
      </w:hyperlink>
    </w:p>
    <w:p>
      <w:pPr>
        <w:pStyle w:val="TableofFigures"/>
      </w:pPr>
      <w:hyperlink w:anchor="_Fig00116" w:history="1">
        <w:r>
          <w:t xml:space="preserve">Figure 39 – Réservations et taux d'usage</w:t>
        </w:r>
        <w:r>
          <w:tab/>
        </w:r>
        <w:r>
          <w:t>51</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26.3.0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et des licences RLM (Reprise) par sondage </w:t>
      </w:r>
      <w:r>
        <w:rPr>
          <w:rFonts w:ascii="Consolas" w:hAnsi="Consolas" w:cs="Consolas"/>
          <w:color w:val="1C5CAB"/>
          <w:sz w:val="18"/>
          <w:szCs w:val="18"/>
          <w:shd w:val="clear" w:color="auto" w:fill="EEF3FA"/>
        </w:rPr>
        <w:t xml:space="preserve">rlmutil rlmstat</w:t>
      </w:r>
      <w:r>
        <w:rPr/>
        <w:t xml:space="preserve">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les alertes immédiates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RLM / rlmutil</w:t>
            </w:r>
          </w:p>
        </w:tc>
        <w:tc>
          <w:tcPr>
            <w:tcW w:w="7192" w:type="dxa"/>
          </w:tcPr>
          <w:p>
            <w:pPr>
              <w:pStyle w:val="TableText"/>
            </w:pPr>
            <w:r>
              <w:rPr>
                <w:sz w:val="18"/>
                <w:szCs w:val="18"/>
              </w:rPr>
              <w:t xml:space="preserve">Reprise License Manager (Foundry, Maxon, Chaos…) ; </w:t>
            </w:r>
            <w:r>
              <w:rPr>
                <w:rFonts w:ascii="Consolas" w:hAnsi="Consolas" w:cs="Consolas"/>
                <w:color w:val="1C5CAB"/>
                <w:sz w:val="18"/>
                <w:szCs w:val="18"/>
                <w:shd w:val="clear" w:color="auto" w:fill="EEF3FA"/>
              </w:rPr>
              <w:t xml:space="preserve">rlmutil rlmstat -a</w:t>
            </w:r>
            <w:r>
              <w:rPr>
                <w:sz w:val="18"/>
                <w:szCs w:val="18"/>
              </w:rPr>
              <w:t xml:space="preserve"> liste les pools de licences et les utilisateurs.</w:t>
            </w:r>
          </w:p>
        </w:tc>
      </w:tr>
      <w:tr>
        <w:trPr>
          <w:cantSplit/>
        </w:trPr>
        <w:tc>
          <w:tcPr>
            <w:tcW w:w="2445" w:type="dxa"/>
            <w:shd w:val="clear" w:color="auto" w:fill="F4F7FC"/>
          </w:tcPr>
          <w:p>
            <w:pPr>
              <w:pStyle w:val="TableText"/>
            </w:pPr>
            <w:r>
              <w:rPr>
                <w:b/>
                <w:sz w:val="18"/>
                <w:szCs w:val="18"/>
              </w:rPr>
              <w:t xml:space="preserve">Feature</w:t>
            </w:r>
          </w:p>
        </w:tc>
        <w:tc>
          <w:tcPr>
            <w:tcW w:w="7192" w:type="dxa"/>
            <w:shd w:val="clear" w:color="auto" w:fill="F4F7FC"/>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tcPr>
          <w:p>
            <w:pPr>
              <w:pStyle w:val="TableText"/>
            </w:pPr>
            <w:r>
              <w:rPr>
                <w:b/>
                <w:sz w:val="18"/>
                <w:szCs w:val="18"/>
              </w:rPr>
              <w:t xml:space="preserve">Jeton</w:t>
            </w:r>
          </w:p>
        </w:tc>
        <w:tc>
          <w:tcPr>
            <w:tcW w:w="7192" w:type="dxa"/>
          </w:tcPr>
          <w:p>
            <w:pPr>
              <w:pStyle w:val="TableText"/>
            </w:pPr>
            <w:r>
              <w:rPr>
                <w:sz w:val="18"/>
                <w:szCs w:val="18"/>
              </w:rPr>
              <w:t xml:space="preserve">Unité de licence flottante ; un utilisateur en « emprunte » un (checkout) puis le rend (checkin).</w:t>
            </w:r>
          </w:p>
        </w:tc>
      </w:tr>
      <w:tr>
        <w:trPr>
          <w:cantSplit/>
        </w:trPr>
        <w:tc>
          <w:tcPr>
            <w:tcW w:w="2445" w:type="dxa"/>
            <w:shd w:val="clear" w:color="auto" w:fill="F4F7FC"/>
          </w:tcPr>
          <w:p>
            <w:pPr>
              <w:pStyle w:val="TableText"/>
            </w:pPr>
            <w:r>
              <w:rPr>
                <w:b/>
                <w:sz w:val="18"/>
                <w:szCs w:val="18"/>
              </w:rPr>
              <w:t xml:space="preserve">Session</w:t>
            </w:r>
          </w:p>
        </w:tc>
        <w:tc>
          <w:tcPr>
            <w:tcW w:w="7192" w:type="dxa"/>
            <w:shd w:val="clear" w:color="auto" w:fill="F4F7FC"/>
          </w:tcPr>
          <w:p>
            <w:pPr>
              <w:pStyle w:val="TableText"/>
            </w:pPr>
            <w:r>
              <w:rPr>
                <w:sz w:val="18"/>
                <w:szCs w:val="18"/>
              </w:rPr>
              <w:t xml:space="preserve">Période pendant laquelle un utilisateur détient un jeton, reconstituée par HeptagonesLM.</w:t>
            </w:r>
          </w:p>
        </w:tc>
      </w:tr>
      <w:tr>
        <w:trPr>
          <w:cantSplit/>
        </w:trPr>
        <w:tc>
          <w:tcPr>
            <w:tcW w:w="2445" w:type="dxa"/>
          </w:tcPr>
          <w:p>
            <w:pPr>
              <w:pStyle w:val="TableText"/>
            </w:pPr>
            <w:r>
              <w:rPr>
                <w:b/>
                <w:sz w:val="18"/>
                <w:szCs w:val="18"/>
              </w:rPr>
              <w:t xml:space="preserve">Refus (DENIED)</w:t>
            </w:r>
          </w:p>
        </w:tc>
        <w:tc>
          <w:tcPr>
            <w:tcW w:w="7192" w:type="dxa"/>
          </w:tcPr>
          <w:p>
            <w:pPr>
              <w:pStyle w:val="TableText"/>
            </w:pPr>
            <w:r>
              <w:rPr>
                <w:sz w:val="18"/>
                <w:szCs w:val="18"/>
              </w:rPr>
              <w:t xml:space="preserve">Demande de jeton refusée faute de jeton disponible ; visible uniquement dans le log debug.</w:t>
            </w:r>
          </w:p>
        </w:tc>
      </w:tr>
      <w:tr>
        <w:trPr>
          <w:cantSplit/>
        </w:trPr>
        <w:tc>
          <w:tcPr>
            <w:tcW w:w="2445" w:type="dxa"/>
            <w:shd w:val="clear" w:color="auto" w:fill="F4F7FC"/>
          </w:tcPr>
          <w:p>
            <w:pPr>
              <w:pStyle w:val="TableText"/>
            </w:pPr>
            <w:r>
              <w:rPr>
                <w:b/>
                <w:sz w:val="18"/>
                <w:szCs w:val="18"/>
              </w:rPr>
              <w:t xml:space="preserve">Saturation</w:t>
            </w:r>
          </w:p>
        </w:tc>
        <w:tc>
          <w:tcPr>
            <w:tcW w:w="7192" w:type="dxa"/>
            <w:shd w:val="clear" w:color="auto" w:fill="F4F7FC"/>
          </w:tcPr>
          <w:p>
            <w:pPr>
              <w:pStyle w:val="TableText"/>
            </w:pPr>
            <w:r>
              <w:rPr>
                <w:sz w:val="18"/>
                <w:szCs w:val="18"/>
              </w:rPr>
              <w:t xml:space="preserve">Heure pendant laquelle tous les jetons d'une feature sont utilisés.</w:t>
            </w:r>
          </w:p>
        </w:tc>
      </w:tr>
      <w:tr>
        <w:trPr>
          <w:cantSplit/>
        </w:trPr>
        <w:tc>
          <w:tcPr>
            <w:tcW w:w="2445" w:type="dxa"/>
          </w:tcPr>
          <w:p>
            <w:pPr>
              <w:pStyle w:val="TableText"/>
            </w:pPr>
            <w:r>
              <w:rPr>
                <w:b/>
                <w:sz w:val="18"/>
                <w:szCs w:val="18"/>
              </w:rPr>
              <w:t xml:space="preserve">Heures ouvrées</w:t>
            </w:r>
          </w:p>
        </w:tc>
        <w:tc>
          <w:tcPr>
            <w:tcW w:w="7192" w:type="dxa"/>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shd w:val="clear" w:color="auto" w:fill="F4F7FC"/>
          </w:tcPr>
          <w:p>
            <w:pPr>
              <w:pStyle w:val="TableText"/>
            </w:pPr>
            <w:r>
              <w:rPr>
                <w:b/>
                <w:sz w:val="18"/>
                <w:szCs w:val="18"/>
              </w:rPr>
              <w:t xml:space="preserve">Taux d'occupation</w:t>
            </w:r>
          </w:p>
        </w:tc>
        <w:tc>
          <w:tcPr>
            <w:tcW w:w="7192" w:type="dxa"/>
            <w:shd w:val="clear" w:color="auto" w:fill="F4F7FC"/>
          </w:tcPr>
          <w:p>
            <w:pPr>
              <w:pStyle w:val="TableText"/>
            </w:pPr>
            <w:r>
              <w:rPr>
                <w:sz w:val="18"/>
                <w:szCs w:val="18"/>
              </w:rPr>
              <w:t xml:space="preserve">Jetons utilisés / jetons émis, moyenné sur la période.</w:t>
            </w:r>
          </w:p>
        </w:tc>
      </w:tr>
      <w:tr>
        <w:trPr>
          <w:cantSplit/>
        </w:trPr>
        <w:tc>
          <w:tcPr>
            <w:tcW w:w="2445" w:type="dxa"/>
          </w:tcPr>
          <w:p>
            <w:pPr>
              <w:pStyle w:val="TableText"/>
            </w:pPr>
            <w:r>
              <w:rPr>
                <w:b/>
                <w:sz w:val="18"/>
                <w:szCs w:val="18"/>
              </w:rPr>
              <w:t xml:space="preserve">Efficacité</w:t>
            </w:r>
          </w:p>
        </w:tc>
        <w:tc>
          <w:tcPr>
            <w:tcW w:w="7192" w:type="dxa"/>
          </w:tcPr>
          <w:p>
            <w:pPr>
              <w:pStyle w:val="TableText"/>
            </w:pPr>
            <w:r>
              <w:rPr>
                <w:sz w:val="18"/>
                <w:szCs w:val="18"/>
              </w:rPr>
              <w:t xml:space="preserve">Part du temps ouvré où au moins N jetons sont utilisés ; sert à recommander un nombre de jetons.</w:t>
            </w:r>
          </w:p>
        </w:tc>
      </w:tr>
      <w:tr>
        <w:trPr>
          <w:cantSplit/>
        </w:trPr>
        <w:tc>
          <w:tcPr>
            <w:tcW w:w="2445" w:type="dxa"/>
            <w:shd w:val="clear" w:color="auto" w:fill="F4F7FC"/>
          </w:tcPr>
          <w:p>
            <w:pPr>
              <w:pStyle w:val="TableText"/>
            </w:pPr>
            <w:r>
              <w:rPr>
                <w:b/>
                <w:sz w:val="18"/>
                <w:szCs w:val="18"/>
              </w:rPr>
              <w:t xml:space="preserve">gMSA</w:t>
            </w:r>
          </w:p>
        </w:tc>
        <w:tc>
          <w:tcPr>
            <w:tcW w:w="7192" w:type="dxa"/>
            <w:shd w:val="clear" w:color="auto" w:fill="F4F7FC"/>
          </w:tcPr>
          <w:p>
            <w:pPr>
              <w:pStyle w:val="TableText"/>
            </w:pPr>
            <w:r>
              <w:rPr>
                <w:sz w:val="18"/>
                <w:szCs w:val="18"/>
              </w:rPr>
              <w:t xml:space="preserve">Group Managed Service Account : compte de service AD dont le mot de passe est géré automatiquement.</w:t>
            </w:r>
          </w:p>
        </w:tc>
      </w:tr>
      <w:tr>
        <w:trPr>
          <w:cantSplit/>
        </w:trPr>
        <w:tc>
          <w:tcPr>
            <w:tcW w:w="2445" w:type="dxa"/>
          </w:tcPr>
          <w:p>
            <w:pPr>
              <w:pStyle w:val="TableText"/>
            </w:pPr>
            <w:r>
              <w:rPr>
                <w:b/>
                <w:sz w:val="18"/>
                <w:szCs w:val="18"/>
              </w:rPr>
              <w:t xml:space="preserve">LDAPS</w:t>
            </w:r>
          </w:p>
        </w:tc>
        <w:tc>
          <w:tcPr>
            <w:tcW w:w="7192" w:type="dxa"/>
          </w:tcPr>
          <w:p>
            <w:pPr>
              <w:pStyle w:val="TableText"/>
            </w:pPr>
            <w:r>
              <w:rPr>
                <w:sz w:val="18"/>
                <w:szCs w:val="18"/>
              </w:rPr>
              <w:t xml:space="preserve">LDAP chiffré en TLS (port 636), utilisé pour vérifier les identifiants Windows.</w:t>
            </w:r>
          </w:p>
        </w:tc>
      </w:tr>
      <w:tr>
        <w:trPr>
          <w:cantSplit/>
        </w:trPr>
        <w:tc>
          <w:tcPr>
            <w:tcW w:w="2445" w:type="dxa"/>
            <w:shd w:val="clear" w:color="auto" w:fill="F4F7FC"/>
          </w:tcPr>
          <w:p>
            <w:pPr>
              <w:pStyle w:val="TableText"/>
            </w:pPr>
            <w:r>
              <w:rPr>
                <w:b/>
                <w:sz w:val="18"/>
                <w:szCs w:val="18"/>
              </w:rPr>
              <w:t xml:space="preserve">N1 / N2 / N3</w:t>
            </w:r>
          </w:p>
        </w:tc>
        <w:tc>
          <w:tcPr>
            <w:tcW w:w="7192" w:type="dxa"/>
            <w:shd w:val="clear" w:color="auto" w:fill="F4F7FC"/>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FlexLM : 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(refus, sessions à la seconde). RLM : sondage </w:t>
            </w:r>
            <w:r>
              <w:rPr>
                <w:rFonts w:ascii="Consolas" w:hAnsi="Consolas" w:cs="Consolas"/>
                <w:color w:val="1C5CAB"/>
                <w:sz w:val="18"/>
                <w:szCs w:val="18"/>
                <w:shd w:val="clear" w:color="auto" w:fill="EEF3FA"/>
              </w:rPr>
              <w:t xml:space="preserve">rlmutil rlmstat -a</w:t>
            </w:r>
            <w:r>
              <w:rPr>
                <w:sz w:val="18"/>
                <w:szCs w:val="18"/>
              </w:rPr>
              <w:t xml:space="preserve"> (pools, jetons, utilisateurs, échéances). Aucun agent sur les postes.</w:t>
            </w:r>
          </w:p>
        </w:tc>
      </w:tr>
      <w:tr>
        <w:trPr>
          <w:cantSplit/>
        </w:trPr>
        <w:tc>
          <w:tcPr>
            <w:tcW w:w="2013" w:type="dxa"/>
            <w:shd w:val="clear" w:color="auto" w:fill="F4F7FC"/>
          </w:tcPr>
          <w:p>
            <w:pPr>
              <w:pStyle w:val="TableText"/>
            </w:pPr>
            <w:r>
              <w:rPr>
                <w:b/>
                <w:sz w:val="18"/>
                <w:szCs w:val="18"/>
              </w:rPr>
              <w:t xml:space="preserve">Alertes et tickets</w:t>
            </w:r>
          </w:p>
        </w:tc>
        <w:tc>
          <w:tcPr>
            <w:tcW w:w="7624" w:type="dxa"/>
            <w:shd w:val="clear" w:color="auto" w:fill="F4F7FC"/>
          </w:tcPr>
          <w:p>
            <w:pPr>
              <w:pStyle w:val="TableText"/>
            </w:pPr>
            <w:r>
              <w:rPr>
                <w:sz w:val="18"/>
                <w:szCs w:val="18"/>
              </w:rPr>
              <w:t xml:space="preserve">Dès la collecte suivante : collecte en échec ou arrêtée (puis rétablie), nouveaux refus, plus aucun jeton disponible, licence qui expire ; par e-mail et / ou ticket ServiceNow, Jira, GLPI, Teams / Slack, ouvert, complété puis résolu automatiquement.</w:t>
            </w:r>
          </w:p>
        </w:tc>
      </w:tr>
      <w:tr>
        <w:trPr>
          <w:cantSplit/>
        </w:trPr>
        <w:tc>
          <w:tcPr>
            <w:tcW w:w="2013" w:type="dxa"/>
          </w:tcPr>
          <w:p>
            <w:pPr>
              <w:pStyle w:val="TableText"/>
            </w:pPr>
            <w:r>
              <w:rPr>
                <w:b/>
                <w:sz w:val="18"/>
                <w:szCs w:val="18"/>
              </w:rPr>
              <w:t xml:space="preserve">Rôles</w:t>
            </w:r>
          </w:p>
        </w:tc>
        <w:tc>
          <w:tcPr>
            <w:tcW w:w="7624" w:type="dxa"/>
          </w:tcPr>
          <w:p>
            <w:pPr>
              <w:pStyle w:val="TableText"/>
            </w:pPr>
            <w:r>
              <w:rPr>
                <w:sz w:val="18"/>
                <w:szCs w:val="18"/>
              </w:rPr>
              <w:t xml:space="preserve">Administrateur, lecteur, responsable de service (ne voit que ses services, exports compris), par groupe AD ou par compte.</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26.3.0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 FlexLM</w:t>
            </w:r>
          </w:p>
        </w:tc>
      </w:tr>
      <w:tr>
        <w:trPr>
          <w:cantSplit/>
        </w:trPr>
        <w:tc>
          <w:tcPr>
            <w:tcW w:w="2478" w:type="dxa"/>
          </w:tcPr>
          <w:p>
            <w:pPr>
              <w:pStyle w:val="TableText"/>
            </w:pPr>
            <w:r>
              <w:rPr>
                <w:sz w:val="18"/>
                <w:szCs w:val="18"/>
              </w:rPr>
              <w:t xml:space="preserve">rlmutil.exe (option)</w:t>
            </w:r>
          </w:p>
        </w:tc>
        <w:tc>
          <w:tcPr>
            <w:tcW w:w="3029" w:type="dxa"/>
          </w:tcPr>
          <w:p>
            <w:pPr>
              <w:pStyle w:val="TableText"/>
            </w:pPr>
            <w:r>
              <w:rPr>
                <w:sz w:val="18"/>
                <w:szCs w:val="18"/>
              </w:rPr>
              <w:t xml:space="preserve">Fourni avec RLM (12 ou supérieur)</w:t>
            </w:r>
          </w:p>
        </w:tc>
        <w:tc>
          <w:tcPr>
            <w:tcW w:w="4130" w:type="dxa"/>
          </w:tcPr>
          <w:p>
            <w:pPr>
              <w:pStyle w:val="TableText"/>
            </w:pPr>
            <w:r>
              <w:rPr>
                <w:sz w:val="18"/>
                <w:szCs w:val="18"/>
              </w:rPr>
              <w:t xml:space="preserve">Interrogation des serveurs de licences RLM</w:t>
            </w:r>
          </w:p>
        </w:tc>
      </w:tr>
      <w:tr>
        <w:trPr>
          <w:cantSplit/>
        </w:trPr>
        <w:tc>
          <w:tcPr>
            <w:tcW w:w="2478" w:type="dxa"/>
            <w:shd w:val="clear" w:color="auto" w:fill="F4F7FC"/>
          </w:tcPr>
          <w:p>
            <w:pPr>
              <w:pStyle w:val="TableText"/>
            </w:pPr>
            <w:r>
              <w:rPr>
                <w:sz w:val="18"/>
                <w:szCs w:val="18"/>
              </w:rPr>
              <w:t xml:space="preserve">ODBC Driver for SQL Server</w:t>
            </w:r>
          </w:p>
        </w:tc>
        <w:tc>
          <w:tcPr>
            <w:tcW w:w="3029" w:type="dxa"/>
            <w:shd w:val="clear" w:color="auto" w:fill="F4F7FC"/>
          </w:tcPr>
          <w:p>
            <w:pPr>
              <w:pStyle w:val="TableText"/>
            </w:pPr>
            <w:r>
              <w:rPr>
                <w:sz w:val="18"/>
                <w:szCs w:val="18"/>
              </w:rPr>
              <w:t xml:space="preserve">18</w:t>
            </w:r>
          </w:p>
        </w:tc>
        <w:tc>
          <w:tcPr>
            <w:tcW w:w="4130" w:type="dxa"/>
            <w:shd w:val="clear" w:color="auto" w:fill="F4F7FC"/>
          </w:tcPr>
          <w:p>
            <w:pPr>
              <w:pStyle w:val="TableText"/>
            </w:pPr>
            <w:r>
              <w:rPr>
                <w:sz w:val="18"/>
                <w:szCs w:val="18"/>
              </w:rPr>
              <w:t xml:space="preserve">Connexion à la base</w:t>
            </w:r>
          </w:p>
        </w:tc>
      </w:tr>
      <w:tr>
        <w:trPr>
          <w:cantSplit/>
        </w:trPr>
        <w:tc>
          <w:tcPr>
            <w:tcW w:w="2478" w:type="dxa"/>
          </w:tcPr>
          <w:p>
            <w:pPr>
              <w:pStyle w:val="TableText"/>
            </w:pPr>
            <w:r>
              <w:rPr>
                <w:sz w:val="18"/>
                <w:szCs w:val="18"/>
              </w:rPr>
              <w:t xml:space="preserve">SQL Server</w:t>
            </w:r>
          </w:p>
        </w:tc>
        <w:tc>
          <w:tcPr>
            <w:tcW w:w="3029" w:type="dxa"/>
          </w:tcPr>
          <w:p>
            <w:pPr>
              <w:pStyle w:val="TableText"/>
            </w:pPr>
            <w:r>
              <w:rPr>
                <w:sz w:val="18"/>
                <w:szCs w:val="18"/>
              </w:rPr>
              <w:t xml:space="preserve">2016 ou supérieur (validé 2022)</w:t>
            </w:r>
          </w:p>
        </w:tc>
        <w:tc>
          <w:tcPr>
            <w:tcW w:w="4130" w:type="dxa"/>
          </w:tcPr>
          <w:p>
            <w:pPr>
              <w:pStyle w:val="TableText"/>
            </w:pPr>
            <w:r>
              <w:rPr>
                <w:sz w:val="18"/>
                <w:szCs w:val="18"/>
              </w:rPr>
              <w:t xml:space="preserve">Stockage de l'historique</w:t>
            </w:r>
          </w:p>
        </w:tc>
      </w:tr>
      <w:tr>
        <w:trPr>
          <w:cantSplit/>
        </w:trPr>
        <w:tc>
          <w:tcPr>
            <w:tcW w:w="2478" w:type="dxa"/>
            <w:shd w:val="clear" w:color="auto" w:fill="F4F7FC"/>
          </w:tcPr>
          <w:p>
            <w:pPr>
              <w:pStyle w:val="TableText"/>
            </w:pPr>
            <w:r>
              <w:rPr>
                <w:sz w:val="18"/>
                <w:szCs w:val="18"/>
              </w:rPr>
              <w:t xml:space="preserve">Planificateur de tâches</w:t>
            </w:r>
          </w:p>
        </w:tc>
        <w:tc>
          <w:tcPr>
            <w:tcW w:w="3029" w:type="dxa"/>
            <w:shd w:val="clear" w:color="auto" w:fill="F4F7FC"/>
          </w:tcPr>
          <w:p>
            <w:pPr>
              <w:pStyle w:val="TableText"/>
            </w:pPr>
            <w:r>
              <w:rPr>
                <w:sz w:val="18"/>
                <w:szCs w:val="18"/>
              </w:rPr>
              <w:t xml:space="preserve">Windows Server 2016 ou supérieur</w:t>
            </w:r>
          </w:p>
        </w:tc>
        <w:tc>
          <w:tcPr>
            <w:tcW w:w="4130" w:type="dxa"/>
            <w:shd w:val="clear" w:color="auto" w:fill="F4F7FC"/>
          </w:tcPr>
          <w:p>
            <w:pPr>
              <w:pStyle w:val="TableText"/>
            </w:pPr>
            <w:r>
              <w:rPr>
                <w:sz w:val="18"/>
                <w:szCs w:val="18"/>
              </w:rPr>
              <w:t xml:space="preserve">Ordonnancement</w:t>
            </w:r>
          </w:p>
        </w:tc>
      </w:tr>
      <w:tr>
        <w:trPr>
          <w:cantSplit/>
        </w:trPr>
        <w:tc>
          <w:tcPr>
            <w:tcW w:w="2478" w:type="dxa"/>
          </w:tcPr>
          <w:p>
            <w:pPr>
              <w:pStyle w:val="TableText"/>
            </w:pPr>
            <w:r>
              <w:rPr>
                <w:sz w:val="18"/>
                <w:szCs w:val="18"/>
              </w:rPr>
              <w:t xml:space="preserve">Navigateur</w:t>
            </w:r>
          </w:p>
        </w:tc>
        <w:tc>
          <w:tcPr>
            <w:tcW w:w="3029" w:type="dxa"/>
          </w:tcPr>
          <w:p>
            <w:pPr>
              <w:pStyle w:val="TableText"/>
            </w:pPr>
            <w:r>
              <w:rPr>
                <w:sz w:val="18"/>
                <w:szCs w:val="18"/>
              </w:rPr>
              <w:t xml:space="preserve">Edge, Chrome, Firefox récents</w:t>
            </w:r>
          </w:p>
        </w:tc>
        <w:tc>
          <w:tcPr>
            <w:tcW w:w="4130" w:type="dxa"/>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lmutil / rlmutil, serveurs (type FlexLM ou RLM, triades, log debug)</w:t>
            </w:r>
          </w:p>
        </w:tc>
        <w:tc>
          <w:tcPr>
            <w:tcW w:w="3029" w:type="dxa"/>
          </w:tcPr>
          <w:p>
            <w:pPr>
              <w:pStyle w:val="TableText"/>
            </w:pPr>
            <w:r>
              <w:rPr>
                <w:sz w:val="18"/>
                <w:szCs w:val="18"/>
              </w:rPr>
              <w:t xml:space="preserve">lmstat / rlmstat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 alertes immédiates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Récapitulatif</w:t>
            </w:r>
          </w:p>
        </w:tc>
        <w:tc>
          <w:tcPr>
            <w:tcW w:w="4405" w:type="dxa"/>
            <w:shd w:val="clear" w:color="auto" w:fill="F4F7FC"/>
          </w:tcPr>
          <w:p>
            <w:pPr>
              <w:pStyle w:val="TableText"/>
            </w:pPr>
            <w:r>
              <w:rPr>
                <w:sz w:val="18"/>
                <w:szCs w:val="18"/>
              </w:rPr>
              <w:t xml:space="preserve">Configuration, prérequis, tâches, étapes, heptagoneslm.yaml généré</w:t>
            </w:r>
          </w:p>
        </w:tc>
        <w:tc>
          <w:tcPr>
            <w:tcW w:w="3029" w:type="dxa"/>
            <w:shd w:val="clear" w:color="auto" w:fill="F4F7FC"/>
          </w:tcPr>
          <w:p>
            <w:pPr>
              <w:pStyle w:val="TableText"/>
            </w:pPr>
            <w:r>
              <w:rPr>
                <w:sz w:val="18"/>
                <w:szCs w:val="18"/>
              </w:rPr>
              <w:t xml:space="preserve">Prérequis bloquants</w:t>
            </w:r>
          </w:p>
        </w:tc>
      </w:tr>
      <w:tr>
        <w:trPr>
          <w:cantSplit/>
        </w:trPr>
        <w:tc>
          <w:tcPr>
            <w:tcW w:w="2202" w:type="dxa"/>
          </w:tcPr>
          <w:p>
            <w:pPr>
              <w:pStyle w:val="TableText"/>
            </w:pPr>
            <w:r>
              <w:rPr>
                <w:sz w:val="18"/>
                <w:szCs w:val="18"/>
              </w:rPr>
              <w:t xml:space="preserve">9. Installation</w:t>
            </w:r>
          </w:p>
        </w:tc>
        <w:tc>
          <w:tcPr>
            <w:tcW w:w="4405" w:type="dxa"/>
          </w:tcPr>
          <w:p>
            <w:pPr>
              <w:pStyle w:val="TableText"/>
            </w:pPr>
            <w:r>
              <w:rPr>
                <w:sz w:val="18"/>
                <w:szCs w:val="18"/>
              </w:rPr>
              <w:t xml:space="preserve">Barre de progression, étapes, journal détaillé ; reprise à l'étape en échec</w:t>
            </w:r>
          </w:p>
        </w:tc>
        <w:tc>
          <w:tcPr>
            <w:tcW w:w="3029" w:type="dxa"/>
          </w:tcPr>
          <w:p>
            <w:pPr>
              <w:pStyle w:val="TableText"/>
            </w:pPr>
            <w:r>
              <w:rPr>
                <w:sz w:val="18"/>
                <w:szCs w:val="18"/>
              </w:rPr>
              <w:t xml:space="preserve">—</w:t>
            </w:r>
          </w:p>
        </w:tc>
      </w:tr>
      <w:tr>
        <w:trPr>
          <w:cantSplit/>
        </w:trPr>
        <w:tc>
          <w:tcPr>
            <w:tcW w:w="2202" w:type="dxa"/>
            <w:shd w:val="clear" w:color="auto" w:fill="F4F7FC"/>
          </w:tcPr>
          <w:p>
            <w:pPr>
              <w:pStyle w:val="TableText"/>
            </w:pPr>
            <w:r>
              <w:rPr>
                <w:sz w:val="18"/>
                <w:szCs w:val="18"/>
              </w:rPr>
              <w:t xml:space="preserve">10. Vérification</w:t>
            </w:r>
          </w:p>
        </w:tc>
        <w:tc>
          <w:tcPr>
            <w:tcW w:w="4405" w:type="dxa"/>
            <w:shd w:val="clear" w:color="auto" w:fill="F4F7FC"/>
          </w:tcPr>
          <w:p>
            <w:pPr>
              <w:pStyle w:val="TableText"/>
            </w:pPr>
            <w:r>
              <w:rPr>
                <w:sz w:val="18"/>
                <w:szCs w:val="18"/>
              </w:rPr>
              <w:t xml:space="preserve">Contrôle de bout en bout et rapport d'installation</w:t>
            </w:r>
          </w:p>
        </w:tc>
        <w:tc>
          <w:tcPr>
            <w:tcW w:w="3029" w:type="dxa"/>
            <w:shd w:val="clear" w:color="auto" w:fill="F4F7FC"/>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récapitulatif avant installation"/>
            <wp:cNvGraphicFramePr>
              <a:graphicFrameLocks noChangeAspect="1"/>
            </wp:cNvGraphicFramePr>
            <a:graphic>
              <a:graphicData uri="http://schemas.openxmlformats.org/drawingml/2006/picture">
                <pic:pic>
                  <pic:nvPicPr>
                    <pic:cNvPr id="8" name="installation-recapitulatif.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récapitulatif avant installation</w:t>
      </w:r>
      <w:bookmarkEnd w:id="32"/>
    </w:p>
    <w:p>
      <w:pPr>
        <w:pStyle w:val="Figure"/>
        <w:keepNext/>
      </w:pPr>
      <w:r>
        <w:drawing>
          <wp:inline distT="0" distB="0" distL="0" distR="0">
            <wp:extent cx="5580000" cy="3749062"/>
            <wp:docPr id="9" name="Image 9" descr="Assistant : installation avec barre de progression"/>
            <wp:cNvGraphicFramePr>
              <a:graphicFrameLocks noChangeAspect="1"/>
            </wp:cNvGraphicFramePr>
            <a:graphic>
              <a:graphicData uri="http://schemas.openxmlformats.org/drawingml/2006/picture">
                <pic:pic>
                  <pic:nvPicPr>
                    <pic:cNvPr id="9" name="installation-progression.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installation avec barre de progression</w:t>
      </w:r>
      <w:bookmarkEnd w:id="33"/>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0" name="Image 10" descr="Assistant : vérification finale de bout en bout"/>
            <wp:cNvGraphicFramePr>
              <a:graphicFrameLocks noChangeAspect="1"/>
            </wp:cNvGraphicFramePr>
            <a:graphic>
              <a:graphicData uri="http://schemas.openxmlformats.org/drawingml/2006/picture">
                <pic:pic>
                  <pic:nvPicPr>
                    <pic:cNvPr id="10" name="installation-verificat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vérification finale de bout en bout</w:t>
      </w:r>
      <w:bookmarkEnd w:id="34"/>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5" w:name="_Toc00035"/>
      <w:r>
        <w:rPr/>
        <w:t xml:space="preserve">Authentification unique : SPN, zone Intranet et test depuis un poste</w:t>
      </w:r>
      <w:bookmarkEnd w:id="35"/>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1" name="Image 11" descr="Page de test d'accès depuis un poste utilisateur (/acces)"/>
            <wp:cNvGraphicFramePr>
              <a:graphicFrameLocks noChangeAspect="1"/>
            </wp:cNvGraphicFramePr>
            <a:graphic>
              <a:graphicData uri="http://schemas.openxmlformats.org/drawingml/2006/picture">
                <pic:pic>
                  <pic:nvPicPr>
                    <pic:cNvPr id="11" name="test-acces.png"/>
                    <pic:cNvPicPr/>
                  </pic:nvPicPr>
                  <pic:blipFill>
                    <a:blip r:embed="rIdImg11"/>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6" w:name="_Fig00036"/>
      <w:r>
        <w:rPr/>
        <w:t xml:space="preserve">Figure </w:t>
      </w:r>
      <w:fldSimple w:instr=" SEQ Figure \* ARABIC ">
        <w:r>
          <w:t>10</w:t>
        </w:r>
      </w:fldSimple>
      <w:r>
        <w:rPr/>
        <w:t xml:space="preserve"> – Page de test d'accès depuis un poste utilisateur (/acces)</w:t>
      </w:r>
      <w:bookmarkEnd w:id="36"/>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7" w:name="_Toc00037"/>
      <w:r>
        <w:rPr/>
        <w:t xml:space="preserve">Installation silencieuse et serveur hors ligne</w:t>
      </w:r>
      <w:bookmarkEnd w:id="37"/>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8" w:name="_Toc00038"/>
      <w:r>
        <w:rPr/>
        <w:t xml:space="preserve">5.2 Installation manuelle</w:t>
      </w:r>
      <w:bookmarkEnd w:id="38"/>
    </w:p>
    <w:p>
      <w:pPr/>
      <w:r>
        <w:rPr/>
        <w:t xml:space="preserve">Étapes équivalentes à celles de l'assistant, à dérouler dans l'ordre.</w:t>
      </w:r>
    </w:p>
    <w:p>
      <w:pPr>
        <w:pStyle w:val="Heading3"/>
      </w:pPr>
      <w:bookmarkStart w:id="39" w:name="_Toc00039"/>
      <w:r>
        <w:rPr/>
        <w:t xml:space="preserve">5.2.1 Création de la base (DBA)</w:t>
      </w:r>
      <w:bookmarkEnd w:id="39"/>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0" w:name="_Toc00040"/>
      <w:r>
        <w:rPr/>
        <w:t xml:space="preserve">5.2.2 Déploiement des binaires</w:t>
      </w:r>
      <w:bookmarkEnd w:id="40"/>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HeptagonesLM.exe</w:t>
      </w:r>
      <w:r>
        <w:rPr/>
        <w:t xml:space="preserve"> (page Releases du dépôt) dans </w:t>
      </w:r>
      <w:r>
        <w:rPr>
          <w:rFonts w:ascii="Consolas" w:hAnsi="Consolas" w:cs="Consolas"/>
          <w:color w:val="1C5CAB"/>
          <w:sz w:val="18"/>
          <w:szCs w:val="18"/>
          <w:shd w:val="clear" w:color="auto" w:fill="EEF3FA"/>
        </w:rPr>
        <w:t xml:space="preserve">C:\HeptagonesLM</w:t>
      </w:r>
      <w:r>
        <w:rPr/>
        <w:t xml:space="preserve">, puis vérifier son empreinte :</w:t>
      </w:r>
    </w:p>
    <w:p>
      <w:pPr>
        <w:pStyle w:val="Code"/>
      </w:pPr>
      <w:r>
        <w:t xml:space="preserve">Get-FileHash C:\HeptagonesLM\HeptagonesLM.exe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1" w:name="_Toc00041"/>
      <w:r>
        <w:rPr/>
        <w:t xml:space="preserve">5.2.3 Configuration</w:t>
      </w:r>
      <w:bookmarkEnd w:id="41"/>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2" w:name="_Toc00042"/>
      <w:r>
        <w:rPr/>
        <w:t xml:space="preserve">5.2.4 Initialisation du schéma</w:t>
      </w:r>
      <w:bookmarkEnd w:id="42"/>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3" w:name="_Toc00043"/>
      <w:r>
        <w:rPr/>
        <w:t xml:space="preserve">5.2.5 Vérification des serveurs de licences</w:t>
      </w:r>
      <w:bookmarkEnd w:id="43"/>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4" w:name="_Toc00044"/>
      <w:r>
        <w:rPr/>
        <w:t xml:space="preserve">5.2.6 Planification des tâches</w:t>
      </w:r>
      <w:bookmarkEnd w:id="44"/>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5" w:name="_Toc00045"/>
      <w:r>
        <w:rPr/>
        <w:t xml:space="preserve">5.2.7 Référentiel utilisateurs</w:t>
      </w:r>
      <w:bookmarkEnd w:id="45"/>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6" w:name="_Toc00046"/>
      <w:r>
        <w:rPr/>
        <w:t xml:space="preserve">5.2.8 Reprise d'historique (option)</w:t>
      </w:r>
      <w:bookmarkEnd w:id="46"/>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7" w:name="_Toc00047"/>
      <w:r>
        <w:rPr/>
        <w:t xml:space="preserve">5.2.9 Ouverture de l'interface sur le réseau</w:t>
      </w:r>
      <w:bookmarkEnd w:id="47"/>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8" w:name="_Toc00048"/>
      <w:r>
        <w:rPr/>
        <w:t xml:space="preserve">5.3 Recette de mise en service</w:t>
      </w:r>
      <w:bookmarkEnd w:id="48"/>
    </w:p>
    <w:p>
      <w:pPr>
        <w:pStyle w:val="Caption"/>
        <w:keepNext/>
      </w:pPr>
      <w:r>
        <w:rPr/>
        <w:t xml:space="preserve">Tableau 14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49" w:name="_Toc00049"/>
      <w:r>
        <w:rPr/>
        <w:t xml:space="preserve">6. Configuration de référence</w:t>
      </w:r>
      <w:bookmarkEnd w:id="49"/>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0" w:name="_Toc00050"/>
      <w:r>
        <w:rPr/>
        <w:t xml:space="preserve">6.1 Sections du fichier</w:t>
      </w:r>
      <w:bookmarkEnd w:id="5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51" w:name="_Toc00051"/>
      <w:r>
        <w:rPr/>
        <w:t xml:space="preserve">6.2 Paramètres détaillés</w:t>
      </w:r>
      <w:bookmarkEnd w:id="51"/>
    </w:p>
    <w:p>
      <w:pPr>
        <w:pStyle w:val="Heading3"/>
      </w:pPr>
      <w:bookmarkStart w:id="52" w:name="_Toc00052"/>
      <w:r>
        <w:rPr/>
        <w:t xml:space="preserve">database, lmutil_path, logging</w:t>
      </w:r>
      <w:bookmarkEnd w:id="5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rlmutil_path</w:t>
            </w:r>
          </w:p>
        </w:tc>
        <w:tc>
          <w:tcPr>
            <w:tcW w:w="1376" w:type="dxa"/>
          </w:tcPr>
          <w:p>
            <w:pPr>
              <w:pStyle w:val="TableText"/>
            </w:pPr>
            <w:r>
              <w:rPr>
                <w:sz w:val="18"/>
                <w:szCs w:val="18"/>
              </w:rPr>
              <w:t xml:space="preserve">rlmutil</w:t>
            </w:r>
          </w:p>
        </w:tc>
        <w:tc>
          <w:tcPr>
            <w:tcW w:w="5232" w:type="dxa"/>
          </w:tcPr>
          <w:p>
            <w:pPr>
              <w:pStyle w:val="TableText"/>
            </w:pPr>
            <w:r>
              <w:rPr>
                <w:sz w:val="18"/>
                <w:szCs w:val="18"/>
              </w:rPr>
              <w:t xml:space="preserve">Chemin de rlmutil.exe pour les serveurs RLM (surchargeable par serveur)</w:t>
            </w:r>
          </w:p>
        </w:tc>
      </w:tr>
      <w:tr>
        <w:trPr>
          <w:cantSplit/>
        </w:trPr>
        <w:tc>
          <w:tcPr>
            <w:tcW w:w="3029" w:type="dxa"/>
            <w:shd w:val="clear" w:color="auto" w:fill="F4F7FC"/>
          </w:tcPr>
          <w:p>
            <w:pPr>
              <w:pStyle w:val="TableText"/>
            </w:pPr>
            <w:r>
              <w:rPr>
                <w:sz w:val="18"/>
                <w:szCs w:val="18"/>
              </w:rPr>
              <w:t xml:space="preserve">logging.file</w:t>
            </w:r>
          </w:p>
        </w:tc>
        <w:tc>
          <w:tcPr>
            <w:tcW w:w="1376" w:type="dxa"/>
            <w:shd w:val="clear" w:color="auto" w:fill="F4F7FC"/>
          </w:tcPr>
          <w:p>
            <w:pPr>
              <w:pStyle w:val="TableText"/>
            </w:pPr>
            <w:r>
              <w:rPr>
                <w:sz w:val="18"/>
                <w:szCs w:val="18"/>
              </w:rPr>
              <w:t xml:space="preserve">(aucun)</w:t>
            </w:r>
          </w:p>
        </w:tc>
        <w:tc>
          <w:tcPr>
            <w:tcW w:w="5232" w:type="dxa"/>
            <w:shd w:val="clear" w:color="auto" w:fill="F4F7FC"/>
          </w:tcPr>
          <w:p>
            <w:pPr>
              <w:pStyle w:val="TableText"/>
            </w:pPr>
            <w:r>
              <w:rPr>
                <w:sz w:val="18"/>
                <w:szCs w:val="18"/>
              </w:rPr>
              <w:t xml:space="preserve">Fichier journal ; rotation automatique 5 fichiers de 5 Mo</w:t>
            </w:r>
          </w:p>
        </w:tc>
      </w:tr>
      <w:tr>
        <w:trPr>
          <w:cantSplit/>
        </w:trPr>
        <w:tc>
          <w:tcPr>
            <w:tcW w:w="3029" w:type="dxa"/>
          </w:tcPr>
          <w:p>
            <w:pPr>
              <w:pStyle w:val="TableText"/>
            </w:pPr>
            <w:r>
              <w:rPr>
                <w:sz w:val="18"/>
                <w:szCs w:val="18"/>
              </w:rPr>
              <w:t xml:space="preserve">logging.level</w:t>
            </w:r>
          </w:p>
        </w:tc>
        <w:tc>
          <w:tcPr>
            <w:tcW w:w="1376" w:type="dxa"/>
          </w:tcPr>
          <w:p>
            <w:pPr>
              <w:pStyle w:val="TableText"/>
            </w:pPr>
            <w:r>
              <w:rPr>
                <w:sz w:val="18"/>
                <w:szCs w:val="18"/>
              </w:rPr>
              <w:t xml:space="preserve">INFO</w:t>
            </w:r>
          </w:p>
        </w:tc>
        <w:tc>
          <w:tcPr>
            <w:tcW w:w="5232" w:type="dxa"/>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3" w:name="_Toc00053"/>
      <w:r>
        <w:rPr/>
        <w:t xml:space="preserve">servers (un bloc par serveur de licences)</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w:t>
            </w:r>
            <w:r>
              <w:rPr>
                <w:rFonts w:ascii="Consolas" w:hAnsi="Consolas" w:cs="Consolas"/>
                <w:color w:val="1C5CAB"/>
                <w:sz w:val="18"/>
                <w:szCs w:val="18"/>
                <w:shd w:val="clear" w:color="auto" w:fill="EEF3FA"/>
              </w:rPr>
              <w:t xml:space="preserve">port@hôte</w:t>
            </w:r>
            <w:r>
              <w:rPr>
                <w:sz w:val="18"/>
                <w:szCs w:val="18"/>
              </w:rPr>
              <w:t xml:space="preserve"> ; triade FlexLM : </w:t>
            </w:r>
            <w:r>
              <w:rPr>
                <w:rFonts w:ascii="Consolas" w:hAnsi="Consolas" w:cs="Consolas"/>
                <w:color w:val="1C5CAB"/>
                <w:sz w:val="18"/>
                <w:szCs w:val="18"/>
                <w:shd w:val="clear" w:color="auto" w:fill="EEF3FA"/>
              </w:rPr>
              <w:t xml:space="preserve">27000@a:27000@b:27000@c</w:t>
            </w:r>
            <w:r>
              <w:rPr>
                <w:sz w:val="18"/>
                <w:szCs w:val="18"/>
              </w:rPr>
              <w:t xml:space="preserve"> ; RLM : port du serveur rlm (5053)</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 </w:t>
            </w:r>
            <w:r>
              <w:rPr>
                <w:rFonts w:ascii="Consolas" w:hAnsi="Consolas" w:cs="Consolas"/>
                <w:color w:val="1C5CAB"/>
                <w:sz w:val="18"/>
                <w:szCs w:val="18"/>
                <w:shd w:val="clear" w:color="auto" w:fill="EEF3FA"/>
              </w:rPr>
              <w:t xml:space="preserve">flexlm</w:t>
            </w:r>
            <w:r>
              <w:rPr>
                <w:sz w:val="18"/>
                <w:szCs w:val="18"/>
              </w:rPr>
              <w:t xml:space="preserve"> ou </w:t>
            </w:r>
            <w:r>
              <w:rPr>
                <w:rFonts w:ascii="Consolas" w:hAnsi="Consolas" w:cs="Consolas"/>
                <w:color w:val="1C5CAB"/>
                <w:sz w:val="18"/>
                <w:szCs w:val="18"/>
                <w:shd w:val="clear" w:color="auto" w:fill="EEF3FA"/>
              </w:rPr>
              <w:t xml:space="preserve">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 / [rlmstat]</w:t>
            </w:r>
          </w:p>
        </w:tc>
        <w:tc>
          <w:tcPr>
            <w:tcW w:w="6058" w:type="dxa"/>
            <w:shd w:val="clear" w:color="auto" w:fill="F4F7FC"/>
          </w:tcPr>
          <w:p>
            <w:pPr>
              <w:pStyle w:val="TableText"/>
            </w:pPr>
            <w:r>
              <w:rPr>
                <w:sz w:val="18"/>
                <w:szCs w:val="18"/>
              </w:rPr>
              <w:t xml:space="preserve">FlexLM : </w:t>
            </w: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 ; RLM : </w:t>
            </w:r>
            <w:r>
              <w:rPr>
                <w:rFonts w:ascii="Consolas" w:hAnsi="Consolas" w:cs="Consolas"/>
                <w:color w:val="1C5CAB"/>
                <w:sz w:val="18"/>
                <w:szCs w:val="18"/>
                <w:shd w:val="clear" w:color="auto" w:fill="EEF3FA"/>
              </w:rPr>
              <w:t xml:space="preserve">rlmstat</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 / rlmstat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r>
              <w:rPr>
                <w:sz w:val="18"/>
                <w:szCs w:val="18"/>
              </w:rPr>
              <w:t xml:space="preserve"> (FlexLM), </w:t>
            </w:r>
            <w:r>
              <w:rPr>
                <w:rFonts w:ascii="Consolas" w:hAnsi="Consolas" w:cs="Consolas"/>
                <w:color w:val="1C5CAB"/>
                <w:sz w:val="18"/>
                <w:szCs w:val="18"/>
                <w:shd w:val="clear" w:color="auto" w:fill="EEF3FA"/>
              </w:rPr>
              <w:t xml:space="preserve">rlmstat</w:t>
            </w:r>
            <w:r>
              <w:rPr>
                <w:sz w:val="18"/>
                <w:szCs w:val="18"/>
              </w:rPr>
              <w:t xml:space="preserve"> (RLM)</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4" w:name="_Toc00054"/>
      <w:r>
        <w:rPr/>
        <w:t xml:space="preserve">products (règles de correspondance)</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5" w:name="_Toc00055"/>
      <w:r>
        <w:rPr/>
        <w:t xml:space="preserve">reporting</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6" w:name="_Toc00056"/>
      <w:r>
        <w:rPr/>
        <w:t xml:space="preserve">web et web.auth</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r>
        <w:trPr>
          <w:cantSplit/>
        </w:trPr>
        <w:tc>
          <w:tcPr>
            <w:tcW w:w="3166" w:type="dxa"/>
            <w:shd w:val="clear" w:color="auto" w:fill="F4F7FC"/>
          </w:tcPr>
          <w:p>
            <w:pPr>
              <w:pStyle w:val="TableText"/>
            </w:pPr>
            <w:r>
              <w:rPr>
                <w:sz w:val="18"/>
                <w:szCs w:val="18"/>
              </w:rPr>
              <w:t xml:space="preserve">auth.groups_header</w:t>
            </w:r>
          </w:p>
        </w:tc>
        <w:tc>
          <w:tcPr>
            <w:tcW w:w="2065" w:type="dxa"/>
            <w:shd w:val="clear" w:color="auto" w:fill="F4F7FC"/>
          </w:tcPr>
          <w:p>
            <w:pPr>
              <w:pStyle w:val="TableText"/>
            </w:pPr>
            <w:r>
              <w:rPr>
                <w:sz w:val="18"/>
                <w:szCs w:val="18"/>
              </w:rPr>
              <w:t xml:space="preserve">X-Remote-Groups</w:t>
            </w:r>
          </w:p>
        </w:tc>
        <w:tc>
          <w:tcPr>
            <w:tcW w:w="4405" w:type="dxa"/>
            <w:shd w:val="clear" w:color="auto" w:fill="F4F7FC"/>
          </w:tcPr>
          <w:p>
            <w:pPr>
              <w:pStyle w:val="TableText"/>
            </w:pPr>
            <w:r>
              <w:rPr>
                <w:sz w:val="18"/>
                <w:szCs w:val="18"/>
              </w:rPr>
              <w:t xml:space="preserve">Mode header : groupes Windows transmis par le module IIS (rôles)</w:t>
            </w:r>
          </w:p>
        </w:tc>
      </w:tr>
      <w:tr>
        <w:trPr>
          <w:cantSplit/>
        </w:trPr>
        <w:tc>
          <w:tcPr>
            <w:tcW w:w="3166" w:type="dxa"/>
          </w:tcPr>
          <w:p>
            <w:pPr>
              <w:pStyle w:val="TableText"/>
            </w:pPr>
            <w:r>
              <w:rPr>
                <w:sz w:val="18"/>
                <w:szCs w:val="18"/>
              </w:rPr>
              <w:t xml:space="preserve">roles.admins / readers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ou comptes à vue globale (section absente : tout le monde voit tout)</w:t>
            </w:r>
          </w:p>
        </w:tc>
      </w:tr>
      <w:tr>
        <w:trPr>
          <w:cantSplit/>
        </w:trPr>
        <w:tc>
          <w:tcPr>
            <w:tcW w:w="3166" w:type="dxa"/>
            <w:shd w:val="clear" w:color="auto" w:fill="F4F7FC"/>
          </w:tcPr>
          <w:p>
            <w:pPr>
              <w:pStyle w:val="TableText"/>
            </w:pPr>
            <w:r>
              <w:rPr>
                <w:sz w:val="18"/>
                <w:szCs w:val="18"/>
              </w:rPr>
              <w:t xml:space="preserve">roles.departments[]</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Responsables de service : group ou user, departments, servers / products optionnels</w:t>
            </w:r>
          </w:p>
        </w:tc>
      </w:tr>
      <w:tr>
        <w:trPr>
          <w:cantSplit/>
        </w:trPr>
        <w:tc>
          <w:tcPr>
            <w:tcW w:w="3166" w:type="dxa"/>
          </w:tcPr>
          <w:p>
            <w:pPr>
              <w:pStyle w:val="TableText"/>
            </w:pPr>
            <w:r>
              <w:rPr>
                <w:sz w:val="18"/>
                <w:szCs w:val="18"/>
              </w:rPr>
              <w:t xml:space="preserve">roles.default</w:t>
            </w:r>
          </w:p>
        </w:tc>
        <w:tc>
          <w:tcPr>
            <w:tcW w:w="2065" w:type="dxa"/>
          </w:tcPr>
          <w:p>
            <w:pPr>
              <w:pStyle w:val="TableText"/>
            </w:pPr>
            <w:r>
              <w:rPr>
                <w:sz w:val="18"/>
                <w:szCs w:val="18"/>
              </w:rPr>
              <w:t xml:space="preserve">none</w:t>
            </w:r>
          </w:p>
        </w:tc>
        <w:tc>
          <w:tcPr>
            <w:tcW w:w="4405" w:type="dxa"/>
          </w:tcPr>
          <w:p>
            <w:pPr>
              <w:pStyle w:val="TableText"/>
            </w:pPr>
            <w:r>
              <w:rPr>
                <w:sz w:val="18"/>
                <w:szCs w:val="18"/>
              </w:rPr>
              <w:t xml:space="preserve">Utilisateur sans rôle : </w:t>
            </w:r>
            <w:r>
              <w:rPr>
                <w:rFonts w:ascii="Consolas" w:hAnsi="Consolas" w:cs="Consolas"/>
                <w:color w:val="1C5CAB"/>
                <w:sz w:val="18"/>
                <w:szCs w:val="18"/>
                <w:shd w:val="clear" w:color="auto" w:fill="EEF3FA"/>
              </w:rPr>
              <w:t xml:space="preserve">none</w:t>
            </w:r>
            <w:r>
              <w:rPr>
                <w:sz w:val="18"/>
                <w:szCs w:val="18"/>
              </w:rPr>
              <w:t xml:space="preserve"> (refusé) ou </w:t>
            </w:r>
            <w:r>
              <w:rPr>
                <w:rFonts w:ascii="Consolas" w:hAnsi="Consolas" w:cs="Consolas"/>
                <w:color w:val="1C5CAB"/>
                <w:sz w:val="18"/>
                <w:szCs w:val="18"/>
                <w:shd w:val="clear" w:color="auto" w:fill="EEF3FA"/>
              </w:rPr>
              <w:t xml:space="preserve">reader</w:t>
            </w:r>
          </w:p>
        </w:tc>
      </w:tr>
    </w:tbl>
    <w:p>
      <w:pPr>
        <w:spacing w:after="80"/>
      </w:pPr>
    </w:p>
    <w:p>
      <w:pPr>
        <w:pStyle w:val="Heading3"/>
      </w:pPr>
      <w:bookmarkStart w:id="57" w:name="_Toc00057"/>
      <w:r>
        <w:rPr/>
        <w:t xml:space="preserve">email</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58" w:name="_Toc00058"/>
      <w:r>
        <w:rPr/>
        <w:t xml:space="preserve">alerts (alertes immédiates et tickets ITSM)</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recipients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Destinataires e-mail (nécessite email.smtp_host) ; vide : pas d'e-mail</w:t>
            </w:r>
          </w:p>
        </w:tc>
      </w:tr>
      <w:tr>
        <w:trPr>
          <w:cantSplit/>
        </w:trPr>
        <w:tc>
          <w:tcPr>
            <w:tcW w:w="3304" w:type="dxa"/>
            <w:shd w:val="clear" w:color="auto" w:fill="F4F7FC"/>
          </w:tcPr>
          <w:p>
            <w:pPr>
              <w:pStyle w:val="TableText"/>
            </w:pPr>
            <w:r>
              <w:rPr>
                <w:sz w:val="18"/>
                <w:szCs w:val="18"/>
              </w:rPr>
              <w:t xml:space="preserve">types</w:t>
            </w:r>
          </w:p>
        </w:tc>
        <w:tc>
          <w:tcPr>
            <w:tcW w:w="2065" w:type="dxa"/>
            <w:shd w:val="clear" w:color="auto" w:fill="F4F7FC"/>
          </w:tcPr>
          <w:p>
            <w:pPr>
              <w:pStyle w:val="TableText"/>
            </w:pPr>
            <w:r>
              <w:rPr>
                <w:sz w:val="18"/>
                <w:szCs w:val="18"/>
              </w:rPr>
              <w:t xml:space="preserve">toutes</w:t>
            </w:r>
          </w:p>
        </w:tc>
        <w:tc>
          <w:tcPr>
            <w:tcW w:w="4268" w:type="dxa"/>
            <w:shd w:val="clear" w:color="auto" w:fill="F4F7FC"/>
          </w:tcPr>
          <w:p>
            <w:pPr>
              <w:pStyle w:val="TableText"/>
            </w:pPr>
            <w:r>
              <w:rPr>
                <w:sz w:val="18"/>
                <w:szCs w:val="18"/>
              </w:rPr>
              <w:t xml:space="preserve">collection, denial, saturation, expiry</w:t>
            </w:r>
          </w:p>
        </w:tc>
      </w:tr>
      <w:tr>
        <w:trPr>
          <w:cantSplit/>
        </w:trPr>
        <w:tc>
          <w:tcPr>
            <w:tcW w:w="3304" w:type="dxa"/>
          </w:tcPr>
          <w:p>
            <w:pPr>
              <w:pStyle w:val="TableText"/>
            </w:pPr>
            <w:r>
              <w:rPr>
                <w:sz w:val="18"/>
                <w:szCs w:val="18"/>
              </w:rPr>
              <w:t xml:space="preserve">servers / products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Filtres optionnels</w:t>
            </w:r>
          </w:p>
        </w:tc>
      </w:tr>
      <w:tr>
        <w:trPr>
          <w:cantSplit/>
        </w:trPr>
        <w:tc>
          <w:tcPr>
            <w:tcW w:w="3304" w:type="dxa"/>
            <w:shd w:val="clear" w:color="auto" w:fill="F4F7FC"/>
          </w:tcPr>
          <w:p>
            <w:pPr>
              <w:pStyle w:val="TableText"/>
            </w:pPr>
            <w:r>
              <w:rPr>
                <w:sz w:val="18"/>
                <w:szCs w:val="18"/>
              </w:rPr>
              <w:t xml:space="preserve">expiry_days</w:t>
            </w:r>
          </w:p>
        </w:tc>
        <w:tc>
          <w:tcPr>
            <w:tcW w:w="2065" w:type="dxa"/>
            <w:shd w:val="clear" w:color="auto" w:fill="F4F7FC"/>
          </w:tcPr>
          <w:p>
            <w:pPr>
              <w:pStyle w:val="TableText"/>
            </w:pPr>
            <w:r>
              <w:rPr>
                <w:sz w:val="18"/>
                <w:szCs w:val="18"/>
              </w:rPr>
              <w:t xml:space="preserve">30</w:t>
            </w:r>
          </w:p>
        </w:tc>
        <w:tc>
          <w:tcPr>
            <w:tcW w:w="4268" w:type="dxa"/>
            <w:shd w:val="clear" w:color="auto" w:fill="F4F7FC"/>
          </w:tcPr>
          <w:p>
            <w:pPr>
              <w:pStyle w:val="TableText"/>
            </w:pPr>
            <w:r>
              <w:rPr>
                <w:sz w:val="18"/>
                <w:szCs w:val="18"/>
              </w:rPr>
              <w:t xml:space="preserve">Préavis avant l'échéance d'une licence (puis J-7 et expiration)</w:t>
            </w:r>
          </w:p>
        </w:tc>
      </w:tr>
      <w:tr>
        <w:trPr>
          <w:cantSplit/>
        </w:trPr>
        <w:tc>
          <w:tcPr>
            <w:tcW w:w="3304" w:type="dxa"/>
          </w:tcPr>
          <w:p>
            <w:pPr>
              <w:pStyle w:val="TableText"/>
            </w:pPr>
            <w:r>
              <w:rPr>
                <w:sz w:val="18"/>
                <w:szCs w:val="18"/>
              </w:rPr>
              <w:t xml:space="preserve">repeat_hours</w:t>
            </w:r>
          </w:p>
        </w:tc>
        <w:tc>
          <w:tcPr>
            <w:tcW w:w="2065" w:type="dxa"/>
          </w:tcPr>
          <w:p>
            <w:pPr>
              <w:pStyle w:val="TableText"/>
            </w:pPr>
            <w:r>
              <w:rPr>
                <w:sz w:val="18"/>
                <w:szCs w:val="18"/>
              </w:rPr>
              <w:t xml:space="preserve">24</w:t>
            </w:r>
          </w:p>
        </w:tc>
        <w:tc>
          <w:tcPr>
            <w:tcW w:w="4268" w:type="dxa"/>
          </w:tcPr>
          <w:p>
            <w:pPr>
              <w:pStyle w:val="TableText"/>
            </w:pPr>
            <w:r>
              <w:rPr>
                <w:sz w:val="18"/>
                <w:szCs w:val="18"/>
              </w:rPr>
              <w:t xml:space="preserve">Rappel d'une alerte toujours présente (et commentaire sur le ticket)</w:t>
            </w:r>
          </w:p>
        </w:tc>
      </w:tr>
      <w:tr>
        <w:trPr>
          <w:cantSplit/>
        </w:trPr>
        <w:tc>
          <w:tcPr>
            <w:tcW w:w="3304" w:type="dxa"/>
            <w:shd w:val="clear" w:color="auto" w:fill="F4F7FC"/>
          </w:tcPr>
          <w:p>
            <w:pPr>
              <w:pStyle w:val="TableText"/>
            </w:pPr>
            <w:r>
              <w:rPr>
                <w:sz w:val="18"/>
                <w:szCs w:val="18"/>
              </w:rPr>
              <w:t xml:space="preserve">min_denials</w:t>
            </w:r>
          </w:p>
        </w:tc>
        <w:tc>
          <w:tcPr>
            <w:tcW w:w="2065" w:type="dxa"/>
            <w:shd w:val="clear" w:color="auto" w:fill="F4F7FC"/>
          </w:tcPr>
          <w:p>
            <w:pPr>
              <w:pStyle w:val="TableText"/>
            </w:pPr>
            <w:r>
              <w:rPr>
                <w:sz w:val="18"/>
                <w:szCs w:val="18"/>
              </w:rPr>
              <w:t xml:space="preserve">1</w:t>
            </w:r>
          </w:p>
        </w:tc>
        <w:tc>
          <w:tcPr>
            <w:tcW w:w="4268" w:type="dxa"/>
            <w:shd w:val="clear" w:color="auto" w:fill="F4F7FC"/>
          </w:tcPr>
          <w:p>
            <w:pPr>
              <w:pStyle w:val="TableText"/>
            </w:pPr>
            <w:r>
              <w:rPr>
                <w:sz w:val="18"/>
                <w:szCs w:val="18"/>
              </w:rPr>
              <w:t xml:space="preserve">Refus minimum pour alerter sur un produit</w:t>
            </w:r>
          </w:p>
        </w:tc>
      </w:tr>
      <w:tr>
        <w:trPr>
          <w:cantSplit/>
        </w:trPr>
        <w:tc>
          <w:tcPr>
            <w:tcW w:w="3304" w:type="dxa"/>
          </w:tcPr>
          <w:p>
            <w:pPr>
              <w:pStyle w:val="TableText"/>
            </w:pPr>
            <w:r>
              <w:rPr>
                <w:sz w:val="18"/>
                <w:szCs w:val="18"/>
              </w:rPr>
              <w:t xml:space="preserve">itsm[].type / url</w:t>
            </w:r>
          </w:p>
        </w:tc>
        <w:tc>
          <w:tcPr>
            <w:tcW w:w="2065" w:type="dxa"/>
          </w:tcPr>
          <w:p>
            <w:pPr>
              <w:pStyle w:val="TableText"/>
            </w:pPr>
            <w:r>
              <w:rPr>
                <w:sz w:val="18"/>
                <w:szCs w:val="18"/>
              </w:rPr>
              <w:t xml:space="preserve">—</w:t>
            </w:r>
          </w:p>
        </w:tc>
        <w:tc>
          <w:tcPr>
            <w:tcW w:w="4268" w:type="dxa"/>
          </w:tcPr>
          <w:p>
            <w:pPr>
              <w:pStyle w:val="TableText"/>
            </w:pPr>
            <w:r>
              <w:rPr>
                <w:rFonts w:ascii="Consolas" w:hAnsi="Consolas" w:cs="Consolas"/>
                <w:color w:val="1C5CAB"/>
                <w:sz w:val="18"/>
                <w:szCs w:val="18"/>
                <w:shd w:val="clear" w:color="auto" w:fill="EEF3FA"/>
              </w:rPr>
              <w:t xml:space="preserve">servicenow</w:t>
            </w:r>
            <w:r>
              <w:rPr>
                <w:sz w:val="18"/>
                <w:szCs w:val="18"/>
              </w:rPr>
              <w:t xml:space="preserve">, </w:t>
            </w:r>
            <w:r>
              <w:rPr>
                <w:rFonts w:ascii="Consolas" w:hAnsi="Consolas" w:cs="Consolas"/>
                <w:color w:val="1C5CAB"/>
                <w:sz w:val="18"/>
                <w:szCs w:val="18"/>
                <w:shd w:val="clear" w:color="auto" w:fill="EEF3FA"/>
              </w:rPr>
              <w:t xml:space="preserve">jira</w:t>
            </w:r>
            <w:r>
              <w:rPr>
                <w:sz w:val="18"/>
                <w:szCs w:val="18"/>
              </w:rPr>
              <w:t xml:space="preserve">, </w:t>
            </w:r>
            <w:r>
              <w:rPr>
                <w:rFonts w:ascii="Consolas" w:hAnsi="Consolas" w:cs="Consolas"/>
                <w:color w:val="1C5CAB"/>
                <w:sz w:val="18"/>
                <w:szCs w:val="18"/>
                <w:shd w:val="clear" w:color="auto" w:fill="EEF3FA"/>
              </w:rPr>
              <w:t xml:space="preserve">glpi</w:t>
            </w:r>
            <w:r>
              <w:rPr>
                <w:sz w:val="18"/>
                <w:szCs w:val="18"/>
              </w:rPr>
              <w:t xml:space="preserve"> ou </w:t>
            </w:r>
            <w:r>
              <w:rPr>
                <w:rFonts w:ascii="Consolas" w:hAnsi="Consolas" w:cs="Consolas"/>
                <w:color w:val="1C5CAB"/>
                <w:sz w:val="18"/>
                <w:szCs w:val="18"/>
                <w:shd w:val="clear" w:color="auto" w:fill="EEF3FA"/>
              </w:rPr>
              <w:t xml:space="preserve">webhook</w:t>
            </w:r>
            <w:r>
              <w:rPr>
                <w:sz w:val="18"/>
                <w:szCs w:val="18"/>
              </w:rPr>
              <w:t xml:space="preserve"> ; adresse https://</w:t>
            </w:r>
          </w:p>
        </w:tc>
      </w:tr>
      <w:tr>
        <w:trPr>
          <w:cantSplit/>
        </w:trPr>
        <w:tc>
          <w:tcPr>
            <w:tcW w:w="3304" w:type="dxa"/>
            <w:shd w:val="clear" w:color="auto" w:fill="F4F7FC"/>
          </w:tcPr>
          <w:p>
            <w:pPr>
              <w:pStyle w:val="TableText"/>
            </w:pPr>
            <w:r>
              <w:rPr>
                <w:sz w:val="18"/>
                <w:szCs w:val="18"/>
              </w:rPr>
              <w:t xml:space="preserve">itsm[].username / password / token</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ServiceNow : compte + mot de passe ; Jira : e-mail + jeton (Cloud) ou jeton seul (Data Center)</w:t>
            </w:r>
          </w:p>
        </w:tc>
      </w:tr>
      <w:tr>
        <w:trPr>
          <w:cantSplit/>
        </w:trPr>
        <w:tc>
          <w:tcPr>
            <w:tcW w:w="3304" w:type="dxa"/>
          </w:tcPr>
          <w:p>
            <w:pPr>
              <w:pStyle w:val="TableText"/>
            </w:pPr>
            <w:r>
              <w:rPr>
                <w:sz w:val="18"/>
                <w:szCs w:val="18"/>
              </w:rPr>
              <w:t xml:space="preserve">itsm[].app_token / user_token</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GLPI : jetons d'application et d'utilisateur</w:t>
            </w:r>
          </w:p>
        </w:tc>
      </w:tr>
      <w:tr>
        <w:trPr>
          <w:cantSplit/>
        </w:trPr>
        <w:tc>
          <w:tcPr>
            <w:tcW w:w="3304" w:type="dxa"/>
            <w:shd w:val="clear" w:color="auto" w:fill="F4F7FC"/>
          </w:tcPr>
          <w:p>
            <w:pPr>
              <w:pStyle w:val="TableText"/>
            </w:pPr>
            <w:r>
              <w:rPr>
                <w:sz w:val="18"/>
                <w:szCs w:val="18"/>
              </w:rPr>
              <w:t xml:space="preserve">itsm[].project / issue_type</w:t>
            </w:r>
          </w:p>
        </w:tc>
        <w:tc>
          <w:tcPr>
            <w:tcW w:w="2065" w:type="dxa"/>
            <w:shd w:val="clear" w:color="auto" w:fill="F4F7FC"/>
          </w:tcPr>
          <w:p>
            <w:pPr>
              <w:pStyle w:val="TableText"/>
            </w:pPr>
            <w:r>
              <w:rPr>
                <w:sz w:val="18"/>
                <w:szCs w:val="18"/>
              </w:rPr>
              <w:t xml:space="preserve">— / Incident</w:t>
            </w:r>
          </w:p>
        </w:tc>
        <w:tc>
          <w:tcPr>
            <w:tcW w:w="4268" w:type="dxa"/>
            <w:shd w:val="clear" w:color="auto" w:fill="F4F7FC"/>
          </w:tcPr>
          <w:p>
            <w:pPr>
              <w:pStyle w:val="TableText"/>
            </w:pPr>
            <w:r>
              <w:rPr>
                <w:sz w:val="18"/>
                <w:szCs w:val="18"/>
              </w:rPr>
              <w:t xml:space="preserve">Jira : projet et type de ticket</w:t>
            </w:r>
          </w:p>
        </w:tc>
      </w:tr>
      <w:tr>
        <w:trPr>
          <w:cantSplit/>
        </w:trPr>
        <w:tc>
          <w:tcPr>
            <w:tcW w:w="3304" w:type="dxa"/>
          </w:tcPr>
          <w:p>
            <w:pPr>
              <w:pStyle w:val="TableText"/>
            </w:pPr>
            <w:r>
              <w:rPr>
                <w:sz w:val="18"/>
                <w:szCs w:val="18"/>
              </w:rPr>
              <w:t xml:space="preserve">itsm[].assignment_group / caller</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ServiceNow : groupe d'affectation, appelant</w:t>
            </w:r>
          </w:p>
        </w:tc>
      </w:tr>
      <w:tr>
        <w:trPr>
          <w:cantSplit/>
        </w:trPr>
        <w:tc>
          <w:tcPr>
            <w:tcW w:w="3304" w:type="dxa"/>
            <w:shd w:val="clear" w:color="auto" w:fill="F4F7FC"/>
          </w:tcPr>
          <w:p>
            <w:pPr>
              <w:pStyle w:val="TableText"/>
            </w:pPr>
            <w:r>
              <w:rPr>
                <w:sz w:val="18"/>
                <w:szCs w:val="18"/>
              </w:rPr>
              <w:t xml:space="preserve">itsm[].format / headers</w:t>
            </w:r>
          </w:p>
        </w:tc>
        <w:tc>
          <w:tcPr>
            <w:tcW w:w="2065" w:type="dxa"/>
            <w:shd w:val="clear" w:color="auto" w:fill="F4F7FC"/>
          </w:tcPr>
          <w:p>
            <w:pPr>
              <w:pStyle w:val="TableText"/>
            </w:pPr>
            <w:r>
              <w:rPr>
                <w:sz w:val="18"/>
                <w:szCs w:val="18"/>
              </w:rPr>
              <w:t xml:space="preserve">json / —</w:t>
            </w:r>
          </w:p>
        </w:tc>
        <w:tc>
          <w:tcPr>
            <w:tcW w:w="4268" w:type="dxa"/>
            <w:shd w:val="clear" w:color="auto" w:fill="F4F7FC"/>
          </w:tcPr>
          <w:p>
            <w:pPr>
              <w:pStyle w:val="TableText"/>
            </w:pPr>
            <w:r>
              <w:rPr>
                <w:sz w:val="18"/>
                <w:szCs w:val="18"/>
              </w:rPr>
              <w:t xml:space="preserve">Webhook : json, teams, slack ; en-têtes (authentification)</w:t>
            </w:r>
          </w:p>
        </w:tc>
      </w:tr>
      <w:tr>
        <w:trPr>
          <w:cantSplit/>
        </w:trPr>
        <w:tc>
          <w:tcPr>
            <w:tcW w:w="3304" w:type="dxa"/>
          </w:tcPr>
          <w:p>
            <w:pPr>
              <w:pStyle w:val="TableText"/>
            </w:pPr>
            <w:r>
              <w:rPr>
                <w:sz w:val="18"/>
                <w:szCs w:val="18"/>
              </w:rPr>
              <w:t xml:space="preserve">itsm[].min_severity</w:t>
            </w:r>
          </w:p>
        </w:tc>
        <w:tc>
          <w:tcPr>
            <w:tcW w:w="2065" w:type="dxa"/>
          </w:tcPr>
          <w:p>
            <w:pPr>
              <w:pStyle w:val="TableText"/>
            </w:pPr>
            <w:r>
              <w:rPr>
                <w:sz w:val="18"/>
                <w:szCs w:val="18"/>
              </w:rPr>
              <w:t xml:space="preserve">serious</w:t>
            </w:r>
          </w:p>
        </w:tc>
        <w:tc>
          <w:tcPr>
            <w:tcW w:w="4268" w:type="dxa"/>
          </w:tcPr>
          <w:p>
            <w:pPr>
              <w:pStyle w:val="TableText"/>
            </w:pPr>
            <w:r>
              <w:rPr>
                <w:sz w:val="18"/>
                <w:szCs w:val="18"/>
              </w:rPr>
              <w:t xml:space="preserve">Gravité minimale pour ouvrir un ticket (info, warning, serious, critical)</w:t>
            </w:r>
          </w:p>
        </w:tc>
      </w:tr>
    </w:tbl>
    <w:p>
      <w:pPr>
        <w:spacing w:after="80"/>
      </w:pPr>
    </w:p>
    <w:p>
      <w:pPr>
        <w:pStyle w:val="Heading3"/>
      </w:pPr>
      <w:bookmarkStart w:id="59" w:name="_Toc00059"/>
      <w:r>
        <w:rPr/>
        <w:t xml:space="preserve">sites</w:t>
      </w:r>
      <w:bookmarkEnd w:id="59"/>
    </w:p>
    <w:p>
      <w:pPr/>
      <w:r>
        <w:rPr/>
        <w:t xml:space="preserve">Liste de règles </w:t>
      </w:r>
      <w:r>
        <w:rPr>
          <w:rFonts w:ascii="Consolas" w:hAnsi="Consolas" w:cs="Consolas"/>
          <w:color w:val="1C5CAB"/>
          <w:sz w:val="18"/>
          <w:szCs w:val="18"/>
          <w:shd w:val="clear" w:color="auto" w:fill="EEF3FA"/>
        </w:rPr>
        <w:t xml:space="preserve">{pattern, site}</w:t>
      </w:r>
      <w:r>
        <w:rPr/>
        <w:t xml:space="preserve"> : motif (fnmatch, insensible à la casse) sur le nom du poste ; la première règle trouvée donne le site. Filtre et répartition « Site » dans l'interface ; </w:t>
      </w:r>
      <w:r>
        <w:rPr>
          <w:rFonts w:ascii="Consolas" w:hAnsi="Consolas" w:cs="Consolas"/>
          <w:color w:val="1C5CAB"/>
          <w:sz w:val="18"/>
          <w:szCs w:val="18"/>
          <w:shd w:val="clear" w:color="auto" w:fill="EEF3FA"/>
        </w:rPr>
        <w:t xml:space="preserve">apply-products</w:t>
      </w:r>
      <w:r>
        <w:rPr/>
        <w:t xml:space="preserve"> réapplique les règles à l'historique.</w:t>
      </w:r>
    </w:p>
    <w:p>
      <w:pPr>
        <w:pStyle w:val="Heading3"/>
      </w:pPr>
      <w:bookmarkStart w:id="60" w:name="_Toc00060"/>
      <w:r>
        <w:rPr/>
        <w:t xml:space="preserve">retention</w:t>
      </w:r>
      <w:bookmarkEnd w:id="6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61" w:name="_Toc00061"/>
      <w:r>
        <w:rPr/>
        <w:t xml:space="preserve">6.3 Procédure de modification de la configuration</w:t>
      </w:r>
      <w:bookmarkEnd w:id="61"/>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2" w:name="_Toc00062"/>
      <w:r>
        <w:rPr/>
        <w:t xml:space="preserve">7. Exploitation courante</w:t>
      </w:r>
      <w:bookmarkEnd w:id="62"/>
    </w:p>
    <w:p>
      <w:pPr>
        <w:pStyle w:val="Heading2"/>
      </w:pPr>
      <w:bookmarkStart w:id="63" w:name="_Toc00063"/>
      <w:r>
        <w:rPr/>
        <w:t xml:space="preserve">7.1 Ordonnancement</w:t>
      </w:r>
      <w:bookmarkEnd w:id="63"/>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15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4" w:name="_Toc00064"/>
      <w:r>
        <w:rPr/>
        <w:t xml:space="preserve">7.2 Démarrage et arrêt</w:t>
      </w:r>
      <w:bookmarkEnd w:id="64"/>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5" w:name="_Toc00065"/>
      <w:r>
        <w:rPr/>
        <w:t xml:space="preserve">7.3 Contrôles quotidiens (N1, 5 minutes)</w:t>
      </w:r>
      <w:bookmarkEnd w:id="65"/>
    </w:p>
    <w:p>
      <w:pPr>
        <w:pStyle w:val="Caption"/>
        <w:keepNext/>
      </w:pPr>
      <w:r>
        <w:rPr/>
        <w:t xml:space="preserve">Tableau 16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6" w:name="_Toc00066"/>
      <w:r>
        <w:rPr/>
        <w:t xml:space="preserve">7.4 Contrôles hebdomadaires et mensuels (N2)</w:t>
      </w:r>
      <w:bookmarkEnd w:id="66"/>
    </w:p>
    <w:p>
      <w:pPr>
        <w:pStyle w:val="Caption"/>
        <w:keepNext/>
      </w:pPr>
      <w:r>
        <w:rPr/>
        <w:t xml:space="preserve">Tableau 17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7" w:name="_Toc00067"/>
      <w:r>
        <w:rPr/>
        <w:t xml:space="preserve">7.5 Supervision</w:t>
      </w:r>
      <w:bookmarkEnd w:id="67"/>
    </w:p>
    <w:p>
      <w:pPr/>
      <w:r>
        <w:rPr/>
        <w:t xml:space="preserve">HeptagonesLM peut être supervisé par l'outil de l'entreprise (Centreon, Zabbix, SCOM, PRTG…) avec les sondes suivantes :</w:t>
      </w:r>
    </w:p>
    <w:p>
      <w:pPr>
        <w:pStyle w:val="Caption"/>
        <w:keepNext/>
      </w:pPr>
      <w:r>
        <w:rPr/>
        <w:t xml:space="preserve">Tableau 18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8" w:name="_Toc00068"/>
      <w:r>
        <w:rPr/>
        <w:t xml:space="preserve">7.6 Journaux</w:t>
      </w:r>
      <w:bookmarkEnd w:id="68"/>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69" w:name="_Toc00069"/>
      <w:r>
        <w:rPr/>
        <w:t xml:space="preserve">7.7 Codes retour</w:t>
      </w:r>
      <w:bookmarkEnd w:id="69"/>
    </w:p>
    <w:p>
      <w:pPr>
        <w:pStyle w:val="Caption"/>
        <w:keepNext/>
      </w:pPr>
      <w:r>
        <w:rPr/>
        <w:t xml:space="preserve">Tableau 19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70" w:name="_Toc00070"/>
      <w:r>
        <w:rPr/>
        <w:t xml:space="preserve">8. Utilisation de l'interface web</w:t>
      </w:r>
      <w:bookmarkEnd w:id="70"/>
    </w:p>
    <w:p>
      <w:pPr/>
      <w:r>
        <w:rPr/>
        <w:t xml:space="preserve">Ce chapitre présente l'interface telle que la voient les utilisateurs. Il sert au support N1 pour guider un utilisateur et vérifier le bon fonctionnement de l'application.</w:t>
      </w:r>
    </w:p>
    <w:p>
      <w:pPr>
        <w:pStyle w:val="Heading2"/>
      </w:pPr>
      <w:bookmarkStart w:id="71" w:name="_Toc00071"/>
      <w:r>
        <w:rPr/>
        <w:t xml:space="preserve">8.1 Accès et connexion</w:t>
      </w:r>
      <w:bookmarkEnd w:id="71"/>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2" name="Image 12" descr="Page de connexion"/>
            <wp:cNvGraphicFramePr>
              <a:graphicFrameLocks noChangeAspect="1"/>
            </wp:cNvGraphicFramePr>
            <a:graphic>
              <a:graphicData uri="http://schemas.openxmlformats.org/drawingml/2006/picture">
                <pic:pic>
                  <pic:nvPicPr>
                    <pic:cNvPr id="12" name="login.png"/>
                    <pic:cNvPicPr/>
                  </pic:nvPicPr>
                  <pic:blipFill>
                    <a:blip r:embed="rIdImg12"/>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2" w:name="_Fig00072"/>
      <w:r>
        <w:rPr/>
        <w:t xml:space="preserve">Figure </w:t>
      </w:r>
      <w:fldSimple w:instr=" SEQ Figure \* ARABIC ">
        <w:r>
          <w:t>11</w:t>
        </w:r>
      </w:fldSimple>
      <w:r>
        <w:rPr/>
        <w:t xml:space="preserve"> – Page de connexion</w:t>
      </w:r>
      <w:bookmarkEnd w:id="72"/>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3" name="Image 13" descr="Message d'erreur de connexion"/>
            <wp:cNvGraphicFramePr>
              <a:graphicFrameLocks noChangeAspect="1"/>
            </wp:cNvGraphicFramePr>
            <a:graphic>
              <a:graphicData uri="http://schemas.openxmlformats.org/drawingml/2006/picture">
                <pic:pic>
                  <pic:nvPicPr>
                    <pic:cNvPr id="13" name="login_error.png"/>
                    <pic:cNvPicPr/>
                  </pic:nvPicPr>
                  <pic:blipFill>
                    <a:blip r:embed="rIdImg13"/>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3" w:name="_Fig00073"/>
      <w:r>
        <w:rPr/>
        <w:t xml:space="preserve">Figure </w:t>
      </w:r>
      <w:fldSimple w:instr=" SEQ Figure \* ARABIC ">
        <w:r>
          <w:t>12</w:t>
        </w:r>
      </w:fldSimple>
      <w:r>
        <w:rPr/>
        <w:t xml:space="preserve"> – Message d'erreur de connexion</w:t>
      </w:r>
      <w:bookmarkEnd w:id="73"/>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4" name="Image 14" descr="En-tête : badge d'état des collectes et utilisateur connecté"/>
            <wp:cNvGraphicFramePr>
              <a:graphicFrameLocks noChangeAspect="1"/>
            </wp:cNvGraphicFramePr>
            <a:graphic>
              <a:graphicData uri="http://schemas.openxmlformats.org/drawingml/2006/picture">
                <pic:pic>
                  <pic:nvPicPr>
                    <pic:cNvPr id="14" name="user_badge.png"/>
                    <pic:cNvPicPr/>
                  </pic:nvPicPr>
                  <pic:blipFill>
                    <a:blip r:embed="rIdImg14"/>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4" w:name="_Fig00074"/>
      <w:r>
        <w:rPr/>
        <w:t xml:space="preserve">Figure </w:t>
      </w:r>
      <w:fldSimple w:instr=" SEQ Figure \* ARABIC ">
        <w:r>
          <w:t>13</w:t>
        </w:r>
      </w:fldSimple>
      <w:r>
        <w:rPr/>
        <w:t xml:space="preserve"> – En-tête : badge d'état des collectes et utilisateur connecté</w:t>
      </w:r>
      <w:bookmarkEnd w:id="74"/>
    </w:p>
    <w:p>
      <w:pPr>
        <w:pStyle w:val="Heading2"/>
      </w:pPr>
      <w:bookmarkStart w:id="75" w:name="_Toc00075"/>
      <w:r>
        <w:rPr/>
        <w:t xml:space="preserve">8.2 Navigation et filtres</w:t>
      </w:r>
      <w:bookmarkEnd w:id="75"/>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5" name="Image 15"/>
                  <wp:cNvGraphicFramePr>
                    <a:graphicFrameLocks noChangeAspect="1"/>
                  </wp:cNvGraphicFramePr>
                  <a:graphic>
                    <a:graphicData uri="http://schemas.openxmlformats.org/drawingml/2006/picture">
                      <pic:pic>
                        <pic:nvPicPr>
                          <pic:cNvPr id="15" name="sidebar.png"/>
                          <pic:cNvPicPr/>
                        </pic:nvPicPr>
                        <pic:blipFill>
                          <a:blip r:embed="rIdImg15"/>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6" w:name="_Fig00076"/>
      <w:r>
        <w:rPr/>
        <w:t xml:space="preserve">Figure </w:t>
      </w:r>
      <w:fldSimple w:instr=" SEQ Figure \* ARABIC ">
        <w:r>
          <w:t>14</w:t>
        </w:r>
      </w:fldSimple>
      <w:r>
        <w:rPr/>
        <w:t xml:space="preserve"> – Barre latérale de navigation</w:t>
      </w:r>
      <w:bookmarkEnd w:id="76"/>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6" name="Image 16" descr="Barre de filtres et boutons d'export"/>
            <wp:cNvGraphicFramePr>
              <a:graphicFrameLocks noChangeAspect="1"/>
            </wp:cNvGraphicFramePr>
            <a:graphic>
              <a:graphicData uri="http://schemas.openxmlformats.org/drawingml/2006/picture">
                <pic:pic>
                  <pic:nvPicPr>
                    <pic:cNvPr id="16" name="filterbar.png"/>
                    <pic:cNvPicPr/>
                  </pic:nvPicPr>
                  <pic:blipFill>
                    <a:blip r:embed="rIdImg16"/>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7" w:name="_Fig00077"/>
      <w:r>
        <w:rPr/>
        <w:t xml:space="preserve">Figure </w:t>
      </w:r>
      <w:fldSimple w:instr=" SEQ Figure \* ARABIC ">
        <w:r>
          <w:t>15</w:t>
        </w:r>
      </w:fldSimple>
      <w:r>
        <w:rPr/>
        <w:t xml:space="preserve"> – Barre de filtres et boutons d'export</w:t>
      </w:r>
      <w:bookmarkEnd w:id="77"/>
    </w:p>
    <w:p>
      <w:pPr>
        <w:pStyle w:val="Figure"/>
        <w:keepNext/>
      </w:pPr>
      <w:r>
        <w:drawing>
          <wp:inline distT="0" distB="0" distL="0" distR="0">
            <wp:extent cx="5940000" cy="2772000"/>
            <wp:docPr id="17" name="Image 17" descr="Sélection multiple avec recherche (filtre Produits)"/>
            <wp:cNvGraphicFramePr>
              <a:graphicFrameLocks noChangeAspect="1"/>
            </wp:cNvGraphicFramePr>
            <a:graphic>
              <a:graphicData uri="http://schemas.openxmlformats.org/drawingml/2006/picture">
                <pic:pic>
                  <pic:nvPicPr>
                    <pic:cNvPr id="17" name="filter_open.png"/>
                    <pic:cNvPicPr/>
                  </pic:nvPicPr>
                  <pic:blipFill>
                    <a:blip r:embed="rIdImg17"/>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16</w:t>
        </w:r>
      </w:fldSimple>
      <w:r>
        <w:rPr/>
        <w:t xml:space="preserve"> – Sélection multiple avec recherche (filtre Produits)</w:t>
      </w:r>
      <w:bookmarkEnd w:id="78"/>
    </w:p>
    <w:p>
      <w:pPr>
        <w:pStyle w:val="Heading2"/>
      </w:pPr>
      <w:bookmarkStart w:id="79" w:name="_Toc00079"/>
      <w:r>
        <w:rPr/>
        <w:t xml:space="preserve">8.3 Tableau de bord</w:t>
      </w:r>
      <w:bookmarkEnd w:id="79"/>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8" name="Image 18" descr="Tableau de bord complet"/>
            <wp:cNvGraphicFramePr>
              <a:graphicFrameLocks noChangeAspect="1"/>
            </wp:cNvGraphicFramePr>
            <a:graphic>
              <a:graphicData uri="http://schemas.openxmlformats.org/drawingml/2006/picture">
                <pic:pic>
                  <pic:nvPicPr>
                    <pic:cNvPr id="18" name="dashboard_full.png"/>
                    <pic:cNvPicPr/>
                  </pic:nvPicPr>
                  <pic:blipFill>
                    <a:blip r:embed="rIdImg18"/>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17</w:t>
        </w:r>
      </w:fldSimple>
      <w:r>
        <w:rPr/>
        <w:t xml:space="preserve"> – Tableau de bord complet</w:t>
      </w:r>
      <w:bookmarkEnd w:id="80"/>
    </w:p>
    <w:p>
      <w:pPr>
        <w:pStyle w:val="Heading3"/>
      </w:pPr>
      <w:bookmarkStart w:id="81" w:name="_Toc00081"/>
      <w:r>
        <w:rPr/>
        <w:t xml:space="preserve">Alertes</w:t>
      </w:r>
      <w:bookmarkEnd w:id="81"/>
    </w:p>
    <w:p>
      <w:pPr/>
      <w:r>
        <w:rPr/>
        <w:t xml:space="preserve">Les alertes sont classées par gravité ; le lien « Voir » ouvre la vue concernée.</w:t>
      </w:r>
    </w:p>
    <w:p>
      <w:pPr>
        <w:pStyle w:val="Figure"/>
        <w:keepNext/>
      </w:pPr>
      <w:r>
        <w:drawing>
          <wp:inline distT="0" distB="0" distL="0" distR="0">
            <wp:extent cx="5940000" cy="1317676"/>
            <wp:docPr id="19" name="Image 19" descr="Bandeau d'alertes"/>
            <wp:cNvGraphicFramePr>
              <a:graphicFrameLocks noChangeAspect="1"/>
            </wp:cNvGraphicFramePr>
            <a:graphic>
              <a:graphicData uri="http://schemas.openxmlformats.org/drawingml/2006/picture">
                <pic:pic>
                  <pic:nvPicPr>
                    <pic:cNvPr id="19" name="alerts.png"/>
                    <pic:cNvPicPr/>
                  </pic:nvPicPr>
                  <pic:blipFill>
                    <a:blip r:embed="rIdImg19"/>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18</w:t>
        </w:r>
      </w:fldSimple>
      <w:r>
        <w:rPr/>
        <w:t xml:space="preserve"> – Bandeau d'alertes</w:t>
      </w:r>
      <w:bookmarkEnd w:id="82"/>
    </w:p>
    <w:p>
      <w:pPr>
        <w:pStyle w:val="Caption"/>
        <w:keepNext/>
      </w:pPr>
      <w:r>
        <w:rPr/>
        <w:t xml:space="preserve">Tableau 20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3" w:name="_Toc00083"/>
      <w:r>
        <w:rPr/>
        <w:t xml:space="preserve">Indicateurs clés</w:t>
      </w:r>
      <w:bookmarkEnd w:id="83"/>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0" name="Image 20" descr="Indicateurs clés"/>
            <wp:cNvGraphicFramePr>
              <a:graphicFrameLocks noChangeAspect="1"/>
            </wp:cNvGraphicFramePr>
            <a:graphic>
              <a:graphicData uri="http://schemas.openxmlformats.org/drawingml/2006/picture">
                <pic:pic>
                  <pic:nvPicPr>
                    <pic:cNvPr id="20" name="kpis.png"/>
                    <pic:cNvPicPr/>
                  </pic:nvPicPr>
                  <pic:blipFill>
                    <a:blip r:embed="rIdImg20"/>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19</w:t>
        </w:r>
      </w:fldSimple>
      <w:r>
        <w:rPr/>
        <w:t xml:space="preserve"> – Indicateurs clés</w:t>
      </w:r>
      <w:bookmarkEnd w:id="84"/>
    </w:p>
    <w:p>
      <w:pPr>
        <w:pStyle w:val="Caption"/>
        <w:keepNext/>
      </w:pPr>
      <w:r>
        <w:rPr/>
        <w:t xml:space="preserve">Tableau 21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5" w:name="_Toc00085"/>
      <w:r>
        <w:rPr/>
        <w:t xml:space="preserve">Blocs de détail</w:t>
      </w:r>
      <w:bookmarkEnd w:id="85"/>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1" name="Image 21" descr="Bloc « Serveurs et échéances »"/>
            <wp:cNvGraphicFramePr>
              <a:graphicFrameLocks noChangeAspect="1"/>
            </wp:cNvGraphicFramePr>
            <a:graphic>
              <a:graphicData uri="http://schemas.openxmlformats.org/drawingml/2006/picture">
                <pic:pic>
                  <pic:nvPicPr>
                    <pic:cNvPr id="21" name="servers.png"/>
                    <pic:cNvPicPr/>
                  </pic:nvPicPr>
                  <pic:blipFill>
                    <a:blip r:embed="rIdImg21"/>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20</w:t>
        </w:r>
      </w:fldSimple>
      <w:r>
        <w:rPr/>
        <w:t xml:space="preserve"> – Bloc « Serveurs et échéances »</w:t>
      </w:r>
      <w:bookmarkEnd w:id="86"/>
    </w:p>
    <w:p>
      <w:pPr>
        <w:pStyle w:val="Heading2"/>
      </w:pPr>
      <w:bookmarkStart w:id="87" w:name="_Toc00087"/>
      <w:r>
        <w:rPr/>
        <w:t xml:space="preserve">8.4 En direct</w:t>
      </w:r>
      <w:bookmarkEnd w:id="87"/>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2" name="Image 22" descr="Vue En direct"/>
            <wp:cNvGraphicFramePr>
              <a:graphicFrameLocks noChangeAspect="1"/>
            </wp:cNvGraphicFramePr>
            <a:graphic>
              <a:graphicData uri="http://schemas.openxmlformats.org/drawingml/2006/picture">
                <pic:pic>
                  <pic:nvPicPr>
                    <pic:cNvPr id="22" name="live.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21</w:t>
        </w:r>
      </w:fldSimple>
      <w:r>
        <w:rPr/>
        <w:t xml:space="preserve"> – Vue En direct</w:t>
      </w:r>
      <w:bookmarkEnd w:id="88"/>
    </w:p>
    <w:p>
      <w:pPr>
        <w:pStyle w:val="Heading2"/>
      </w:pPr>
      <w:bookmarkStart w:id="89" w:name="_Toc00089"/>
      <w:r>
        <w:rPr/>
        <w:t xml:space="preserve">8.5 Rapports d'analyse</w:t>
      </w:r>
      <w:bookmarkEnd w:id="89"/>
    </w:p>
    <w:p>
      <w:pPr>
        <w:pStyle w:val="Caption"/>
        <w:keepNext/>
      </w:pPr>
      <w:r>
        <w:rPr/>
        <w:t xml:space="preserve">Tableau 22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3" name="Image 23" descr="Synthèse par produit"/>
            <wp:cNvGraphicFramePr>
              <a:graphicFrameLocks noChangeAspect="1"/>
            </wp:cNvGraphicFramePr>
            <a:graphic>
              <a:graphicData uri="http://schemas.openxmlformats.org/drawingml/2006/picture">
                <pic:pic>
                  <pic:nvPicPr>
                    <pic:cNvPr id="23" name="summary.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22</w:t>
        </w:r>
      </w:fldSimple>
      <w:r>
        <w:rPr/>
        <w:t xml:space="preserve"> – Synthèse par produit</w:t>
      </w:r>
      <w:bookmarkEnd w:id="90"/>
    </w:p>
    <w:p>
      <w:pPr>
        <w:pStyle w:val="Figure"/>
        <w:keepNext/>
      </w:pPr>
      <w:r>
        <w:drawing>
          <wp:inline distT="0" distB="0" distL="0" distR="0">
            <wp:extent cx="5940000" cy="3712500"/>
            <wp:docPr id="24" name="Image 24" descr="Usage dans le temps (taux d'occupation journalier)"/>
            <wp:cNvGraphicFramePr>
              <a:graphicFrameLocks noChangeAspect="1"/>
            </wp:cNvGraphicFramePr>
            <a:graphic>
              <a:graphicData uri="http://schemas.openxmlformats.org/drawingml/2006/picture">
                <pic:pic>
                  <pic:nvPicPr>
                    <pic:cNvPr id="24" name="timeseries.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23</w:t>
        </w:r>
      </w:fldSimple>
      <w:r>
        <w:rPr/>
        <w:t xml:space="preserve"> – Usage dans le temps (taux d'occupation journalier)</w:t>
      </w:r>
      <w:bookmarkEnd w:id="91"/>
    </w:p>
    <w:p>
      <w:pPr>
        <w:pStyle w:val="Figure"/>
        <w:keepNext/>
      </w:pPr>
      <w:r>
        <w:drawing>
          <wp:inline distT="0" distB="0" distL="0" distR="0">
            <wp:extent cx="5940000" cy="3712500"/>
            <wp:docPr id="25" name="Image 25" descr="Répartition par service (refacturation)"/>
            <wp:cNvGraphicFramePr>
              <a:graphicFrameLocks noChangeAspect="1"/>
            </wp:cNvGraphicFramePr>
            <a:graphic>
              <a:graphicData uri="http://schemas.openxmlformats.org/drawingml/2006/picture">
                <pic:pic>
                  <pic:nvPicPr>
                    <pic:cNvPr id="25" name="breakdown.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24</w:t>
        </w:r>
      </w:fldSimple>
      <w:r>
        <w:rPr/>
        <w:t xml:space="preserve"> – Répartition par service (refacturation)</w:t>
      </w:r>
      <w:bookmarkEnd w:id="92"/>
    </w:p>
    <w:p>
      <w:pPr>
        <w:pStyle w:val="Figure"/>
        <w:keepNext/>
      </w:pPr>
      <w:r>
        <w:drawing>
          <wp:inline distT="0" distB="0" distL="0" distR="0">
            <wp:extent cx="5940000" cy="3712500"/>
            <wp:docPr id="26" name="Image 26" descr="Croisement service × produit"/>
            <wp:cNvGraphicFramePr>
              <a:graphicFrameLocks noChangeAspect="1"/>
            </wp:cNvGraphicFramePr>
            <a:graphic>
              <a:graphicData uri="http://schemas.openxmlformats.org/drawingml/2006/picture">
                <pic:pic>
                  <pic:nvPicPr>
                    <pic:cNvPr id="26" name="matrix.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3" w:name="_Fig00093"/>
      <w:r>
        <w:rPr/>
        <w:t xml:space="preserve">Figure </w:t>
      </w:r>
      <w:fldSimple w:instr=" SEQ Figure \* ARABIC ">
        <w:r>
          <w:t>25</w:t>
        </w:r>
      </w:fldSimple>
      <w:r>
        <w:rPr/>
        <w:t xml:space="preserve"> – Croisement service × produit</w:t>
      </w:r>
      <w:bookmarkEnd w:id="93"/>
    </w:p>
    <w:p>
      <w:pPr>
        <w:pStyle w:val="Figure"/>
        <w:keepNext/>
      </w:pPr>
      <w:r>
        <w:drawing>
          <wp:inline distT="0" distB="0" distL="0" distR="0">
            <wp:extent cx="5940000" cy="3712500"/>
            <wp:docPr id="27" name="Image 27" descr="Profil horaire"/>
            <wp:cNvGraphicFramePr>
              <a:graphicFrameLocks noChangeAspect="1"/>
            </wp:cNvGraphicFramePr>
            <a:graphic>
              <a:graphicData uri="http://schemas.openxmlformats.org/drawingml/2006/picture">
                <pic:pic>
                  <pic:nvPicPr>
                    <pic:cNvPr id="27" name="heatmap.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26</w:t>
        </w:r>
      </w:fldSimple>
      <w:r>
        <w:rPr/>
        <w:t xml:space="preserve"> – Profil horaire</w:t>
      </w:r>
      <w:bookmarkEnd w:id="94"/>
    </w:p>
    <w:p>
      <w:pPr>
        <w:pStyle w:val="Heading2"/>
      </w:pPr>
      <w:bookmarkStart w:id="95" w:name="_Toc00095"/>
      <w:r>
        <w:rPr/>
        <w:t xml:space="preserve">8.6 Optimisation</w:t>
      </w:r>
      <w:bookmarkEnd w:id="95"/>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8" name="Image 28" descr="Efficacité des jetons (comparaison des produits)"/>
            <wp:cNvGraphicFramePr>
              <a:graphicFrameLocks noChangeAspect="1"/>
            </wp:cNvGraphicFramePr>
            <a:graphic>
              <a:graphicData uri="http://schemas.openxmlformats.org/drawingml/2006/picture">
                <pic:pic>
                  <pic:nvPicPr>
                    <pic:cNvPr id="28" name="efficiency.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27</w:t>
        </w:r>
      </w:fldSimple>
      <w:r>
        <w:rPr/>
        <w:t xml:space="preserve"> – Efficacité des jetons (comparaison des produits)</w:t>
      </w:r>
      <w:bookmarkEnd w:id="96"/>
    </w:p>
    <w:p>
      <w:pPr>
        <w:pStyle w:val="Figure"/>
        <w:keepNext/>
      </w:pPr>
      <w:r>
        <w:drawing>
          <wp:inline distT="0" distB="0" distL="0" distR="0">
            <wp:extent cx="5940000" cy="3712500"/>
            <wp:docPr id="29" name="Image 29" descr="Efficacité d'un produit (MATLAB) en nombre de jetons"/>
            <wp:cNvGraphicFramePr>
              <a:graphicFrameLocks noChangeAspect="1"/>
            </wp:cNvGraphicFramePr>
            <a:graphic>
              <a:graphicData uri="http://schemas.openxmlformats.org/drawingml/2006/picture">
                <pic:pic>
                  <pic:nvPicPr>
                    <pic:cNvPr id="29" name="efficiency_one.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28</w:t>
        </w:r>
      </w:fldSimple>
      <w:r>
        <w:rPr/>
        <w:t xml:space="preserve"> – Efficacité d'un produit (MATLAB) en nombre de jetons</w:t>
      </w:r>
      <w:bookmarkEnd w:id="97"/>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0" name="Image 30" descr="Optimisation et coûts"/>
            <wp:cNvGraphicFramePr>
              <a:graphicFrameLocks noChangeAspect="1"/>
            </wp:cNvGraphicFramePr>
            <a:graphic>
              <a:graphicData uri="http://schemas.openxmlformats.org/drawingml/2006/picture">
                <pic:pic>
                  <pic:nvPicPr>
                    <pic:cNvPr id="30" name="optimization.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29</w:t>
        </w:r>
      </w:fldSimple>
      <w:r>
        <w:rPr/>
        <w:t xml:space="preserve"> – Optimisation et coûts</w:t>
      </w:r>
      <w:bookmarkEnd w:id="98"/>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1" name="Image 31" descr="Contention"/>
            <wp:cNvGraphicFramePr>
              <a:graphicFrameLocks noChangeAspect="1"/>
            </wp:cNvGraphicFramePr>
            <a:graphic>
              <a:graphicData uri="http://schemas.openxmlformats.org/drawingml/2006/picture">
                <pic:pic>
                  <pic:nvPicPr>
                    <pic:cNvPr id="31" name="contention.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9" w:name="_Fig00099"/>
      <w:r>
        <w:rPr/>
        <w:t xml:space="preserve">Figure </w:t>
      </w:r>
      <w:fldSimple w:instr=" SEQ Figure \* ARABIC ">
        <w:r>
          <w:t>30</w:t>
        </w:r>
      </w:fldSimple>
      <w:r>
        <w:rPr/>
        <w:t xml:space="preserve"> – Contention</w:t>
      </w:r>
      <w:bookmarkEnd w:id="99"/>
    </w:p>
    <w:p>
      <w:pPr>
        <w:pStyle w:val="Figure"/>
        <w:keepNext/>
      </w:pPr>
      <w:r>
        <w:drawing>
          <wp:inline distT="0" distB="0" distL="0" distR="0">
            <wp:extent cx="5940000" cy="3712500"/>
            <wp:docPr id="32" name="Image 32" descr="Refus de licence"/>
            <wp:cNvGraphicFramePr>
              <a:graphicFrameLocks noChangeAspect="1"/>
            </wp:cNvGraphicFramePr>
            <a:graphic>
              <a:graphicData uri="http://schemas.openxmlformats.org/drawingml/2006/picture">
                <pic:pic>
                  <pic:nvPicPr>
                    <pic:cNvPr id="32" name="denials.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0" w:name="_Fig00100"/>
      <w:r>
        <w:rPr/>
        <w:t xml:space="preserve">Figure </w:t>
      </w:r>
      <w:fldSimple w:instr=" SEQ Figure \* ARABIC ">
        <w:r>
          <w:t>31</w:t>
        </w:r>
      </w:fldSimple>
      <w:r>
        <w:rPr/>
        <w:t xml:space="preserve"> – Refus de licence</w:t>
      </w:r>
      <w:bookmarkEnd w:id="100"/>
    </w:p>
    <w:p>
      <w:pPr>
        <w:pStyle w:val="Heading2"/>
      </w:pPr>
      <w:bookmarkStart w:id="101" w:name="_Toc00101"/>
      <w:r>
        <w:rPr/>
        <w:t xml:space="preserve">8.7 Données</w:t>
      </w:r>
      <w:bookmarkEnd w:id="101"/>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3" name="Image 33" descr="Sessions"/>
            <wp:cNvGraphicFramePr>
              <a:graphicFrameLocks noChangeAspect="1"/>
            </wp:cNvGraphicFramePr>
            <a:graphic>
              <a:graphicData uri="http://schemas.openxmlformats.org/drawingml/2006/picture">
                <pic:pic>
                  <pic:nvPicPr>
                    <pic:cNvPr id="33" name="session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2" w:name="_Fig00102"/>
      <w:r>
        <w:rPr/>
        <w:t xml:space="preserve">Figure </w:t>
      </w:r>
      <w:fldSimple w:instr=" SEQ Figure \* ARABIC ">
        <w:r>
          <w:t>32</w:t>
        </w:r>
      </w:fldSimple>
      <w:r>
        <w:rPr/>
        <w:t xml:space="preserve"> – Sessions</w:t>
      </w:r>
      <w:bookmarkEnd w:id="102"/>
    </w:p>
    <w:p>
      <w:pPr>
        <w:pStyle w:val="Figure"/>
        <w:keepNext/>
      </w:pPr>
      <w:r>
        <w:drawing>
          <wp:inline distT="0" distB="0" distL="0" distR="0">
            <wp:extent cx="5940000" cy="3712500"/>
            <wp:docPr id="34" name="Image 34" descr="Journal des collectes"/>
            <wp:cNvGraphicFramePr>
              <a:graphicFrameLocks noChangeAspect="1"/>
            </wp:cNvGraphicFramePr>
            <a:graphic>
              <a:graphicData uri="http://schemas.openxmlformats.org/drawingml/2006/picture">
                <pic:pic>
                  <pic:nvPicPr>
                    <pic:cNvPr id="34" name="collections.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3" w:name="_Fig00103"/>
      <w:r>
        <w:rPr/>
        <w:t xml:space="preserve">Figure </w:t>
      </w:r>
      <w:fldSimple w:instr=" SEQ Figure \* ARABIC ">
        <w:r>
          <w:t>33</w:t>
        </w:r>
      </w:fldSimple>
      <w:r>
        <w:rPr/>
        <w:t xml:space="preserve"> – Journal des collectes</w:t>
      </w:r>
      <w:bookmarkEnd w:id="103"/>
    </w:p>
    <w:p>
      <w:pPr>
        <w:pStyle w:val="Heading2"/>
      </w:pPr>
      <w:bookmarkStart w:id="104" w:name="_Toc00104"/>
      <w:r>
        <w:rPr/>
        <w:t xml:space="preserve">8.8 Exports</w:t>
      </w:r>
      <w:bookmarkEnd w:id="104"/>
    </w:p>
    <w:p>
      <w:pPr>
        <w:pStyle w:val="Caption"/>
        <w:keepNext/>
      </w:pPr>
      <w:r>
        <w:rPr/>
        <w:t xml:space="preserve">Tableau 23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5" w:name="_Toc00105"/>
      <w:r>
        <w:rPr/>
        <w:t xml:space="preserve">8.9 Thème et affichage mobile</w:t>
      </w:r>
      <w:bookmarkEnd w:id="105"/>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5" name="Image 35" descr="Tableau de bord en thème sombre"/>
            <wp:cNvGraphicFramePr>
              <a:graphicFrameLocks noChangeAspect="1"/>
            </wp:cNvGraphicFramePr>
            <a:graphic>
              <a:graphicData uri="http://schemas.openxmlformats.org/drawingml/2006/picture">
                <pic:pic>
                  <pic:nvPicPr>
                    <pic:cNvPr id="35" name="dashboard_dark.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6" w:name="_Fig00106"/>
      <w:r>
        <w:rPr/>
        <w:t xml:space="preserve">Figure </w:t>
      </w:r>
      <w:fldSimple w:instr=" SEQ Figure \* ARABIC ">
        <w:r>
          <w:t>34</w:t>
        </w:r>
      </w:fldSimple>
      <w:r>
        <w:rPr/>
        <w:t xml:space="preserve"> – Tableau de bord en thème sombre</w:t>
      </w:r>
      <w:bookmarkEnd w:id="106"/>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6" name="Image 36"/>
                  <wp:cNvGraphicFramePr>
                    <a:graphicFrameLocks noChangeAspect="1"/>
                  </wp:cNvGraphicFramePr>
                  <a:graphic>
                    <a:graphicData uri="http://schemas.openxmlformats.org/drawingml/2006/picture">
                      <pic:pic>
                        <pic:nvPicPr>
                          <pic:cNvPr id="36" name="mobile_dashboard.png"/>
                          <pic:cNvPicPr/>
                        </pic:nvPicPr>
                        <pic:blipFill>
                          <a:blip r:embed="rIdImg36"/>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7" name="Image 37"/>
                  <wp:cNvGraphicFramePr>
                    <a:graphicFrameLocks noChangeAspect="1"/>
                  </wp:cNvGraphicFramePr>
                  <a:graphic>
                    <a:graphicData uri="http://schemas.openxmlformats.org/drawingml/2006/picture">
                      <pic:pic>
                        <pic:nvPicPr>
                          <pic:cNvPr id="37" name="mobile_menu.png"/>
                          <pic:cNvPicPr/>
                        </pic:nvPicPr>
                        <pic:blipFill>
                          <a:blip r:embed="rIdImg37"/>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7" w:name="_Fig00107"/>
      <w:r>
        <w:rPr/>
        <w:t xml:space="preserve">Figure </w:t>
      </w:r>
      <w:fldSimple w:instr=" SEQ Figure \* ARABIC ">
        <w:r>
          <w:t>35</w:t>
        </w:r>
      </w:fldSimple>
      <w:r>
        <w:rPr/>
        <w:t xml:space="preserve"> – Affichage sur téléphone : tableau de bord et menu</w:t>
      </w:r>
      <w:bookmarkEnd w:id="107"/>
    </w:p>
    <w:p>
      <w:pPr>
        <w:pStyle w:val="Heading2"/>
      </w:pPr>
      <w:bookmarkStart w:id="108" w:name="_Toc00108"/>
      <w:r>
        <w:rPr/>
        <w:t xml:space="preserve">8.10 Rapport Excel mensuel</w:t>
      </w:r>
      <w:bookmarkEnd w:id="108"/>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24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09" w:name="_Toc00109"/>
      <w:r>
        <w:rPr/>
        <w:t xml:space="preserve">8.11 Rapport par e-mail</w:t>
      </w:r>
      <w:bookmarkEnd w:id="109"/>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8" name="Image 38" descr="Rapport mensuel reçu par e-mail"/>
            <wp:cNvGraphicFramePr>
              <a:graphicFrameLocks noChangeAspect="1"/>
            </wp:cNvGraphicFramePr>
            <a:graphic>
              <a:graphicData uri="http://schemas.openxmlformats.org/drawingml/2006/picture">
                <pic:pic>
                  <pic:nvPicPr>
                    <pic:cNvPr id="38" name="email.png"/>
                    <pic:cNvPicPr/>
                  </pic:nvPicPr>
                  <pic:blipFill>
                    <a:blip r:embed="rIdImg38"/>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10" w:name="_Fig00110"/>
      <w:r>
        <w:rPr/>
        <w:t xml:space="preserve">Figure </w:t>
      </w:r>
      <w:fldSimple w:instr=" SEQ Figure \* ARABIC ">
        <w:r>
          <w:t>36</w:t>
        </w:r>
      </w:fldSimple>
      <w:r>
        <w:rPr/>
        <w:t xml:space="preserve"> – Rapport mensuel reçu par e-mail</w:t>
      </w:r>
      <w:bookmarkEnd w:id="110"/>
    </w:p>
    <w:p>
      <w:pPr>
        <w:pStyle w:val="Heading2"/>
      </w:pPr>
      <w:bookmarkStart w:id="111" w:name="_Toc00111"/>
      <w:r>
        <w:rPr/>
        <w:t xml:space="preserve">8.12 Alertes immédiates</w:t>
      </w:r>
      <w:bookmarkEnd w:id="111"/>
    </w:p>
    <w:p>
      <w:pPr/>
      <w:r>
        <w:rPr/>
        <w:t xml:space="preserve">Les alertes sont évaluées après chaque collecte (toutes les 5 minutes) et partent en un seul message aux destinataires de la section </w:t>
      </w:r>
      <w:r>
        <w:rPr>
          <w:rFonts w:ascii="Consolas" w:hAnsi="Consolas" w:cs="Consolas"/>
          <w:color w:val="1C5CAB"/>
          <w:sz w:val="18"/>
          <w:szCs w:val="18"/>
          <w:shd w:val="clear" w:color="auto" w:fill="EEF3FA"/>
        </w:rPr>
        <w:t xml:space="preserve">alerts</w:t>
      </w:r>
      <w:r>
        <w:rPr/>
        <w:t xml:space="preserve"> : collecte en échec (puis « rétablie ») ou arrêtée depuis plus d'une heure, nouveaux refus de licence avec les utilisateurs concernés, plus aucun jeton disponible, licence qui expire (J-30, J-7, expirée). Une alerte toujours présente n'est rappelée qu'après </w:t>
      </w:r>
      <w:r>
        <w:rPr>
          <w:rFonts w:ascii="Consolas" w:hAnsi="Consolas" w:cs="Consolas"/>
          <w:color w:val="1C5CAB"/>
          <w:sz w:val="18"/>
          <w:szCs w:val="18"/>
          <w:shd w:val="clear" w:color="auto" w:fill="EEF3FA"/>
        </w:rPr>
        <w:t xml:space="preserve">repeat_hours</w:t>
      </w:r>
      <w:r>
        <w:rPr/>
        <w:t xml:space="preserve"> (24 h par défaut) ; un serveur SMTP indisponible ne fait perdre aucune alerte. Aperçu sans envoi : </w:t>
      </w:r>
      <w:r>
        <w:rPr>
          <w:rFonts w:ascii="Consolas" w:hAnsi="Consolas" w:cs="Consolas"/>
          <w:color w:val="1C5CAB"/>
          <w:sz w:val="18"/>
          <w:szCs w:val="18"/>
          <w:shd w:val="clear" w:color="auto" w:fill="EEF3FA"/>
        </w:rPr>
        <w:t xml:space="preserve">check-alerts --dry-run apercu</w:t>
      </w:r>
      <w:r>
        <w:rPr/>
        <w:t xml:space="preserve">.</w:t>
      </w:r>
    </w:p>
    <w:p>
      <w:pPr>
        <w:pStyle w:val="Figure"/>
        <w:keepNext/>
      </w:pPr>
      <w:r>
        <w:drawing>
          <wp:inline distT="0" distB="0" distL="0" distR="0">
            <wp:extent cx="4680000" cy="3809302"/>
            <wp:docPr id="39" name="Image 39" descr="Message d'alertes immédiates"/>
            <wp:cNvGraphicFramePr>
              <a:graphicFrameLocks noChangeAspect="1"/>
            </wp:cNvGraphicFramePr>
            <a:graphic>
              <a:graphicData uri="http://schemas.openxmlformats.org/drawingml/2006/picture">
                <pic:pic>
                  <pic:nvPicPr>
                    <pic:cNvPr id="39" name="alertes.png"/>
                    <pic:cNvPicPr/>
                  </pic:nvPicPr>
                  <pic:blipFill>
                    <a:blip r:embed="rIdImg39"/>
                    <a:stretch>
                      <a:fillRect/>
                    </a:stretch>
                  </pic:blipFill>
                  <pic:spPr>
                    <a:xfrm>
                      <a:off x="0" y="0"/>
                      <a:ext cx="4680000" cy="3809302"/>
                    </a:xfrm>
                    <a:prstGeom prst="rect">
                      <a:avLst/>
                    </a:prstGeom>
                    <a:ln w="9525">
                      <a:solidFill>
                        <a:srgbClr val="D9D8D2"/>
                      </a:solidFill>
                    </a:ln>
                  </pic:spPr>
                </pic:pic>
              </a:graphicData>
            </a:graphic>
          </wp:inline>
        </w:drawing>
      </w:r>
    </w:p>
    <w:p>
      <w:pPr>
        <w:pStyle w:val="Caption"/>
      </w:pPr>
      <w:bookmarkStart w:id="112" w:name="_Fig00112"/>
      <w:r>
        <w:rPr/>
        <w:t xml:space="preserve">Figure </w:t>
      </w:r>
      <w:fldSimple w:instr=" SEQ Figure \* ARABIC ">
        <w:r>
          <w:t>37</w:t>
        </w:r>
      </w:fldSimple>
      <w:r>
        <w:rPr/>
        <w:t xml:space="preserve"> – Message d'alertes immédiates</w:t>
      </w:r>
      <w:bookmarkEnd w:id="112"/>
    </w:p>
    <w:p>
      <w:pPr/>
      <w:r>
        <w:rPr/>
        <w:t xml:space="preserve">Avec des connecteurs </w:t>
      </w:r>
      <w:r>
        <w:rPr>
          <w:rFonts w:ascii="Consolas" w:hAnsi="Consolas" w:cs="Consolas"/>
          <w:color w:val="1C5CAB"/>
          <w:sz w:val="18"/>
          <w:szCs w:val="18"/>
          <w:shd w:val="clear" w:color="auto" w:fill="EEF3FA"/>
        </w:rPr>
        <w:t xml:space="preserve">alerts.itsm</w:t>
      </w:r>
      <w:r>
        <w:rPr/>
        <w:t xml:space="preserve">, chaque alerte grave (pannes, refus, échéances à moins de 7 jours ; </w:t>
      </w:r>
      <w:r>
        <w:rPr>
          <w:rFonts w:ascii="Consolas" w:hAnsi="Consolas" w:cs="Consolas"/>
          <w:color w:val="1C5CAB"/>
          <w:sz w:val="18"/>
          <w:szCs w:val="18"/>
          <w:shd w:val="clear" w:color="auto" w:fill="EEF3FA"/>
        </w:rPr>
        <w:t xml:space="preserve">min_severity</w:t>
      </w:r>
      <w:r>
        <w:rPr/>
        <w:t xml:space="preserve">) ouvre aussi un ticket dans ServiceNow, Jira ou GLPI (ou un message Teams / Slack) : il est complété à chaque rappel et résolu automatiquement quand la condition disparaît, sans doublon, avec rattrapage si l'outil était injoignable. Vérification à l'installation : </w:t>
      </w:r>
      <w:r>
        <w:rPr>
          <w:rFonts w:ascii="Consolas" w:hAnsi="Consolas" w:cs="Consolas"/>
          <w:color w:val="1C5CAB"/>
          <w:sz w:val="18"/>
          <w:szCs w:val="18"/>
          <w:shd w:val="clear" w:color="auto" w:fill="EEF3FA"/>
        </w:rPr>
        <w:t xml:space="preserve">test-itsm</w:t>
      </w:r>
      <w:r>
        <w:rPr/>
        <w:t xml:space="preserve"> (ticket de test ouvert, commenté puis résolu).</w:t>
      </w:r>
    </w:p>
    <w:p>
      <w:pPr>
        <w:pStyle w:val="Heading2"/>
      </w:pPr>
      <w:bookmarkStart w:id="113" w:name="_Toc00113"/>
      <w:r>
        <w:rPr/>
        <w:t xml:space="preserve">8.13 Rôles</w:t>
      </w:r>
      <w:bookmarkEnd w:id="113"/>
    </w:p>
    <w:p>
      <w:pPr/>
      <w:r>
        <w:rPr/>
        <w:t xml:space="preserve">Avec la section </w:t>
      </w:r>
      <w:r>
        <w:rPr>
          <w:rFonts w:ascii="Consolas" w:hAnsi="Consolas" w:cs="Consolas"/>
          <w:color w:val="1C5CAB"/>
          <w:sz w:val="18"/>
          <w:szCs w:val="18"/>
          <w:shd w:val="clear" w:color="auto" w:fill="EEF3FA"/>
        </w:rPr>
        <w:t xml:space="preserve">web.roles</w:t>
      </w:r>
      <w:r>
        <w:rPr/>
        <w:t xml:space="preserve">, un responsable de service ne voit que les utilisateurs de ses services : sessions, répartition, refus, utilisateurs connectés et exports. Le bandeau « Vue limitée » le rappelle, les filtres ne proposent que son périmètre et toute demande hors périmètre est refusée par le serveur (journal d'audit). Les compteurs d'un produit (jetons émis et utilisés, saturation) restent visibles : ils ne désignent personne. Les lecteurs et administrateurs ont une vue globale.</w:t>
      </w:r>
    </w:p>
    <w:p>
      <w:pPr>
        <w:pStyle w:val="Heading2"/>
      </w:pPr>
      <w:bookmarkStart w:id="114" w:name="_Toc00114"/>
      <w:r>
        <w:rPr/>
        <w:t xml:space="preserve">8.14 Licences inutilisées, réservations, emprunts et sites</w:t>
      </w:r>
      <w:bookmarkEnd w:id="114"/>
    </w:p>
    <w:p>
      <w:pPr/>
      <w:r>
        <w:rPr>
          <w:b/>
        </w:rPr>
        <w:t xml:space="preserve">Licences inutilisées</w:t>
      </w:r>
      <w:r>
        <w:rPr/>
        <w:t xml:space="preserve"> liste les licences émises mais jamais utilisées sur la période, avec leur coût annuel : ce sont les premières candidates à la résiliation. </w:t>
      </w:r>
      <w:r>
        <w:rPr>
          <w:b/>
        </w:rPr>
        <w:t xml:space="preserve">Réservations</w:t>
      </w:r>
      <w:r>
        <w:rPr/>
        <w:t xml:space="preserve"> reprend les jetons réservés par le fichier d'options (lignes RESERVE) et mesure leur usage réel par le bénéficiaire.</w:t>
      </w:r>
    </w:p>
    <w:p>
      <w:pPr>
        <w:pStyle w:val="Figure"/>
        <w:keepNext/>
      </w:pPr>
      <w:r>
        <w:drawing>
          <wp:inline distT="0" distB="0" distL="0" distR="0">
            <wp:extent cx="5940000" cy="3712500"/>
            <wp:docPr id="40" name="Image 40" descr="Licences inutilisées"/>
            <wp:cNvGraphicFramePr>
              <a:graphicFrameLocks noChangeAspect="1"/>
            </wp:cNvGraphicFramePr>
            <a:graphic>
              <a:graphicData uri="http://schemas.openxmlformats.org/drawingml/2006/picture">
                <pic:pic>
                  <pic:nvPicPr>
                    <pic:cNvPr id="40" name="unused.png"/>
                    <pic:cNvPicPr/>
                  </pic:nvPicPr>
                  <pic:blipFill>
                    <a:blip r:embed="rIdImg4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5" w:name="_Fig00115"/>
      <w:r>
        <w:rPr/>
        <w:t xml:space="preserve">Figure </w:t>
      </w:r>
      <w:fldSimple w:instr=" SEQ Figure \* ARABIC ">
        <w:r>
          <w:t>38</w:t>
        </w:r>
      </w:fldSimple>
      <w:r>
        <w:rPr/>
        <w:t xml:space="preserve"> – Licences inutilisées</w:t>
      </w:r>
      <w:bookmarkEnd w:id="115"/>
    </w:p>
    <w:p>
      <w:pPr>
        <w:pStyle w:val="Figure"/>
        <w:keepNext/>
      </w:pPr>
      <w:r>
        <w:drawing>
          <wp:inline distT="0" distB="0" distL="0" distR="0">
            <wp:extent cx="5940000" cy="3712500"/>
            <wp:docPr id="41" name="Image 41" descr="Réservations et taux d'usage"/>
            <wp:cNvGraphicFramePr>
              <a:graphicFrameLocks noChangeAspect="1"/>
            </wp:cNvGraphicFramePr>
            <a:graphic>
              <a:graphicData uri="http://schemas.openxmlformats.org/drawingml/2006/picture">
                <pic:pic>
                  <pic:nvPicPr>
                    <pic:cNvPr id="41" name="reservations.png"/>
                    <pic:cNvPicPr/>
                  </pic:nvPicPr>
                  <pic:blipFill>
                    <a:blip r:embed="rIdImg4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6" w:name="_Fig00116"/>
      <w:r>
        <w:rPr/>
        <w:t xml:space="preserve">Figure </w:t>
      </w:r>
      <w:fldSimple w:instr=" SEQ Figure \* ARABIC ">
        <w:r>
          <w:t>39</w:t>
        </w:r>
      </w:fldSimple>
      <w:r>
        <w:rPr/>
        <w:t xml:space="preserve"> – Réservations et taux d'usage</w:t>
      </w:r>
      <w:bookmarkEnd w:id="116"/>
    </w:p>
    <w:p>
      <w:pPr/>
      <w:r>
        <w:rPr/>
        <w:t xml:space="preserve">Les </w:t>
      </w:r>
      <w:r>
        <w:rPr>
          <w:b/>
        </w:rPr>
        <w:t xml:space="preserve">licences empruntées</w:t>
      </w:r>
      <w:r>
        <w:rPr/>
        <w:t xml:space="preserve"> (utilisation hors ligne) sont signalées dans la vue En direct et dans les sessions. Avec la section </w:t>
      </w:r>
      <w:r>
        <w:rPr>
          <w:rFonts w:ascii="Consolas" w:hAnsi="Consolas" w:cs="Consolas"/>
          <w:color w:val="1C5CAB"/>
          <w:sz w:val="18"/>
          <w:szCs w:val="18"/>
          <w:shd w:val="clear" w:color="auto" w:fill="EEF3FA"/>
        </w:rPr>
        <w:t xml:space="preserve">sites</w:t>
      </w:r>
      <w:r>
        <w:rPr/>
        <w:t xml:space="preserve">, chaque poste est rattaché à un site : filtre « Sites » et répartition par site.</w:t>
      </w:r>
    </w:p>
    <w:p>
      <w:pPr>
        <w:pStyle w:val="Heading1"/>
      </w:pPr>
      <w:bookmarkStart w:id="117" w:name="_Toc00117"/>
      <w:r>
        <w:rPr/>
        <w:t xml:space="preserve">9. Sauvegarde, restauration et rétention</w:t>
      </w:r>
      <w:bookmarkEnd w:id="117"/>
    </w:p>
    <w:p>
      <w:pPr>
        <w:pStyle w:val="Heading2"/>
      </w:pPr>
      <w:bookmarkStart w:id="118" w:name="_Toc00118"/>
      <w:r>
        <w:rPr/>
        <w:t xml:space="preserve">9.1 Éléments à sauvegarder</w:t>
      </w:r>
      <w:bookmarkEnd w:id="118"/>
    </w:p>
    <w:p>
      <w:pPr>
        <w:pStyle w:val="Caption"/>
        <w:keepNext/>
      </w:pPr>
      <w:r>
        <w:rPr/>
        <w:t xml:space="preserve">Tableau 25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C:\HeptagonesLM\reports\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C:\HeptagonesLM\logs\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HeptagonesLM.exe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19" w:name="_Toc00119"/>
      <w:r>
        <w:rPr/>
        <w:t xml:space="preserve">9.2 Politique de rétention</w:t>
      </w:r>
      <w:bookmarkEnd w:id="119"/>
    </w:p>
    <w:p>
      <w:pPr>
        <w:pStyle w:val="Caption"/>
        <w:keepNext/>
      </w:pPr>
      <w:r>
        <w:rPr/>
        <w:t xml:space="preserve">Tableau 26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20" w:name="_Toc00120"/>
      <w:r>
        <w:rPr/>
        <w:t xml:space="preserve">9.3 Procédure de sauvegarde SQL</w:t>
      </w:r>
      <w:bookmarkEnd w:id="120"/>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21" w:name="_Toc00121"/>
      <w:r>
        <w:rPr/>
        <w:t xml:space="preserve">9.4 Procédure de restauration</w:t>
      </w:r>
      <w:bookmarkEnd w:id="121"/>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22" w:name="_Toc00122"/>
      <w:r>
        <w:rPr/>
        <w:t xml:space="preserve">9.5 Purge manuelle</w:t>
      </w:r>
      <w:bookmarkEnd w:id="122"/>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23" w:name="_Toc00123"/>
      <w:r>
        <w:rPr/>
        <w:t xml:space="preserve">10. Sécurité</w:t>
      </w:r>
      <w:bookmarkEnd w:id="123"/>
    </w:p>
    <w:p>
      <w:pPr>
        <w:pStyle w:val="Heading2"/>
      </w:pPr>
      <w:bookmarkStart w:id="124" w:name="_Toc00124"/>
      <w:r>
        <w:rPr/>
        <w:t xml:space="preserve">10.1 Principes</w:t>
      </w:r>
      <w:bookmarkEnd w:id="124"/>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25" w:name="_Toc00125"/>
      <w:r>
        <w:rPr/>
        <w:t xml:space="preserve">10.2 Authentification et habilitations</w:t>
      </w:r>
      <w:bookmarkEnd w:id="125"/>
    </w:p>
    <w:p>
      <w:pPr>
        <w:pStyle w:val="Caption"/>
        <w:keepNext/>
      </w:pPr>
      <w:r>
        <w:rPr/>
        <w:t xml:space="preserve">Tableau 27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26" w:name="_Toc00126"/>
      <w:r>
        <w:rPr/>
        <w:t xml:space="preserve">10.3 Chiffrement</w:t>
      </w:r>
      <w:bookmarkEnd w:id="126"/>
    </w:p>
    <w:p>
      <w:pPr>
        <w:pStyle w:val="Caption"/>
        <w:keepNext/>
      </w:pPr>
      <w:r>
        <w:rPr/>
        <w:t xml:space="preserve">Tableau 28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27" w:name="_Toc00127"/>
      <w:r>
        <w:rPr/>
        <w:t xml:space="preserve">10.4 Traçabilité</w:t>
      </w:r>
      <w:bookmarkEnd w:id="127"/>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28" w:name="_Toc00128"/>
      <w:r>
        <w:rPr/>
        <w:t xml:space="preserve">10.5 Données personnelles</w:t>
      </w:r>
      <w:bookmarkEnd w:id="128"/>
    </w:p>
    <w:p>
      <w:pPr>
        <w:pStyle w:val="Caption"/>
        <w:keepNext/>
      </w:pPr>
      <w:r>
        <w:rPr/>
        <w:t xml:space="preserve">Tableau 29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29" w:name="_Toc00129"/>
      <w:r>
        <w:rPr/>
        <w:t xml:space="preserve">10.6 Liste de contrôle de déploiement</w:t>
      </w:r>
      <w:bookmarkEnd w:id="129"/>
    </w:p>
    <w:p>
      <w:pPr>
        <w:pStyle w:val="Caption"/>
        <w:keepNext/>
      </w:pPr>
      <w:r>
        <w:rPr/>
        <w:t xml:space="preserve">Tableau 30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HeptagonesLM.exe vérifiée</w:t>
            </w:r>
          </w:p>
        </w:tc>
        <w:tc>
          <w:tcPr>
            <w:tcW w:w="708" w:type="dxa"/>
          </w:tcPr>
          <w:p>
            <w:pPr>
              <w:pStyle w:val="TableText"/>
            </w:pPr>
            <w:r>
              <w:rPr>
                <w:sz w:val="18"/>
                <w:szCs w:val="18"/>
              </w:rPr>
              <w:t xml:space="preserve">☐</w:t>
            </w:r>
          </w:p>
        </w:tc>
      </w:tr>
    </w:tbl>
    <w:p>
      <w:pPr>
        <w:spacing w:after="80"/>
      </w:pPr>
    </w:p>
    <w:p>
      <w:pPr>
        <w:pStyle w:val="Heading2"/>
      </w:pPr>
      <w:bookmarkStart w:id="130" w:name="_Toc00130"/>
      <w:r>
        <w:rPr/>
        <w:t xml:space="preserve">10.7 Risques résiduels</w:t>
      </w:r>
      <w:bookmarkEnd w:id="130"/>
    </w:p>
    <w:p>
      <w:pPr>
        <w:pStyle w:val="Caption"/>
        <w:keepNext/>
      </w:pPr>
      <w:r>
        <w:rPr/>
        <w:t xml:space="preserve">Tableau 31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31" w:name="_Toc00131"/>
      <w:r>
        <w:rPr/>
        <w:t xml:space="preserve">11. Gestion des incidents</w:t>
      </w:r>
      <w:bookmarkEnd w:id="131"/>
    </w:p>
    <w:p>
      <w:pPr>
        <w:pStyle w:val="Heading2"/>
      </w:pPr>
      <w:bookmarkStart w:id="132" w:name="_Toc00132"/>
      <w:r>
        <w:rPr/>
        <w:t xml:space="preserve">11.1 Démarche de diagnostic</w:t>
      </w:r>
      <w:bookmarkEnd w:id="132"/>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33" w:name="_Toc00133"/>
      <w:r>
        <w:rPr/>
        <w:t xml:space="preserve">11.2 Incidents courants</w:t>
      </w:r>
      <w:bookmarkEnd w:id="133"/>
    </w:p>
    <w:p>
      <w:pPr>
        <w:pStyle w:val="Caption"/>
        <w:keepNext/>
      </w:pPr>
      <w:r>
        <w:rPr/>
        <w:t xml:space="preserve">Tableau 32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heptagoneslm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HeptagonesLM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Ticket ITSM non créé</w:t>
            </w:r>
          </w:p>
        </w:tc>
        <w:tc>
          <w:tcPr>
            <w:tcW w:w="2155" w:type="dxa"/>
            <w:shd w:val="clear" w:color="auto" w:fill="F4F7FC"/>
          </w:tcPr>
          <w:p>
            <w:pPr>
              <w:pStyle w:val="TableText"/>
            </w:pPr>
            <w:r>
              <w:rPr>
                <w:sz w:val="16"/>
                <w:szCs w:val="16"/>
              </w:rPr>
              <w:t xml:space="preserve">URL, identifiants ou droits de l'utilisateur technique ; gravité inférieure à min_severity</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test-itsm</w:t>
            </w:r>
            <w:r>
              <w:rPr>
                <w:sz w:val="16"/>
                <w:szCs w:val="16"/>
              </w:rPr>
              <w:t xml:space="preserve"> (message d'erreur de l'outil) ; journal « ITSM : … »</w:t>
            </w:r>
          </w:p>
        </w:tc>
        <w:tc>
          <w:tcPr>
            <w:tcW w:w="2663" w:type="dxa"/>
            <w:shd w:val="clear" w:color="auto" w:fill="F4F7FC"/>
          </w:tcPr>
          <w:p>
            <w:pPr>
              <w:pStyle w:val="TableText"/>
            </w:pPr>
            <w:r>
              <w:rPr>
                <w:sz w:val="16"/>
                <w:szCs w:val="16"/>
              </w:rPr>
              <w:t xml:space="preserve">Corriger le connecteur ; accorder le droit de créer des incidents</w:t>
            </w:r>
          </w:p>
        </w:tc>
      </w:tr>
      <w:tr>
        <w:trPr>
          <w:cantSplit/>
        </w:trPr>
        <w:tc>
          <w:tcPr>
            <w:tcW w:w="2409" w:type="dxa"/>
          </w:tcPr>
          <w:p>
            <w:pPr>
              <w:pStyle w:val="TableText"/>
            </w:pPr>
            <w:r>
              <w:rPr>
                <w:sz w:val="16"/>
                <w:szCs w:val="16"/>
              </w:rPr>
              <w:t xml:space="preserve">« Pas de rôle » à l'ouverture de l'interface</w:t>
            </w:r>
          </w:p>
        </w:tc>
        <w:tc>
          <w:tcPr>
            <w:tcW w:w="2155" w:type="dxa"/>
          </w:tcPr>
          <w:p>
            <w:pPr>
              <w:pStyle w:val="TableText"/>
            </w:pPr>
            <w:r>
              <w:rPr>
                <w:sz w:val="16"/>
                <w:szCs w:val="16"/>
              </w:rPr>
              <w:t xml:space="preserve">Utilisateur hors des groupes de web.roles (default: none)</w:t>
            </w:r>
          </w:p>
        </w:tc>
        <w:tc>
          <w:tcPr>
            <w:tcW w:w="2409" w:type="dxa"/>
          </w:tcPr>
          <w:p>
            <w:pPr>
              <w:pStyle w:val="TableText"/>
            </w:pPr>
            <w:r>
              <w:rPr>
                <w:sz w:val="16"/>
                <w:szCs w:val="16"/>
              </w:rPr>
              <w:t xml:space="preserve">Journal d'audit « Accès refusé (aucun rôle) »</w:t>
            </w:r>
          </w:p>
        </w:tc>
        <w:tc>
          <w:tcPr>
            <w:tcW w:w="2663" w:type="dxa"/>
          </w:tcPr>
          <w:p>
            <w:pPr>
              <w:pStyle w:val="TableText"/>
            </w:pPr>
            <w:r>
              <w:rPr>
                <w:sz w:val="16"/>
                <w:szCs w:val="16"/>
              </w:rPr>
              <w:t xml:space="preserve">Ajouter au groupe du rôle ou passer default: reader</w:t>
            </w:r>
          </w:p>
        </w:tc>
      </w:tr>
      <w:tr>
        <w:trPr>
          <w:cantSplit/>
        </w:trPr>
        <w:tc>
          <w:tcPr>
            <w:tcW w:w="2409" w:type="dxa"/>
            <w:shd w:val="clear" w:color="auto" w:fill="F4F7FC"/>
          </w:tcPr>
          <w:p>
            <w:pPr>
              <w:pStyle w:val="TableText"/>
            </w:pPr>
            <w:r>
              <w:rPr>
                <w:sz w:val="16"/>
                <w:szCs w:val="16"/>
              </w:rPr>
              <w:t xml:space="preserve">Alertes non reçues</w:t>
            </w:r>
          </w:p>
        </w:tc>
        <w:tc>
          <w:tcPr>
            <w:tcW w:w="2155" w:type="dxa"/>
            <w:shd w:val="clear" w:color="auto" w:fill="F4F7FC"/>
          </w:tcPr>
          <w:p>
            <w:pPr>
              <w:pStyle w:val="TableText"/>
            </w:pPr>
            <w:r>
              <w:rPr>
                <w:sz w:val="16"/>
                <w:szCs w:val="16"/>
              </w:rPr>
              <w:t xml:space="preserve">Section </w:t>
            </w:r>
            <w:r>
              <w:rPr>
                <w:rFonts w:ascii="Consolas" w:hAnsi="Consolas" w:cs="Consolas"/>
                <w:color w:val="1C5CAB"/>
                <w:sz w:val="16"/>
                <w:szCs w:val="16"/>
                <w:shd w:val="clear" w:color="auto" w:fill="EEF3FA"/>
              </w:rPr>
              <w:t xml:space="preserve">alerts</w:t>
            </w:r>
            <w:r>
              <w:rPr>
                <w:sz w:val="16"/>
                <w:szCs w:val="16"/>
              </w:rPr>
              <w:t xml:space="preserve"> absente, SMTP refusé, schéma non migré, alerte déjà envoyée</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check-alerts --dry-run apercu</w:t>
            </w:r>
            <w:r>
              <w:rPr>
                <w:sz w:val="16"/>
                <w:szCs w:val="16"/>
              </w:rPr>
              <w:t xml:space="preserve"> ; journal « Envoi des alertes impossible » ; </w:t>
            </w:r>
            <w:r>
              <w:rPr>
                <w:rFonts w:ascii="Consolas" w:hAnsi="Consolas" w:cs="Consolas"/>
                <w:color w:val="1C5CAB"/>
                <w:sz w:val="16"/>
                <w:szCs w:val="16"/>
                <w:shd w:val="clear" w:color="auto" w:fill="EEF3FA"/>
              </w:rPr>
              <w:t xml:space="preserve">report_delivery</w:t>
            </w:r>
            <w:r>
              <w:rPr>
                <w:sz w:val="16"/>
                <w:szCs w:val="16"/>
              </w:rPr>
              <w:t xml:space="preserve"> (abonnement Alertes)</w:t>
            </w:r>
          </w:p>
        </w:tc>
        <w:tc>
          <w:tcPr>
            <w:tcW w:w="2663" w:type="dxa"/>
            <w:shd w:val="clear" w:color="auto" w:fill="F4F7FC"/>
          </w:tcPr>
          <w:p>
            <w:pPr>
              <w:pStyle w:val="TableText"/>
            </w:pPr>
            <w:r>
              <w:rPr>
                <w:sz w:val="16"/>
                <w:szCs w:val="16"/>
              </w:rPr>
              <w:t xml:space="preserve">Compléter la configuration ; </w:t>
            </w:r>
            <w:r>
              <w:rPr>
                <w:rFonts w:ascii="Consolas" w:hAnsi="Consolas" w:cs="Consolas"/>
                <w:color w:val="1C5CAB"/>
                <w:sz w:val="16"/>
                <w:szCs w:val="16"/>
                <w:shd w:val="clear" w:color="auto" w:fill="EEF3FA"/>
              </w:rPr>
              <w:t xml:space="preserve">init-db</w:t>
            </w:r>
            <w:r>
              <w:rPr>
                <w:sz w:val="16"/>
                <w:szCs w:val="16"/>
              </w:rPr>
              <w:t xml:space="preserve"> ; corriger SMTP</w:t>
            </w:r>
          </w:p>
        </w:tc>
      </w:tr>
      <w:tr>
        <w:trPr>
          <w:cantSplit/>
        </w:trPr>
        <w:tc>
          <w:tcPr>
            <w:tcW w:w="2409" w:type="dxa"/>
          </w:tcPr>
          <w:p>
            <w:pPr>
              <w:pStyle w:val="TableText"/>
            </w:pPr>
            <w:r>
              <w:rPr>
                <w:sz w:val="16"/>
                <w:szCs w:val="16"/>
              </w:rPr>
              <w:t xml:space="preserve">Serveur RLM en échec</w:t>
            </w:r>
          </w:p>
        </w:tc>
        <w:tc>
          <w:tcPr>
            <w:tcW w:w="2155" w:type="dxa"/>
          </w:tcPr>
          <w:p>
            <w:pPr>
              <w:pStyle w:val="TableText"/>
            </w:pPr>
            <w:r>
              <w:rPr>
                <w:sz w:val="16"/>
                <w:szCs w:val="16"/>
              </w:rPr>
              <w:t xml:space="preserve">rlmutil absent, port rlm filtré, serveur arrêté</w:t>
            </w:r>
          </w:p>
        </w:tc>
        <w:tc>
          <w:tcPr>
            <w:tcW w:w="2409" w:type="dxa"/>
          </w:tcPr>
          <w:p>
            <w:pPr>
              <w:pStyle w:val="TableText"/>
            </w:pPr>
            <w:r>
              <w:rPr>
                <w:rFonts w:ascii="Consolas" w:hAnsi="Consolas" w:cs="Consolas"/>
                <w:color w:val="1C5CAB"/>
                <w:sz w:val="16"/>
                <w:szCs w:val="16"/>
                <w:shd w:val="clear" w:color="auto" w:fill="EEF3FA"/>
              </w:rPr>
              <w:t xml:space="preserve">rlmutil rlmstat -a -c 5053@serveur</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rlmutil_path</w:t>
            </w:r>
            <w:r>
              <w:rPr>
                <w:sz w:val="16"/>
                <w:szCs w:val="16"/>
              </w:rPr>
              <w:t xml:space="preserve"> ; ouvrir le port du serveur rlm et des démons ISV</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34" w:name="_Toc00134"/>
      <w:r>
        <w:rPr/>
        <w:t xml:space="preserve">11.3 Commandes de diagnostic</w:t>
      </w:r>
      <w:bookmarkEnd w:id="134"/>
    </w:p>
    <w:p>
      <w:pPr>
        <w:pStyle w:val="Caption"/>
        <w:keepNext/>
      </w:pPr>
      <w:r>
        <w:rPr/>
        <w:t xml:space="preserve">Tableau 33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35" w:name="_Toc00135"/>
      <w:r>
        <w:rPr/>
        <w:t xml:space="preserve">11.4 Escalade</w:t>
      </w:r>
      <w:bookmarkEnd w:id="135"/>
    </w:p>
    <w:p>
      <w:pPr>
        <w:pStyle w:val="Caption"/>
        <w:keepNext/>
      </w:pPr>
      <w:r>
        <w:rPr/>
        <w:t xml:space="preserve">Tableau 34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36" w:name="_Toc00136"/>
      <w:r>
        <w:rPr/>
        <w:t xml:space="preserve">12. Maintenance et évolutions</w:t>
      </w:r>
      <w:bookmarkEnd w:id="136"/>
    </w:p>
    <w:p>
      <w:pPr>
        <w:pStyle w:val="Heading2"/>
      </w:pPr>
      <w:bookmarkStart w:id="137" w:name="_Toc00137"/>
      <w:r>
        <w:rPr/>
        <w:t xml:space="preserve">12.1 Mise à jour de version</w:t>
      </w:r>
      <w:bookmarkEnd w:id="137"/>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HeptagonesLM.exe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38" w:name="_Toc00138"/>
      <w:r>
        <w:rPr/>
        <w:t xml:space="preserve">12.2 Ajout d'un serveur de licences</w:t>
      </w:r>
      <w:bookmarkEnd w:id="138"/>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39" w:name="_Toc00139"/>
      <w:r>
        <w:rPr/>
        <w:t xml:space="preserve">12.3 Produits, coûts et abonnements</w:t>
      </w:r>
      <w:bookmarkEnd w:id="139"/>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40" w:name="_Toc00140"/>
      <w:r>
        <w:rPr/>
        <w:t xml:space="preserve">12.4 Renouvellement des certificats</w:t>
      </w:r>
      <w:bookmarkEnd w:id="140"/>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41" w:name="_Toc00141"/>
      <w:r>
        <w:rPr/>
        <w:t xml:space="preserve">12.5 Compte de service</w:t>
      </w:r>
      <w:bookmarkEnd w:id="141"/>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42" w:name="_Toc00142"/>
      <w:r>
        <w:rPr/>
        <w:t xml:space="preserve">12.6 Ajout d'un autre gestionnaire de licences</w:t>
      </w:r>
      <w:bookmarkEnd w:id="142"/>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43" w:name="_Toc00143"/>
      <w:r>
        <w:rPr/>
        <w:t xml:space="preserve">13. Continuité et reprise d'activité</w:t>
      </w:r>
      <w:bookmarkEnd w:id="143"/>
    </w:p>
    <w:p>
      <w:pPr>
        <w:pStyle w:val="Heading2"/>
      </w:pPr>
      <w:bookmarkStart w:id="144" w:name="_Toc00144"/>
      <w:r>
        <w:rPr/>
        <w:t xml:space="preserve">13.1 Impact d'une indisponibilité</w:t>
      </w:r>
      <w:bookmarkEnd w:id="144"/>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45" w:name="_Toc00145"/>
      <w:r>
        <w:rPr/>
        <w:t xml:space="preserve">13.2 Scénarios de reprise</w:t>
      </w:r>
      <w:bookmarkEnd w:id="145"/>
    </w:p>
    <w:p>
      <w:pPr>
        <w:pStyle w:val="Caption"/>
        <w:keepNext/>
      </w:pPr>
      <w:r>
        <w:rPr/>
        <w:t xml:space="preserve">Tableau 35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46" w:name="_Toc00146"/>
      <w:r>
        <w:rPr/>
        <w:t xml:space="preserve">13.3 Reconstruction complète</w:t>
      </w:r>
      <w:bookmarkEnd w:id="146"/>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HeptagonesLM.exe,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47" w:name="_Toc00147"/>
      <w:r>
        <w:rPr/>
        <w:t xml:space="preserve">14. Contacts et responsabilités</w:t>
      </w:r>
      <w:bookmarkEnd w:id="147"/>
    </w:p>
    <w:p>
      <w:pPr>
        <w:pStyle w:val="Heading2"/>
      </w:pPr>
      <w:bookmarkStart w:id="148" w:name="_Toc00148"/>
      <w:r>
        <w:rPr/>
        <w:t xml:space="preserve">14.1 Contacts</w:t>
      </w:r>
      <w:bookmarkEnd w:id="148"/>
    </w:p>
    <w:p>
      <w:pPr>
        <w:pStyle w:val="Caption"/>
        <w:keepNext/>
      </w:pPr>
      <w:r>
        <w:rPr/>
        <w:t xml:space="preserve">Tableau 36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49" w:name="_Toc00149"/>
      <w:r>
        <w:rPr/>
        <w:t xml:space="preserve">14.2 Matrice des responsabilités (RACI)</w:t>
      </w:r>
      <w:bookmarkEnd w:id="149"/>
    </w:p>
    <w:p>
      <w:pPr/>
      <w:r>
        <w:rPr/>
        <w:t xml:space="preserve">R = réalise, A = approuve, C = consulté, I = informé.</w:t>
      </w:r>
    </w:p>
    <w:p>
      <w:pPr>
        <w:pStyle w:val="Caption"/>
        <w:keepNext/>
      </w:pPr>
      <w:r>
        <w:rPr/>
        <w:t xml:space="preserve">Tableau 37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50" w:name="_Toc00150"/>
      <w:r>
        <w:rPr/>
        <w:t xml:space="preserve">Annexe A. Référence des commandes</w:t>
      </w:r>
      <w:bookmarkEnd w:id="150"/>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w:t>
      </w:r>
      <w:r>
        <w:rPr>
          <w:rFonts w:ascii="Consolas" w:hAnsi="Consolas" w:cs="Consolas"/>
          <w:color w:val="1C5CAB"/>
          <w:sz w:val="18"/>
          <w:szCs w:val="18"/>
          <w:shd w:val="clear" w:color="auto" w:fill="EEF3FA"/>
        </w:rPr>
        <w:t xml:space="preserve">HeptagonesLM.exe</w:t>
      </w:r>
      <w:r>
        <w:rPr/>
        <w:t xml:space="preserve"> ouvre l'interface sur la configuration trouvée, ou sur des données de démonstration.</w:t>
      </w:r>
    </w:p>
    <w:p>
      <w:pPr>
        <w:pStyle w:val="Caption"/>
        <w:keepNext/>
      </w:pPr>
      <w:r>
        <w:rPr/>
        <w:t xml:space="preserve">Tableau 38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check-alerts</w:t>
            </w:r>
          </w:p>
        </w:tc>
        <w:tc>
          <w:tcPr>
            <w:tcW w:w="3855" w:type="dxa"/>
            <w:shd w:val="clear" w:color="auto" w:fill="F4F7FC"/>
          </w:tcPr>
          <w:p>
            <w:pPr>
              <w:pStyle w:val="TableText"/>
            </w:pPr>
            <w:r>
              <w:rPr>
                <w:sz w:val="18"/>
                <w:szCs w:val="18"/>
              </w:rPr>
              <w:t xml:space="preserve">--dry-run DOSSIER</w:t>
            </w:r>
          </w:p>
        </w:tc>
        <w:tc>
          <w:tcPr>
            <w:tcW w:w="3855" w:type="dxa"/>
            <w:shd w:val="clear" w:color="auto" w:fill="F4F7FC"/>
          </w:tcPr>
          <w:p>
            <w:pPr>
              <w:pStyle w:val="TableText"/>
            </w:pPr>
            <w:r>
              <w:rPr>
                <w:sz w:val="18"/>
                <w:szCs w:val="18"/>
              </w:rPr>
              <w:t xml:space="preserve">Évalue les alertes, envoie l'e-mail et synchronise les tickets (aussi après chaque collecte)</w:t>
            </w:r>
          </w:p>
        </w:tc>
      </w:tr>
      <w:tr>
        <w:trPr>
          <w:cantSplit/>
        </w:trPr>
        <w:tc>
          <w:tcPr>
            <w:tcW w:w="1927" w:type="dxa"/>
          </w:tcPr>
          <w:p>
            <w:pPr>
              <w:pStyle w:val="TableText"/>
            </w:pPr>
            <w:r>
              <w:rPr>
                <w:sz w:val="18"/>
                <w:szCs w:val="18"/>
              </w:rPr>
              <w:t xml:space="preserve">test-itsm</w:t>
            </w:r>
          </w:p>
        </w:tc>
        <w:tc>
          <w:tcPr>
            <w:tcW w:w="3855" w:type="dxa"/>
          </w:tcPr>
          <w:p>
            <w:pPr>
              <w:pStyle w:val="TableText"/>
            </w:pPr>
            <w:r>
              <w:rPr>
                <w:sz w:val="18"/>
                <w:szCs w:val="18"/>
              </w:rPr>
              <w:t xml:space="preserve">--connector NOM, --keep-open</w:t>
            </w:r>
          </w:p>
        </w:tc>
        <w:tc>
          <w:tcPr>
            <w:tcW w:w="3855" w:type="dxa"/>
          </w:tcPr>
          <w:p>
            <w:pPr>
              <w:pStyle w:val="TableText"/>
            </w:pPr>
            <w:r>
              <w:rPr>
                <w:sz w:val="18"/>
                <w:szCs w:val="18"/>
              </w:rPr>
              <w:t xml:space="preserve">Ticket de test ouvert, commenté puis résolu dans chaque outil ITSM</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51" w:name="_Toc00151"/>
      <w:r>
        <w:rPr/>
        <w:t xml:space="preserve">Annexe B. Exemple de configuration</w:t>
      </w:r>
      <w:bookmarkEnd w:id="151"/>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Serveurs RLM (Reprise) : chemin de rlmutil.exe</w:t>
      </w:r>
    </w:p>
    <w:p>
      <w:pPr>
        <w:pStyle w:val="Code"/>
      </w:pPr>
      <w:r>
        <w:t xml:space="preserve"># rlmutil_path: "C:/HeptagonesLM/bin/rlmutil.exe"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 Serveur RLM (Reprise License Manager) : sondage rlmutil rlmstat -a</w:t>
      </w:r>
    </w:p>
    <w:p>
      <w:pPr>
        <w:pStyle w:val="Code"/>
      </w:pPr>
      <w:r>
        <w:t xml:space="preserve">  # - name: FOUNDRY</w:t>
      </w:r>
    </w:p>
    <w:p>
      <w:pPr>
        <w:pStyle w:val="Code"/>
      </w:pPr>
      <w:r>
        <w:t xml:space="preserve">  #   license_type: rlm</w:t>
      </w:r>
    </w:p>
    <w:p>
      <w:pPr>
        <w:pStyle w:val="Code"/>
      </w:pPr>
      <w:r>
        <w:t xml:space="preserve">  #   port_at_host: "5053@licsrv3"   # port du serveur rlm (5053 par défaut)</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 Sites des postes (multi-sites) : motif fnmatch sur le nom du poste, la première règle gagne.</w:t>
      </w:r>
    </w:p>
    <w:p>
      <w:pPr>
        <w:pStyle w:val="Code"/>
      </w:pPr>
      <w:r>
        <w:t xml:space="preserve"># Filtre et répartition « Site » dans l'interface. Après modification : `heptagoneslm apply-products`.</w:t>
      </w:r>
    </w:p>
    <w:p>
      <w:pPr>
        <w:pStyle w:val="Code"/>
      </w:pPr>
      <w:r>
        <w:t xml:space="preserve"># sites:</w:t>
      </w:r>
    </w:p>
    <w:p>
      <w:pPr>
        <w:pStyle w:val="Code"/>
      </w:pPr>
      <w:r>
        <w:t xml:space="preserve">#   - { pattern: "par-*", site: "Paris" }</w:t>
      </w:r>
    </w:p>
    <w:p>
      <w:pPr>
        <w:pStyle w:val="Code"/>
      </w:pPr>
      <w:r>
        <w:t xml:space="preserve">#   - { pattern: "lyo-*", site: "Lyon" }</w:t>
      </w:r>
    </w:p>
    <w:p>
      <w:pPr>
        <w:pStyle w:val="Code"/>
      </w:pPr>
      <w:r>
        <w:t xml:space="preserve">#   - { pattern: "*",     site: "Autres sites"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 Rôles (docs/AUTHENTIFICATION.md § 2 bis) : sans cette section, tout utilisateur autorisé voit tout</w:t>
      </w:r>
    </w:p>
    <w:p>
      <w:pPr>
        <w:pStyle w:val="Code"/>
      </w:pPr>
      <w:r>
        <w:t xml:space="preserve">  # roles:</w:t>
      </w:r>
    </w:p>
    <w:p>
      <w:pPr>
        <w:pStyle w:val="Code"/>
      </w:pPr>
      <w:r>
        <w:t xml:space="preserve">  #   admins: ["ENTREPRISE\\GG_HeptagonesLM_Admins"]</w:t>
      </w:r>
    </w:p>
    <w:p>
      <w:pPr>
        <w:pStyle w:val="Code"/>
      </w:pPr>
      <w:r>
        <w:t xml:space="preserve">  #   readers: ["ENTREPRISE\\GG_HeptagonesLM_Lecteurs"]</w:t>
      </w:r>
    </w:p>
    <w:p>
      <w:pPr>
        <w:pStyle w:val="Code"/>
      </w:pPr>
      <w:r>
        <w:t xml:space="preserve">  #   departments:                              # responsables de service : leurs services uniquement</w:t>
      </w:r>
    </w:p>
    <w:p>
      <w:pPr>
        <w:pStyle w:val="Code"/>
      </w:pPr>
      <w:r>
        <w:t xml:space="preserve">  #     - group: "ENTREPRISE\\GG_Resp_Simulation"</w:t>
      </w:r>
    </w:p>
    <w:p>
      <w:pPr>
        <w:pStyle w:val="Code"/>
      </w:pPr>
      <w:r>
        <w:t xml:space="preserve">  #       departments: ["Simulation &amp; calcul"]</w:t>
      </w:r>
    </w:p>
    <w:p>
      <w:pPr>
        <w:pStyle w:val="Code"/>
      </w:pPr>
      <w:r>
        <w:t xml:space="preserve">  #     - user: chef.methodes</w:t>
      </w:r>
    </w:p>
    <w:p>
      <w:pPr>
        <w:pStyle w:val="Code"/>
      </w:pPr>
      <w:r>
        <w:t xml:space="preserve">  #       departments: ["Méthodes industrialisation"]</w:t>
      </w:r>
    </w:p>
    <w:p>
      <w:pPr>
        <w:pStyle w:val="Code"/>
      </w:pPr>
      <w:r>
        <w:t xml:space="preserve">  #       servers: [AUTODESK]                   # optionnel (ou products)</w:t>
      </w:r>
    </w:p>
    <w:p>
      <w:pPr>
        <w:pStyle w:val="Code"/>
      </w:pPr>
      <w:r>
        <w:t xml:space="preserve">  #   default: none                             # sans rôle : none (refusé) | reader</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 ---------------------------------------------------------------------------</w:t>
      </w:r>
    </w:p>
    <w:p>
      <w:pPr>
        <w:pStyle w:val="Code"/>
      </w:pPr>
      <w:r>
        <w:t xml:space="preserve"># Alertes immédiates : e-mail et / ou tickets ITSM, évaluées après chaque collecte</w:t>
      </w:r>
    </w:p>
    <w:p>
      <w:pPr>
        <w:pStyle w:val="Code"/>
      </w:pPr>
      <w:r>
        <w:t xml:space="preserve"># (ou : heptagoneslm check-alerts ; test des connecteurs : heptagoneslm test-itsm)</w:t>
      </w:r>
    </w:p>
    <w:p>
      <w:pPr>
        <w:pStyle w:val="Code"/>
      </w:pPr>
      <w:r>
        <w:t xml:space="preserve"># ---------------------------------------------------------------------------</w:t>
      </w:r>
    </w:p>
    <w:p>
      <w:pPr>
        <w:pStyle w:val="Code"/>
      </w:pPr>
      <w:r>
        <w:t xml:space="preserve"># alerts:</w:t>
      </w:r>
    </w:p>
    <w:p>
      <w:pPr>
        <w:pStyle w:val="Code"/>
      </w:pPr>
      <w:r>
        <w:t xml:space="preserve">#   recipients: [exploitation@entreprise.local]   # e-mail (nécessite email.smtp_host) ; vide = pas d'e-mail</w:t>
      </w:r>
    </w:p>
    <w:p>
      <w:pPr>
        <w:pStyle w:val="Code"/>
      </w:pPr>
      <w:r>
        <w:t xml:space="preserve">#   types: [collection, denial, saturation, expiry]   # défaut : toutes</w:t>
      </w:r>
    </w:p>
    <w:p>
      <w:pPr>
        <w:pStyle w:val="Code"/>
      </w:pPr>
      <w:r>
        <w:t xml:space="preserve">#   # collection : collecte en échec / arrêtée (+ « rétablie ») ; denial : nouveaux refus ;</w:t>
      </w:r>
    </w:p>
    <w:p>
      <w:pPr>
        <w:pStyle w:val="Code"/>
      </w:pPr>
      <w:r>
        <w:t xml:space="preserve">#   # saturation : plus aucun jeton disponible ; expiry : licence qui expire (J-30, J-7, expirée)</w:t>
      </w:r>
    </w:p>
    <w:p>
      <w:pPr>
        <w:pStyle w:val="Code"/>
      </w:pPr>
      <w:r>
        <w:t xml:space="preserve">#   # servers: [ANSYS]           # limiter à ces serveurs (défaut : tous)</w:t>
      </w:r>
    </w:p>
    <w:p>
      <w:pPr>
        <w:pStyle w:val="Code"/>
      </w:pPr>
      <w:r>
        <w:t xml:space="preserve">#   # products: ["AutoCAD 2024"] # limiter à ces produits (défaut : tous)</w:t>
      </w:r>
    </w:p>
    <w:p>
      <w:pPr>
        <w:pStyle w:val="Code"/>
      </w:pPr>
      <w:r>
        <w:t xml:space="preserve">#   expiry_days: 30              # préavis avant l'échéance</w:t>
      </w:r>
    </w:p>
    <w:p>
      <w:pPr>
        <w:pStyle w:val="Code"/>
      </w:pPr>
      <w:r>
        <w:t xml:space="preserve">#   repeat_hours: 24             # rappel d'une alerte toujours présente (et commentaire sur le ticket)</w:t>
      </w:r>
    </w:p>
    <w:p>
      <w:pPr>
        <w:pStyle w:val="Code"/>
      </w:pPr>
      <w:r>
        <w:t xml:space="preserve">#   min_denials: 1               # refus minimum pour alerter sur un produit</w:t>
      </w:r>
    </w:p>
    <w:p>
      <w:pPr>
        <w:pStyle w:val="Code"/>
      </w:pPr>
      <w:r>
        <w:t xml:space="preserve">#</w:t>
      </w:r>
    </w:p>
    <w:p>
      <w:pPr>
        <w:pStyle w:val="Code"/>
      </w:pPr>
      <w:r>
        <w:t xml:space="preserve">#   # Tickets : ouverts à l'apparition, commentés aux rappels, résolus quand la condition disparaît.</w:t>
      </w:r>
    </w:p>
    <w:p>
      <w:pPr>
        <w:pStyle w:val="Code"/>
      </w:pPr>
      <w:r>
        <w:t xml:space="preserve">#   # Communs : name, types, min_severity (info | warning | serious | critical, défaut serious),</w:t>
      </w:r>
    </w:p>
    <w:p>
      <w:pPr>
        <w:pStyle w:val="Code"/>
      </w:pPr>
      <w:r>
        <w:t xml:space="preserve">#   #           timeout_s, verify_tls, ca_file (AC interne), fields (champs supplémentaires à la création)</w:t>
      </w:r>
    </w:p>
    <w:p>
      <w:pPr>
        <w:pStyle w:val="Code"/>
      </w:pPr>
      <w:r>
        <w:t xml:space="preserve">#   itsm:</w:t>
      </w:r>
    </w:p>
    <w:p>
      <w:pPr>
        <w:pStyle w:val="Code"/>
      </w:pPr>
      <w:r>
        <w:t xml:space="preserve">#     - type: servicenow</w:t>
      </w:r>
    </w:p>
    <w:p>
      <w:pPr>
        <w:pStyle w:val="Code"/>
      </w:pPr>
      <w:r>
        <w:t xml:space="preserve">#       url: https://entreprise.service-now.com</w:t>
      </w:r>
    </w:p>
    <w:p>
      <w:pPr>
        <w:pStyle w:val="Code"/>
      </w:pPr>
      <w:r>
        <w:t xml:space="preserve">#       username: svc_heptagoneslm</w:t>
      </w:r>
    </w:p>
    <w:p>
      <w:pPr>
        <w:pStyle w:val="Code"/>
      </w:pPr>
      <w:r>
        <w:t xml:space="preserve">#       password: ${HEPTAGONESLM_ITSM_PASSWORD}</w:t>
      </w:r>
    </w:p>
    <w:p>
      <w:pPr>
        <w:pStyle w:val="Code"/>
      </w:pPr>
      <w:r>
        <w:t xml:space="preserve">#       assignment_group: "Support licences"       # optionnel</w:t>
      </w:r>
    </w:p>
    <w:p>
      <w:pPr>
        <w:pStyle w:val="Code"/>
      </w:pPr>
      <w:r>
        <w:t xml:space="preserve">#       caller: svc_heptagoneslm                   # optionnel</w:t>
      </w:r>
    </w:p>
    <w:p>
      <w:pPr>
        <w:pStyle w:val="Code"/>
      </w:pPr>
      <w:r>
        <w:t xml:space="preserve">#     - type: jira</w:t>
      </w:r>
    </w:p>
    <w:p>
      <w:pPr>
        <w:pStyle w:val="Code"/>
      </w:pPr>
      <w:r>
        <w:t xml:space="preserve">#       url: https://entreprise.atlassian.net      # ou Jira Data Center</w:t>
      </w:r>
    </w:p>
    <w:p>
      <w:pPr>
        <w:pStyle w:val="Code"/>
      </w:pPr>
      <w:r>
        <w:t xml:space="preserve">#       username: svc-heptagoneslm@entreprise.fr   # Cloud : e-mail + jeton d'API ; Data Center : jeton seul (PAT)</w:t>
      </w:r>
    </w:p>
    <w:p>
      <w:pPr>
        <w:pStyle w:val="Code"/>
      </w:pPr>
      <w:r>
        <w:t xml:space="preserve">#       token: ${HEPTAGONESLM_JIRA_TOKEN}</w:t>
      </w:r>
    </w:p>
    <w:p>
      <w:pPr>
        <w:pStyle w:val="Code"/>
      </w:pPr>
      <w:r>
        <w:t xml:space="preserve">#       project: LIC</w:t>
      </w:r>
    </w:p>
    <w:p>
      <w:pPr>
        <w:pStyle w:val="Code"/>
      </w:pPr>
      <w:r>
        <w:t xml:space="preserve">#       issue_type: Incident</w:t>
      </w:r>
    </w:p>
    <w:p>
      <w:pPr>
        <w:pStyle w:val="Code"/>
      </w:pPr>
      <w:r>
        <w:t xml:space="preserve">#       # resolve_transitions: ["Done", "Terminé"]  # transition utilisée pour résoudre</w:t>
      </w:r>
    </w:p>
    <w:p>
      <w:pPr>
        <w:pStyle w:val="Code"/>
      </w:pPr>
      <w:r>
        <w:t xml:space="preserve">#     - type: glpi</w:t>
      </w:r>
    </w:p>
    <w:p>
      <w:pPr>
        <w:pStyle w:val="Code"/>
      </w:pPr>
      <w:r>
        <w:t xml:space="preserve">#       url: https://glpi.entreprise.local/apirest.php</w:t>
      </w:r>
    </w:p>
    <w:p>
      <w:pPr>
        <w:pStyle w:val="Code"/>
      </w:pPr>
      <w:r>
        <w:t xml:space="preserve">#       app_token: ${HEPTAGONESLM_GLPI_APP_TOKEN}</w:t>
      </w:r>
    </w:p>
    <w:p>
      <w:pPr>
        <w:pStyle w:val="Code"/>
      </w:pPr>
      <w:r>
        <w:t xml:space="preserve">#       user_token: ${HEPTAGONESLM_GLPI_USER_TOKEN}</w:t>
      </w:r>
    </w:p>
    <w:p>
      <w:pPr>
        <w:pStyle w:val="Code"/>
      </w:pPr>
      <w:r>
        <w:t xml:space="preserve">#       entity_id: 0                               # optionnel</w:t>
      </w:r>
    </w:p>
    <w:p>
      <w:pPr>
        <w:pStyle w:val="Code"/>
      </w:pPr>
      <w:r>
        <w:t xml:space="preserve">#       category_id: 12                            # optionnel</w:t>
      </w:r>
    </w:p>
    <w:p>
      <w:pPr>
        <w:pStyle w:val="Code"/>
      </w:pPr>
      <w:r>
        <w:t xml:space="preserve">#     - type: webhook                              # Teams, Slack ou tout outil acceptant du JSON</w:t>
      </w:r>
    </w:p>
    <w:p>
      <w:pPr>
        <w:pStyle w:val="Code"/>
      </w:pPr>
      <w:r>
        <w:t xml:space="preserve">#       name: teams-exploitation</w:t>
      </w:r>
    </w:p>
    <w:p>
      <w:pPr>
        <w:pStyle w:val="Code"/>
      </w:pPr>
      <w:r>
        <w:t xml:space="preserve">#       url: ${HEPTAGONESLM_TEAMS_WEBHOOK}</w:t>
      </w:r>
    </w:p>
    <w:p>
      <w:pPr>
        <w:pStyle w:val="Code"/>
      </w:pPr>
      <w:r>
        <w:t xml:space="preserve">#       format: teams                              # json | teams | slack</w:t>
      </w:r>
    </w:p>
    <w:p>
      <w:pPr>
        <w:pStyle w:val="Code"/>
      </w:pPr>
      <w:r>
        <w:t xml:space="preserve">#       min_severity: warning</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52" w:name="_Toc00152"/>
      <w:r>
        <w:rPr/>
        <w:t xml:space="preserve">Annexe C. Requêtes SQL utiles</w:t>
      </w:r>
      <w:bookmarkEnd w:id="152"/>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53" w:name="_Toc00153"/>
      <w:r>
        <w:rPr/>
        <w:t xml:space="preserve">Annexe D. Fiche de contrôle quotidien</w:t>
      </w:r>
      <w:bookmarkEnd w:id="153"/>
    </w:p>
    <w:p>
      <w:pPr>
        <w:pStyle w:val="Caption"/>
        <w:keepNext/>
      </w:pPr>
      <w:r>
        <w:rPr/>
        <w:t xml:space="preserve">Tableau 39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1.7</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2026-09-29T16:21:19Z</dcterms:created>
  <dcterms:modified xsi:type="dcterms:W3CDTF">2026-09-29T16:21:19Z</dcterms:modified>
</cp:coreProperties>
</file>