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400"/>
      </w:pPr>
    </w:p>
    <w:tbl>
      <w:tblPr>
        <w:tblW w:w="9638" w:type="dxa"/>
        <w:tblLayout w:type="fixed"/>
        <w:tblCellMar>
          <w:top w:w="420" w:type="dxa"/>
          <w:left w:w="480" w:type="dxa"/>
          <w:bottom w:w="420" w:type="dxa"/>
          <w:right w:w="480" w:type="dxa"/>
        </w:tblCellMar>
      </w:tblPr>
      <w:tblGrid>
        <w:gridCol w:w="9638"/>
      </w:tblGrid>
      <w:tr>
        <w:trPr>
          <w:trHeight w:val="6200"/>
        </w:trPr>
        <w:tc>
          <w:tcPr>
            <w:tcW w:w="9638" w:type="dxa"/>
            <w:shd w:val="clear" w:color="auto" w:fill="2A78D6"/>
          </w:tcPr>
          <w:p>
            <w:pPr>
              <w:spacing w:after="360"/>
            </w:pPr>
            <w:r>
              <w:drawing>
                <wp:inline distT="0" distB="0" distL="0" distR="0">
                  <wp:extent cx="792000" cy="792000"/>
                  <wp:docPr id="1" name="Image 1"/>
                  <wp:cNvGraphicFramePr>
                    <a:graphicFrameLocks noChangeAspect="1"/>
                  </wp:cNvGraphicFramePr>
                  <a:graphic>
                    <a:graphicData uri="http://schemas.openxmlformats.org/drawingml/2006/picture">
                      <pic:pic>
                        <pic:nvPicPr>
                          <pic:cNvPr id="1" name="logo.png"/>
                          <pic:cNvPicPr/>
                        </pic:nvPicPr>
                        <pic:blipFill>
                          <a:blip r:embed="rIdImg1"/>
                          <a:stretch>
                            <a:fillRect/>
                          </a:stretch>
                        </pic:blipFill>
                        <pic:spPr>
                          <a:xfrm>
                            <a:off x="0" y="0"/>
                            <a:ext cx="792000" cy="792000"/>
                          </a:xfrm>
                          <a:prstGeom prst="rect">
                            <a:avLst/>
                          </a:prstGeom>
                        </pic:spPr>
                      </pic:pic>
                    </a:graphicData>
                  </a:graphic>
                </wp:inline>
              </w:drawing>
            </w:r>
          </w:p>
          <w:p>
            <w:pPr>
              <w:pStyle w:val="Title"/>
            </w:pPr>
            <w:r>
              <w:rPr/>
              <w:t xml:space="preserve">HeptagonesLM</w:t>
            </w:r>
          </w:p>
          <w:p>
            <w:pPr>
              <w:pStyle w:val="Subtitle"/>
              <w:spacing w:after="120"/>
            </w:pPr>
            <w:r>
              <w:rPr/>
              <w:t xml:space="preserve">Dossier d'exploitation (DEX)</w:t>
            </w:r>
          </w:p>
          <w:p>
            <w:pPr>
              <w:spacing w:after="600"/>
            </w:pPr>
            <w:r>
              <w:rPr>
                <w:color w:val="DCE9F9"/>
                <w:sz w:val="24"/>
                <w:szCs w:val="24"/>
              </w:rPr>
              <w:t xml:space="preserve">Suivi et reporting de la consommation des licences FlexLM / FlexNet et RLM</w:t>
            </w:r>
          </w:p>
          <w:p>
            <w:pPr/>
            <w:r>
              <w:rPr>
                <w:color w:val="FFFFFF"/>
                <w:sz w:val="20"/>
                <w:szCs w:val="20"/>
              </w:rPr>
              <w:t xml:space="preserve">Version du document 1.10  ·  Application HeptagonesLM 26.3.0  ·  02/10/2026</w:t>
            </w:r>
          </w:p>
        </w:tc>
      </w:tr>
    </w:tbl>
    <w:p>
      <w:pPr>
        <w:spacing w:after="700"/>
      </w:pP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920"/>
        <w:gridCol w:w="6717"/>
      </w:tblGrid>
      <w:tr>
        <w:trPr>
          <w:tblHeader/>
          <w:cantSplit/>
        </w:trPr>
        <w:tc>
          <w:tcPr>
            <w:tcW w:w="2920" w:type="dxa"/>
            <w:shd w:val="clear" w:color="auto" w:fill="2A78D6"/>
          </w:tcPr>
          <w:p>
            <w:pPr>
              <w:pStyle w:val="TableText"/>
            </w:pPr>
            <w:r>
              <w:rPr>
                <w:b/>
                <w:color w:val="FFFFFF"/>
                <w:sz w:val="18"/>
                <w:szCs w:val="18"/>
              </w:rPr>
              <w:t xml:space="preserve">Élément</w:t>
            </w:r>
          </w:p>
        </w:tc>
        <w:tc>
          <w:tcPr>
            <w:tcW w:w="6717" w:type="dxa"/>
            <w:shd w:val="clear" w:color="auto" w:fill="2A78D6"/>
          </w:tcPr>
          <w:p>
            <w:pPr>
              <w:pStyle w:val="TableText"/>
            </w:pPr>
            <w:r>
              <w:rPr>
                <w:b/>
                <w:color w:val="FFFFFF"/>
                <w:sz w:val="18"/>
                <w:szCs w:val="18"/>
              </w:rPr>
              <w:t xml:space="preserve">Valeur</w:t>
            </w:r>
          </w:p>
        </w:tc>
      </w:tr>
      <w:tr>
        <w:trPr>
          <w:cantSplit/>
        </w:trPr>
        <w:tc>
          <w:tcPr>
            <w:tcW w:w="2920" w:type="dxa"/>
          </w:tcPr>
          <w:p>
            <w:pPr>
              <w:pStyle w:val="TableText"/>
            </w:pPr>
            <w:r>
              <w:rPr>
                <w:b/>
                <w:sz w:val="18"/>
                <w:szCs w:val="18"/>
              </w:rPr>
              <w:t xml:space="preserve">Titre</w:t>
            </w:r>
          </w:p>
        </w:tc>
        <w:tc>
          <w:tcPr>
            <w:tcW w:w="6717" w:type="dxa"/>
          </w:tcPr>
          <w:p>
            <w:pPr>
              <w:pStyle w:val="TableText"/>
            </w:pPr>
            <w:r>
              <w:rPr>
                <w:sz w:val="18"/>
                <w:szCs w:val="18"/>
              </w:rPr>
              <w:t xml:space="preserve">Dossier d'exploitation de l'application HeptagonesLM</w:t>
            </w:r>
          </w:p>
        </w:tc>
      </w:tr>
      <w:tr>
        <w:trPr>
          <w:cantSplit/>
        </w:trPr>
        <w:tc>
          <w:tcPr>
            <w:tcW w:w="2920" w:type="dxa"/>
            <w:shd w:val="clear" w:color="auto" w:fill="F4F7FC"/>
          </w:tcPr>
          <w:p>
            <w:pPr>
              <w:pStyle w:val="TableText"/>
            </w:pPr>
            <w:r>
              <w:rPr>
                <w:b/>
                <w:sz w:val="18"/>
                <w:szCs w:val="18"/>
              </w:rPr>
              <w:t xml:space="preserve">Référence</w:t>
            </w:r>
          </w:p>
        </w:tc>
        <w:tc>
          <w:tcPr>
            <w:tcW w:w="6717" w:type="dxa"/>
            <w:shd w:val="clear" w:color="auto" w:fill="F4F7FC"/>
          </w:tcPr>
          <w:p>
            <w:pPr>
              <w:pStyle w:val="TableText"/>
            </w:pPr>
            <w:r>
              <w:rPr>
                <w:sz w:val="18"/>
                <w:szCs w:val="18"/>
              </w:rPr>
              <w:t xml:space="preserve">DEX-HEPTAGONESLM-001</w:t>
            </w:r>
          </w:p>
        </w:tc>
      </w:tr>
      <w:tr>
        <w:trPr>
          <w:cantSplit/>
        </w:trPr>
        <w:tc>
          <w:tcPr>
            <w:tcW w:w="2920" w:type="dxa"/>
          </w:tcPr>
          <w:p>
            <w:pPr>
              <w:pStyle w:val="TableText"/>
            </w:pPr>
            <w:r>
              <w:rPr>
                <w:b/>
                <w:sz w:val="18"/>
                <w:szCs w:val="18"/>
              </w:rPr>
              <w:t xml:space="preserve">Version du document</w:t>
            </w:r>
          </w:p>
        </w:tc>
        <w:tc>
          <w:tcPr>
            <w:tcW w:w="6717" w:type="dxa"/>
          </w:tcPr>
          <w:p>
            <w:pPr>
              <w:pStyle w:val="TableText"/>
            </w:pPr>
            <w:r>
              <w:rPr>
                <w:sz w:val="18"/>
                <w:szCs w:val="18"/>
              </w:rPr>
              <w:t xml:space="preserve">1.10 du 02/10/2026</w:t>
            </w:r>
          </w:p>
        </w:tc>
      </w:tr>
      <w:tr>
        <w:trPr>
          <w:cantSplit/>
        </w:trPr>
        <w:tc>
          <w:tcPr>
            <w:tcW w:w="2920" w:type="dxa"/>
            <w:shd w:val="clear" w:color="auto" w:fill="F4F7FC"/>
          </w:tcPr>
          <w:p>
            <w:pPr>
              <w:pStyle w:val="TableText"/>
            </w:pPr>
            <w:r>
              <w:rPr>
                <w:b/>
                <w:sz w:val="18"/>
                <w:szCs w:val="18"/>
              </w:rPr>
              <w:t xml:space="preserve">Version de l'application</w:t>
            </w:r>
          </w:p>
        </w:tc>
        <w:tc>
          <w:tcPr>
            <w:tcW w:w="6717" w:type="dxa"/>
            <w:shd w:val="clear" w:color="auto" w:fill="F4F7FC"/>
          </w:tcPr>
          <w:p>
            <w:pPr>
              <w:pStyle w:val="TableText"/>
            </w:pPr>
            <w:r>
              <w:rPr>
                <w:sz w:val="18"/>
                <w:szCs w:val="18"/>
              </w:rPr>
              <w:t xml:space="preserve">HeptagonesLM 26.3.0 (schéma de base v3)</w:t>
            </w:r>
          </w:p>
        </w:tc>
      </w:tr>
      <w:tr>
        <w:trPr>
          <w:cantSplit/>
        </w:trPr>
        <w:tc>
          <w:tcPr>
            <w:tcW w:w="2920" w:type="dxa"/>
          </w:tcPr>
          <w:p>
            <w:pPr>
              <w:pStyle w:val="TableText"/>
            </w:pPr>
            <w:r>
              <w:rPr>
                <w:b/>
                <w:sz w:val="18"/>
                <w:szCs w:val="18"/>
              </w:rPr>
              <w:t xml:space="preserve">Statut</w:t>
            </w:r>
          </w:p>
        </w:tc>
        <w:tc>
          <w:tcPr>
            <w:tcW w:w="6717" w:type="dxa"/>
          </w:tcPr>
          <w:p>
            <w:pPr>
              <w:pStyle w:val="TableText"/>
            </w:pPr>
            <w:r>
              <w:rPr>
                <w:sz w:val="18"/>
                <w:szCs w:val="18"/>
              </w:rPr>
              <w:t xml:space="preserve">À valider</w:t>
            </w:r>
          </w:p>
        </w:tc>
      </w:tr>
      <w:tr>
        <w:trPr>
          <w:cantSplit/>
        </w:trPr>
        <w:tc>
          <w:tcPr>
            <w:tcW w:w="2920" w:type="dxa"/>
            <w:shd w:val="clear" w:color="auto" w:fill="F4F7FC"/>
          </w:tcPr>
          <w:p>
            <w:pPr>
              <w:pStyle w:val="TableText"/>
            </w:pPr>
            <w:r>
              <w:rPr>
                <w:b/>
                <w:sz w:val="18"/>
                <w:szCs w:val="18"/>
              </w:rPr>
              <w:t xml:space="preserve">Classification</w:t>
            </w:r>
          </w:p>
        </w:tc>
        <w:tc>
          <w:tcPr>
            <w:tcW w:w="6717" w:type="dxa"/>
            <w:shd w:val="clear" w:color="auto" w:fill="F4F7FC"/>
          </w:tcPr>
          <w:p>
            <w:pPr>
              <w:pStyle w:val="TableText"/>
            </w:pPr>
            <w:r>
              <w:rPr>
                <w:sz w:val="18"/>
                <w:szCs w:val="18"/>
              </w:rPr>
              <w:t xml:space="preserve">Diffusion interne</w:t>
            </w:r>
          </w:p>
        </w:tc>
      </w:tr>
      <w:tr>
        <w:trPr>
          <w:cantSplit/>
        </w:trPr>
        <w:tc>
          <w:tcPr>
            <w:tcW w:w="2920" w:type="dxa"/>
          </w:tcPr>
          <w:p>
            <w:pPr>
              <w:pStyle w:val="TableText"/>
            </w:pPr>
            <w:r>
              <w:rPr>
                <w:b/>
                <w:sz w:val="18"/>
                <w:szCs w:val="18"/>
              </w:rPr>
              <w:t xml:space="preserve">Dépôt source</w:t>
            </w:r>
          </w:p>
        </w:tc>
        <w:tc>
          <w:tcPr>
            <w:tcW w:w="6717" w:type="dxa"/>
          </w:tcPr>
          <w:p>
            <w:pPr>
              <w:pStyle w:val="TableText"/>
            </w:pPr>
            <w:r>
              <w:rPr>
                <w:sz w:val="18"/>
                <w:szCs w:val="18"/>
              </w:rPr>
              <w:t xml:space="preserve">github.com/Valou94460/HEPTAGONES-LM</w:t>
            </w:r>
          </w:p>
        </w:tc>
      </w:tr>
    </w:tbl>
    <w:p>
      <w:pPr>
        <w:spacing w:after="80"/>
      </w:pPr>
    </w:p>
    <w:p>
      <w:r>
        <w:br w:type="page"/>
      </w:r>
    </w:p>
    <w:p>
      <w:pPr>
        <w:pStyle w:val="TOCHeading"/>
      </w:pPr>
      <w:r>
        <w:rPr/>
        <w:t xml:space="preserve">Suivi du document</w:t>
      </w:r>
    </w:p>
    <w:p>
      <w:pPr>
        <w:keepNext/>
      </w:pPr>
      <w:r>
        <w:rPr>
          <w:b/>
          <w:color w:val="1C5CAB"/>
          <w:sz w:val="24"/>
          <w:szCs w:val="24"/>
        </w:rPr>
        <w:t xml:space="preserve">Historique des versions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070"/>
        <w:gridCol w:w="1338"/>
        <w:gridCol w:w="1874"/>
        <w:gridCol w:w="5354"/>
      </w:tblGrid>
      <w:tr>
        <w:trPr>
          <w:tblHeader/>
          <w:cantSplit/>
        </w:trPr>
        <w:tc>
          <w:tcPr>
            <w:tcW w:w="1070" w:type="dxa"/>
            <w:shd w:val="clear" w:color="auto" w:fill="2A78D6"/>
          </w:tcPr>
          <w:p>
            <w:pPr>
              <w:pStyle w:val="TableText"/>
            </w:pPr>
            <w:r>
              <w:rPr>
                <w:b/>
                <w:color w:val="FFFFFF"/>
                <w:sz w:val="18"/>
                <w:szCs w:val="18"/>
              </w:rPr>
              <w:t xml:space="preserve">Version</w:t>
            </w:r>
          </w:p>
        </w:tc>
        <w:tc>
          <w:tcPr>
            <w:tcW w:w="1338" w:type="dxa"/>
            <w:shd w:val="clear" w:color="auto" w:fill="2A78D6"/>
          </w:tcPr>
          <w:p>
            <w:pPr>
              <w:pStyle w:val="TableText"/>
            </w:pPr>
            <w:r>
              <w:rPr>
                <w:b/>
                <w:color w:val="FFFFFF"/>
                <w:sz w:val="18"/>
                <w:szCs w:val="18"/>
              </w:rPr>
              <w:t xml:space="preserve">Date</w:t>
            </w:r>
          </w:p>
        </w:tc>
        <w:tc>
          <w:tcPr>
            <w:tcW w:w="1874" w:type="dxa"/>
            <w:shd w:val="clear" w:color="auto" w:fill="2A78D6"/>
          </w:tcPr>
          <w:p>
            <w:pPr>
              <w:pStyle w:val="TableText"/>
            </w:pPr>
            <w:r>
              <w:rPr>
                <w:b/>
                <w:color w:val="FFFFFF"/>
                <w:sz w:val="18"/>
                <w:szCs w:val="18"/>
              </w:rPr>
              <w:t xml:space="preserve">Auteur</w:t>
            </w:r>
          </w:p>
        </w:tc>
        <w:tc>
          <w:tcPr>
            <w:tcW w:w="5354" w:type="dxa"/>
            <w:shd w:val="clear" w:color="auto" w:fill="2A78D6"/>
          </w:tcPr>
          <w:p>
            <w:pPr>
              <w:pStyle w:val="TableText"/>
            </w:pPr>
            <w:r>
              <w:rPr>
                <w:b/>
                <w:color w:val="FFFFFF"/>
                <w:sz w:val="18"/>
                <w:szCs w:val="18"/>
              </w:rPr>
              <w:t xml:space="preserve">Modifications</w:t>
            </w:r>
          </w:p>
        </w:tc>
      </w:tr>
      <w:tr>
        <w:trPr>
          <w:cantSplit/>
        </w:trPr>
        <w:tc>
          <w:tcPr>
            <w:tcW w:w="1070" w:type="dxa"/>
          </w:tcPr>
          <w:p>
            <w:pPr>
              <w:pStyle w:val="TableText"/>
            </w:pPr>
            <w:r>
              <w:rPr>
                <w:sz w:val="18"/>
                <w:szCs w:val="18"/>
              </w:rPr>
              <w:t xml:space="preserve">1.0</w:t>
            </w:r>
          </w:p>
        </w:tc>
        <w:tc>
          <w:tcPr>
            <w:tcW w:w="1338" w:type="dxa"/>
          </w:tcPr>
          <w:p>
            <w:pPr>
              <w:pStyle w:val="TableText"/>
            </w:pPr>
            <w:r>
              <w:rPr>
                <w:sz w:val="18"/>
                <w:szCs w:val="18"/>
              </w:rPr>
              <w:t xml:space="preserve">27/09/2026</w:t>
            </w:r>
          </w:p>
        </w:tc>
        <w:tc>
          <w:tcPr>
            <w:tcW w:w="1874" w:type="dxa"/>
          </w:tcPr>
          <w:p>
            <w:pPr>
              <w:pStyle w:val="TableText"/>
            </w:pPr>
            <w:r>
              <w:rPr>
                <w:sz w:val="18"/>
                <w:szCs w:val="18"/>
              </w:rPr>
              <w:t xml:space="preserve">Équipe HeptagonesLM</w:t>
            </w:r>
          </w:p>
        </w:tc>
        <w:tc>
          <w:tcPr>
            <w:tcW w:w="5354" w:type="dxa"/>
          </w:tcPr>
          <w:p>
            <w:pPr>
              <w:pStyle w:val="TableText"/>
            </w:pPr>
            <w:r>
              <w:rPr>
                <w:sz w:val="18"/>
                <w:szCs w:val="18"/>
              </w:rPr>
              <w:t xml:space="preserve">Création du document : architecture, installation, exploitation, guide de l'interface, sauvegarde, sécurité, incidents, maintenance.</w:t>
            </w:r>
          </w:p>
        </w:tc>
      </w:tr>
      <w:tr>
        <w:trPr>
          <w:cantSplit/>
        </w:trPr>
        <w:tc>
          <w:tcPr>
            <w:tcW w:w="1070" w:type="dxa"/>
            <w:shd w:val="clear" w:color="auto" w:fill="F4F7FC"/>
          </w:tcPr>
          <w:p>
            <w:pPr>
              <w:pStyle w:val="TableText"/>
            </w:pPr>
            <w:r>
              <w:rPr>
                <w:sz w:val="18"/>
                <w:szCs w:val="18"/>
              </w:rPr>
              <w:t xml:space="preserve">1.1</w:t>
            </w:r>
          </w:p>
        </w:tc>
        <w:tc>
          <w:tcPr>
            <w:tcW w:w="1338" w:type="dxa"/>
            <w:shd w:val="clear" w:color="auto" w:fill="F4F7FC"/>
          </w:tcPr>
          <w:p>
            <w:pPr>
              <w:pStyle w:val="TableText"/>
            </w:pPr>
            <w:r>
              <w:rPr>
                <w:sz w:val="18"/>
                <w:szCs w:val="18"/>
              </w:rPr>
              <w:t xml:space="preserve">27/09/2026</w:t>
            </w:r>
          </w:p>
        </w:tc>
        <w:tc>
          <w:tcPr>
            <w:tcW w:w="1874" w:type="dxa"/>
            <w:shd w:val="clear" w:color="auto" w:fill="F4F7FC"/>
          </w:tcPr>
          <w:p>
            <w:pPr>
              <w:pStyle w:val="TableText"/>
            </w:pPr>
            <w:r>
              <w:rPr>
                <w:sz w:val="18"/>
                <w:szCs w:val="18"/>
              </w:rPr>
              <w:t xml:space="preserve">Équipe HeptagonesLM</w:t>
            </w:r>
          </w:p>
        </w:tc>
        <w:tc>
          <w:tcPr>
            <w:tcW w:w="5354" w:type="dxa"/>
            <w:shd w:val="clear" w:color="auto" w:fill="F4F7FC"/>
          </w:tcPr>
          <w:p>
            <w:pPr>
              <w:pStyle w:val="TableText"/>
            </w:pPr>
            <w:r>
              <w:rPr>
                <w:sz w:val="18"/>
                <w:szCs w:val="18"/>
              </w:rPr>
              <w:t xml:space="preserve">Installation assistée HeptagonesLM-Setup.exe (§ 5.1), installation silencieuse, mise à jour et reconstruction par l'assistant.</w:t>
            </w:r>
          </w:p>
        </w:tc>
      </w:tr>
      <w:tr>
        <w:trPr>
          <w:cantSplit/>
        </w:trPr>
        <w:tc>
          <w:tcPr>
            <w:tcW w:w="1070" w:type="dxa"/>
          </w:tcPr>
          <w:p>
            <w:pPr>
              <w:pStyle w:val="TableText"/>
            </w:pPr>
            <w:r>
              <w:rPr>
                <w:sz w:val="18"/>
                <w:szCs w:val="18"/>
              </w:rPr>
              <w:t xml:space="preserve">1.2</w:t>
            </w:r>
          </w:p>
        </w:tc>
        <w:tc>
          <w:tcPr>
            <w:tcW w:w="1338" w:type="dxa"/>
          </w:tcPr>
          <w:p>
            <w:pPr>
              <w:pStyle w:val="TableText"/>
            </w:pPr>
            <w:r>
              <w:rPr>
                <w:sz w:val="18"/>
                <w:szCs w:val="18"/>
              </w:rPr>
              <w:t xml:space="preserve">27/09/2026</w:t>
            </w:r>
          </w:p>
        </w:tc>
        <w:tc>
          <w:tcPr>
            <w:tcW w:w="1874" w:type="dxa"/>
          </w:tcPr>
          <w:p>
            <w:pPr>
              <w:pStyle w:val="TableText"/>
            </w:pPr>
            <w:r>
              <w:rPr>
                <w:sz w:val="18"/>
                <w:szCs w:val="18"/>
              </w:rPr>
              <w:t xml:space="preserve">Équipe HeptagonesLM</w:t>
            </w:r>
          </w:p>
        </w:tc>
        <w:tc>
          <w:tcPr>
            <w:tcW w:w="5354" w:type="dxa"/>
          </w:tcPr>
          <w:p>
            <w:pPr>
              <w:pStyle w:val="TableText"/>
            </w:pPr>
            <w:r>
              <w:rPr>
                <w:sz w:val="18"/>
                <w:szCs w:val="18"/>
              </w:rPr>
              <w:t xml:space="preserve">Nouveau nom de l'application : HeptagonesLM (anciennement FreeLM), logo, captures d'écran ; authentification unique IIS par le module HeptagonesLMUserHeader ; mise à jour avec arrêt et relance automatiques.</w:t>
            </w:r>
          </w:p>
        </w:tc>
      </w:tr>
      <w:tr>
        <w:trPr>
          <w:cantSplit/>
        </w:trPr>
        <w:tc>
          <w:tcPr>
            <w:tcW w:w="1070" w:type="dxa"/>
            <w:shd w:val="clear" w:color="auto" w:fill="F4F7FC"/>
          </w:tcPr>
          <w:p>
            <w:pPr>
              <w:pStyle w:val="TableText"/>
            </w:pPr>
            <w:r>
              <w:rPr>
                <w:sz w:val="18"/>
                <w:szCs w:val="18"/>
              </w:rPr>
              <w:t xml:space="preserve">1.3</w:t>
            </w:r>
          </w:p>
        </w:tc>
        <w:tc>
          <w:tcPr>
            <w:tcW w:w="1338" w:type="dxa"/>
            <w:shd w:val="clear" w:color="auto" w:fill="F4F7FC"/>
          </w:tcPr>
          <w:p>
            <w:pPr>
              <w:pStyle w:val="TableText"/>
            </w:pPr>
            <w:r>
              <w:rPr>
                <w:sz w:val="18"/>
                <w:szCs w:val="18"/>
              </w:rPr>
              <w:t xml:space="preserve">29/09/2026</w:t>
            </w:r>
          </w:p>
        </w:tc>
        <w:tc>
          <w:tcPr>
            <w:tcW w:w="1874" w:type="dxa"/>
            <w:shd w:val="clear" w:color="auto" w:fill="F4F7FC"/>
          </w:tcPr>
          <w:p>
            <w:pPr>
              <w:pStyle w:val="TableText"/>
            </w:pPr>
            <w:r>
              <w:rPr>
                <w:sz w:val="18"/>
                <w:szCs w:val="18"/>
              </w:rPr>
              <w:t xml:space="preserve">Équipe HeptagonesLM</w:t>
            </w:r>
          </w:p>
        </w:tc>
        <w:tc>
          <w:tcPr>
            <w:tcW w:w="5354" w:type="dxa"/>
            <w:shd w:val="clear" w:color="auto" w:fill="F4F7FC"/>
          </w:tcPr>
          <w:p>
            <w:pPr>
              <w:pStyle w:val="TableText"/>
            </w:pPr>
            <w:r>
              <w:rPr>
                <w:sz w:val="18"/>
                <w:szCs w:val="18"/>
              </w:rPr>
              <w:t xml:space="preserve">Première version publiée de l'application : HeptagonesLM 26.1.0 (numérotation année.version.correctif).</w:t>
            </w:r>
          </w:p>
        </w:tc>
      </w:tr>
      <w:tr>
        <w:trPr>
          <w:cantSplit/>
        </w:trPr>
        <w:tc>
          <w:tcPr>
            <w:tcW w:w="1070" w:type="dxa"/>
          </w:tcPr>
          <w:p>
            <w:pPr>
              <w:pStyle w:val="TableText"/>
            </w:pPr>
            <w:r>
              <w:rPr>
                <w:sz w:val="18"/>
                <w:szCs w:val="18"/>
              </w:rPr>
              <w:t xml:space="preserve">1.4</w:t>
            </w:r>
          </w:p>
        </w:tc>
        <w:tc>
          <w:tcPr>
            <w:tcW w:w="1338" w:type="dxa"/>
          </w:tcPr>
          <w:p>
            <w:pPr>
              <w:pStyle w:val="TableText"/>
            </w:pPr>
            <w:r>
              <w:rPr>
                <w:sz w:val="18"/>
                <w:szCs w:val="18"/>
              </w:rPr>
              <w:t xml:space="preserve">29/09/2026</w:t>
            </w:r>
          </w:p>
        </w:tc>
        <w:tc>
          <w:tcPr>
            <w:tcW w:w="1874" w:type="dxa"/>
          </w:tcPr>
          <w:p>
            <w:pPr>
              <w:pStyle w:val="TableText"/>
            </w:pPr>
            <w:r>
              <w:rPr>
                <w:sz w:val="18"/>
                <w:szCs w:val="18"/>
              </w:rPr>
              <w:t xml:space="preserve">Équipe HeptagonesLM</w:t>
            </w:r>
          </w:p>
        </w:tc>
        <w:tc>
          <w:tcPr>
            <w:tcW w:w="5354" w:type="dxa"/>
          </w:tcPr>
          <w:p>
            <w:pPr>
              <w:pStyle w:val="TableText"/>
            </w:pPr>
            <w:r>
              <w:rPr>
                <w:sz w:val="18"/>
                <w:szCs w:val="18"/>
              </w:rPr>
              <w:t xml:space="preserve">Contrôles d'authentification unique de l'assistant (SPN Kerberos, zone Intranet local) et test d'accès depuis un poste utilisateur (page /acces), § 5.1 et 5.3.</w:t>
            </w:r>
          </w:p>
        </w:tc>
      </w:tr>
      <w:tr>
        <w:trPr>
          <w:cantSplit/>
        </w:trPr>
        <w:tc>
          <w:tcPr>
            <w:tcW w:w="1070" w:type="dxa"/>
            <w:shd w:val="clear" w:color="auto" w:fill="F4F7FC"/>
          </w:tcPr>
          <w:p>
            <w:pPr>
              <w:pStyle w:val="TableText"/>
            </w:pPr>
            <w:r>
              <w:rPr>
                <w:sz w:val="18"/>
                <w:szCs w:val="18"/>
              </w:rPr>
              <w:t xml:space="preserve">1.5</w:t>
            </w:r>
          </w:p>
        </w:tc>
        <w:tc>
          <w:tcPr>
            <w:tcW w:w="1338" w:type="dxa"/>
            <w:shd w:val="clear" w:color="auto" w:fill="F4F7FC"/>
          </w:tcPr>
          <w:p>
            <w:pPr>
              <w:pStyle w:val="TableText"/>
            </w:pPr>
            <w:r>
              <w:rPr>
                <w:sz w:val="18"/>
                <w:szCs w:val="18"/>
              </w:rPr>
              <w:t xml:space="preserve">29/09/2026</w:t>
            </w:r>
          </w:p>
        </w:tc>
        <w:tc>
          <w:tcPr>
            <w:tcW w:w="1874" w:type="dxa"/>
            <w:shd w:val="clear" w:color="auto" w:fill="F4F7FC"/>
          </w:tcPr>
          <w:p>
            <w:pPr>
              <w:pStyle w:val="TableText"/>
            </w:pPr>
            <w:r>
              <w:rPr>
                <w:sz w:val="18"/>
                <w:szCs w:val="18"/>
              </w:rPr>
              <w:t xml:space="preserve">Équipe HeptagonesLM</w:t>
            </w:r>
          </w:p>
        </w:tc>
        <w:tc>
          <w:tcPr>
            <w:tcW w:w="5354" w:type="dxa"/>
            <w:shd w:val="clear" w:color="auto" w:fill="F4F7FC"/>
          </w:tcPr>
          <w:p>
            <w:pPr>
              <w:pStyle w:val="TableText"/>
            </w:pPr>
            <w:r>
              <w:rPr>
                <w:sz w:val="18"/>
                <w:szCs w:val="18"/>
              </w:rPr>
              <w:t xml:space="preserve">Application HeptagonesLM 26.1.1 : publication des contrôles d'authentification unique et du test d'accès.</w:t>
            </w:r>
          </w:p>
        </w:tc>
      </w:tr>
      <w:tr>
        <w:trPr>
          <w:cantSplit/>
        </w:trPr>
        <w:tc>
          <w:tcPr>
            <w:tcW w:w="1070" w:type="dxa"/>
          </w:tcPr>
          <w:p>
            <w:pPr>
              <w:pStyle w:val="TableText"/>
            </w:pPr>
            <w:r>
              <w:rPr>
                <w:sz w:val="18"/>
                <w:szCs w:val="18"/>
              </w:rPr>
              <w:t xml:space="preserve">1.6</w:t>
            </w:r>
          </w:p>
        </w:tc>
        <w:tc>
          <w:tcPr>
            <w:tcW w:w="1338" w:type="dxa"/>
          </w:tcPr>
          <w:p>
            <w:pPr>
              <w:pStyle w:val="TableText"/>
            </w:pPr>
            <w:r>
              <w:rPr>
                <w:sz w:val="18"/>
                <w:szCs w:val="18"/>
              </w:rPr>
              <w:t xml:space="preserve">29/09/2026</w:t>
            </w:r>
          </w:p>
        </w:tc>
        <w:tc>
          <w:tcPr>
            <w:tcW w:w="1874" w:type="dxa"/>
          </w:tcPr>
          <w:p>
            <w:pPr>
              <w:pStyle w:val="TableText"/>
            </w:pPr>
            <w:r>
              <w:rPr>
                <w:sz w:val="18"/>
                <w:szCs w:val="18"/>
              </w:rPr>
              <w:t xml:space="preserve">Équipe HeptagonesLM</w:t>
            </w:r>
          </w:p>
        </w:tc>
        <w:tc>
          <w:tcPr>
            <w:tcW w:w="5354" w:type="dxa"/>
          </w:tcPr>
          <w:p>
            <w:pPr>
              <w:pStyle w:val="TableText"/>
            </w:pPr>
            <w:r>
              <w:rPr>
                <w:sz w:val="18"/>
                <w:szCs w:val="18"/>
              </w:rPr>
              <w:t xml:space="preserve">Application 26.2.0 : alertes immédiates par e-mail (§ 6.2, 8.12, 11), collecte des serveurs RLM (§ 2.3, 5.1, 6.2).</w:t>
            </w:r>
          </w:p>
        </w:tc>
      </w:tr>
      <w:tr>
        <w:trPr>
          <w:cantSplit/>
        </w:trPr>
        <w:tc>
          <w:tcPr>
            <w:tcW w:w="1070" w:type="dxa"/>
            <w:shd w:val="clear" w:color="auto" w:fill="F4F7FC"/>
          </w:tcPr>
          <w:p>
            <w:pPr>
              <w:pStyle w:val="TableText"/>
            </w:pPr>
            <w:r>
              <w:rPr>
                <w:sz w:val="18"/>
                <w:szCs w:val="18"/>
              </w:rPr>
              <w:t xml:space="preserve">1.7</w:t>
            </w:r>
          </w:p>
        </w:tc>
        <w:tc>
          <w:tcPr>
            <w:tcW w:w="1338" w:type="dxa"/>
            <w:shd w:val="clear" w:color="auto" w:fill="F4F7FC"/>
          </w:tcPr>
          <w:p>
            <w:pPr>
              <w:pStyle w:val="TableText"/>
            </w:pPr>
            <w:r>
              <w:rPr>
                <w:sz w:val="18"/>
                <w:szCs w:val="18"/>
              </w:rPr>
              <w:t xml:space="preserve">29/09/2026</w:t>
            </w:r>
          </w:p>
        </w:tc>
        <w:tc>
          <w:tcPr>
            <w:tcW w:w="1874" w:type="dxa"/>
            <w:shd w:val="clear" w:color="auto" w:fill="F4F7FC"/>
          </w:tcPr>
          <w:p>
            <w:pPr>
              <w:pStyle w:val="TableText"/>
            </w:pPr>
            <w:r>
              <w:rPr>
                <w:sz w:val="18"/>
                <w:szCs w:val="18"/>
              </w:rPr>
              <w:t xml:space="preserve">Équipe HeptagonesLM</w:t>
            </w:r>
          </w:p>
        </w:tc>
        <w:tc>
          <w:tcPr>
            <w:tcW w:w="5354" w:type="dxa"/>
            <w:shd w:val="clear" w:color="auto" w:fill="F4F7FC"/>
          </w:tcPr>
          <w:p>
            <w:pPr>
              <w:pStyle w:val="TableText"/>
            </w:pPr>
            <w:r>
              <w:rPr>
                <w:sz w:val="18"/>
                <w:szCs w:val="18"/>
              </w:rPr>
              <w:t xml:space="preserve">Application 26.3.0 : tickets ITSM ServiceNow, Jira, GLPI et webhook (§ 6.2, 8.12), rôles par service (§ 6.2, 8.13), emprunts, réservations, multi-sites et licences inutilisées (§ 8.14).</w:t>
            </w:r>
          </w:p>
        </w:tc>
      </w:tr>
      <w:tr>
        <w:trPr>
          <w:cantSplit/>
        </w:trPr>
        <w:tc>
          <w:tcPr>
            <w:tcW w:w="1070" w:type="dxa"/>
          </w:tcPr>
          <w:p>
            <w:pPr>
              <w:pStyle w:val="TableText"/>
            </w:pPr>
            <w:r>
              <w:rPr>
                <w:sz w:val="18"/>
                <w:szCs w:val="18"/>
              </w:rPr>
              <w:t xml:space="preserve">1.8</w:t>
            </w:r>
          </w:p>
        </w:tc>
        <w:tc>
          <w:tcPr>
            <w:tcW w:w="1338" w:type="dxa"/>
          </w:tcPr>
          <w:p>
            <w:pPr>
              <w:pStyle w:val="TableText"/>
            </w:pPr>
            <w:r>
              <w:rPr>
                <w:sz w:val="18"/>
                <w:szCs w:val="18"/>
              </w:rPr>
              <w:t xml:space="preserve">01/10/2026</w:t>
            </w:r>
          </w:p>
        </w:tc>
        <w:tc>
          <w:tcPr>
            <w:tcW w:w="1874" w:type="dxa"/>
          </w:tcPr>
          <w:p>
            <w:pPr>
              <w:pStyle w:val="TableText"/>
            </w:pPr>
            <w:r>
              <w:rPr>
                <w:sz w:val="18"/>
                <w:szCs w:val="18"/>
              </w:rPr>
              <w:t xml:space="preserve">Équipe HeptagonesLM</w:t>
            </w:r>
          </w:p>
        </w:tc>
        <w:tc>
          <w:tcPr>
            <w:tcW w:w="5354" w:type="dxa"/>
          </w:tcPr>
          <w:p>
            <w:pPr>
              <w:pStyle w:val="TableText"/>
            </w:pPr>
            <w:r>
              <w:rPr>
                <w:sz w:val="18"/>
                <w:szCs w:val="18"/>
              </w:rPr>
              <w:t xml:space="preserve">Version 26.3.0 publiée : HeptagonesLM-Setup.exe seul fichier livré (§ 3.2, 5.2), bouton « Rechercher l'outil » et chemin de lmutil (dossier ou script accepté, § 5.1), bandeau « Démonstration » et lancement de HeptagonesLM.exe (§ 11.2, annexe A).</w:t>
            </w:r>
          </w:p>
        </w:tc>
      </w:tr>
      <w:tr>
        <w:trPr>
          <w:cantSplit/>
        </w:trPr>
        <w:tc>
          <w:tcPr>
            <w:tcW w:w="1070" w:type="dxa"/>
            <w:shd w:val="clear" w:color="auto" w:fill="F4F7FC"/>
          </w:tcPr>
          <w:p>
            <w:pPr>
              <w:pStyle w:val="TableText"/>
            </w:pPr>
            <w:r>
              <w:rPr>
                <w:sz w:val="18"/>
                <w:szCs w:val="18"/>
              </w:rPr>
              <w:t xml:space="preserve">1.9</w:t>
            </w:r>
          </w:p>
        </w:tc>
        <w:tc>
          <w:tcPr>
            <w:tcW w:w="1338" w:type="dxa"/>
            <w:shd w:val="clear" w:color="auto" w:fill="F4F7FC"/>
          </w:tcPr>
          <w:p>
            <w:pPr>
              <w:pStyle w:val="TableText"/>
            </w:pPr>
            <w:r>
              <w:rPr>
                <w:sz w:val="18"/>
                <w:szCs w:val="18"/>
              </w:rPr>
              <w:t xml:space="preserve">01/10/2026</w:t>
            </w:r>
          </w:p>
        </w:tc>
        <w:tc>
          <w:tcPr>
            <w:tcW w:w="1874" w:type="dxa"/>
            <w:shd w:val="clear" w:color="auto" w:fill="F4F7FC"/>
          </w:tcPr>
          <w:p>
            <w:pPr>
              <w:pStyle w:val="TableText"/>
            </w:pPr>
            <w:r>
              <w:rPr>
                <w:sz w:val="18"/>
                <w:szCs w:val="18"/>
              </w:rPr>
              <w:t xml:space="preserve">Équipe HeptagonesLM</w:t>
            </w:r>
          </w:p>
        </w:tc>
        <w:tc>
          <w:tcPr>
            <w:tcW w:w="5354" w:type="dxa"/>
            <w:shd w:val="clear" w:color="auto" w:fill="F4F7FC"/>
          </w:tcPr>
          <w:p>
            <w:pPr>
              <w:pStyle w:val="TableText"/>
            </w:pPr>
            <w:r>
              <w:rPr>
                <w:sz w:val="18"/>
                <w:szCs w:val="18"/>
              </w:rPr>
              <w:t xml:space="preserve">Assistant : étape « Tickets ITSM » avec ticket de test (§ 5.1, 8.12) ; mot de passe ou jetons de l'outil ITSM chiffrés par Windows (DPAPI) dans secrets (§ 5.1, 9.1, 10.1, 13).</w:t>
            </w:r>
          </w:p>
        </w:tc>
      </w:tr>
      <w:tr>
        <w:trPr>
          <w:cantSplit/>
        </w:trPr>
        <w:tc>
          <w:tcPr>
            <w:tcW w:w="1070" w:type="dxa"/>
          </w:tcPr>
          <w:p>
            <w:pPr>
              <w:pStyle w:val="TableText"/>
            </w:pPr>
            <w:r>
              <w:rPr>
                <w:sz w:val="18"/>
                <w:szCs w:val="18"/>
              </w:rPr>
              <w:t xml:space="preserve">1.10</w:t>
            </w:r>
          </w:p>
        </w:tc>
        <w:tc>
          <w:tcPr>
            <w:tcW w:w="1338" w:type="dxa"/>
          </w:tcPr>
          <w:p>
            <w:pPr>
              <w:pStyle w:val="TableText"/>
            </w:pPr>
            <w:r>
              <w:rPr>
                <w:sz w:val="18"/>
                <w:szCs w:val="18"/>
              </w:rPr>
              <w:t xml:space="preserve">02/10/2026</w:t>
            </w:r>
          </w:p>
        </w:tc>
        <w:tc>
          <w:tcPr>
            <w:tcW w:w="1874" w:type="dxa"/>
          </w:tcPr>
          <w:p>
            <w:pPr>
              <w:pStyle w:val="TableText"/>
            </w:pPr>
            <w:r>
              <w:rPr>
                <w:sz w:val="18"/>
                <w:szCs w:val="18"/>
              </w:rPr>
              <w:t xml:space="preserve">Équipe HeptagonesLM</w:t>
            </w:r>
          </w:p>
        </w:tc>
        <w:tc>
          <w:tcPr>
            <w:tcW w:w="5354" w:type="dxa"/>
          </w:tcPr>
          <w:p>
            <w:pPr>
              <w:pStyle w:val="TableText"/>
            </w:pPr>
            <w:r>
              <w:rPr>
                <w:sz w:val="18"/>
                <w:szCs w:val="18"/>
              </w:rPr>
              <w:t xml:space="preserve">Lot 26.3.1 : vérification du serveur accélérée, recette sur site dans l'assistant (comparaison feature par feature avec lmstat / rlmstat, refus hors du groupe, PV de recette Word et archive des preuves, § 5.1 et 5.3) ; licences Autodesk « utilisateur nommé » importées des exports du portail Autodesk Account (§ 6.2, 7.1, 8.15, 12.1).</w:t>
            </w:r>
          </w:p>
        </w:tc>
      </w:tr>
    </w:tbl>
    <w:p>
      <w:pPr>
        <w:spacing w:after="80"/>
      </w:pPr>
    </w:p>
    <w:p>
      <w:pPr>
        <w:keepNext/>
      </w:pPr>
      <w:r>
        <w:rPr>
          <w:b/>
          <w:color w:val="1C5CAB"/>
          <w:sz w:val="24"/>
          <w:szCs w:val="24"/>
        </w:rPr>
        <w:t xml:space="preserve">Validation</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927"/>
        <w:gridCol w:w="2202"/>
        <w:gridCol w:w="3029"/>
        <w:gridCol w:w="1239"/>
        <w:gridCol w:w="1239"/>
      </w:tblGrid>
      <w:tr>
        <w:trPr>
          <w:tblHeader/>
          <w:cantSplit/>
        </w:trPr>
        <w:tc>
          <w:tcPr>
            <w:tcW w:w="1927" w:type="dxa"/>
            <w:shd w:val="clear" w:color="auto" w:fill="2A78D6"/>
          </w:tcPr>
          <w:p>
            <w:pPr>
              <w:pStyle w:val="TableText"/>
            </w:pPr>
            <w:r>
              <w:rPr>
                <w:b/>
                <w:color w:val="FFFFFF"/>
                <w:sz w:val="18"/>
                <w:szCs w:val="18"/>
              </w:rPr>
              <w:t xml:space="preserve">Rôle</w:t>
            </w:r>
          </w:p>
        </w:tc>
        <w:tc>
          <w:tcPr>
            <w:tcW w:w="2202" w:type="dxa"/>
            <w:shd w:val="clear" w:color="auto" w:fill="2A78D6"/>
          </w:tcPr>
          <w:p>
            <w:pPr>
              <w:pStyle w:val="TableText"/>
            </w:pPr>
            <w:r>
              <w:rPr>
                <w:b/>
                <w:color w:val="FFFFFF"/>
                <w:sz w:val="18"/>
                <w:szCs w:val="18"/>
              </w:rPr>
              <w:t xml:space="preserve">Nom</w:t>
            </w:r>
          </w:p>
        </w:tc>
        <w:tc>
          <w:tcPr>
            <w:tcW w:w="3029" w:type="dxa"/>
            <w:shd w:val="clear" w:color="auto" w:fill="2A78D6"/>
          </w:tcPr>
          <w:p>
            <w:pPr>
              <w:pStyle w:val="TableText"/>
            </w:pPr>
            <w:r>
              <w:rPr>
                <w:b/>
                <w:color w:val="FFFFFF"/>
                <w:sz w:val="18"/>
                <w:szCs w:val="18"/>
              </w:rPr>
              <w:t xml:space="preserve">Fonction</w:t>
            </w:r>
          </w:p>
        </w:tc>
        <w:tc>
          <w:tcPr>
            <w:tcW w:w="1239" w:type="dxa"/>
            <w:shd w:val="clear" w:color="auto" w:fill="2A78D6"/>
          </w:tcPr>
          <w:p>
            <w:pPr>
              <w:pStyle w:val="TableText"/>
            </w:pPr>
            <w:r>
              <w:rPr>
                <w:b/>
                <w:color w:val="FFFFFF"/>
                <w:sz w:val="18"/>
                <w:szCs w:val="18"/>
              </w:rPr>
              <w:t xml:space="preserve">Date</w:t>
            </w:r>
          </w:p>
        </w:tc>
        <w:tc>
          <w:tcPr>
            <w:tcW w:w="1239" w:type="dxa"/>
            <w:shd w:val="clear" w:color="auto" w:fill="2A78D6"/>
          </w:tcPr>
          <w:p>
            <w:pPr>
              <w:pStyle w:val="TableText"/>
            </w:pPr>
            <w:r>
              <w:rPr>
                <w:b/>
                <w:color w:val="FFFFFF"/>
                <w:sz w:val="18"/>
                <w:szCs w:val="18"/>
              </w:rPr>
              <w:t xml:space="preserve">Visa</w:t>
            </w:r>
          </w:p>
        </w:tc>
      </w:tr>
      <w:tr>
        <w:trPr>
          <w:cantSplit/>
        </w:trPr>
        <w:tc>
          <w:tcPr>
            <w:tcW w:w="1927" w:type="dxa"/>
          </w:tcPr>
          <w:p>
            <w:pPr>
              <w:pStyle w:val="TableText"/>
            </w:pPr>
            <w:r>
              <w:rPr>
                <w:sz w:val="18"/>
                <w:szCs w:val="18"/>
              </w:rPr>
              <w:t xml:space="preserve">Rédaction</w:t>
            </w:r>
          </w:p>
        </w:tc>
        <w:tc>
          <w:tcPr>
            <w:tcW w:w="2202" w:type="dxa"/>
          </w:tcPr>
          <w:p>
            <w:pPr>
              <w:pStyle w:val="TableText"/>
            </w:pPr>
          </w:p>
        </w:tc>
        <w:tc>
          <w:tcPr>
            <w:tcW w:w="3029" w:type="dxa"/>
          </w:tcPr>
          <w:p>
            <w:pPr>
              <w:pStyle w:val="TableText"/>
            </w:pPr>
            <w:r>
              <w:rPr>
                <w:sz w:val="18"/>
                <w:szCs w:val="18"/>
              </w:rPr>
              <w:t xml:space="preserve">Chef de projet HeptagonesLM</w:t>
            </w:r>
          </w:p>
        </w:tc>
        <w:tc>
          <w:tcPr>
            <w:tcW w:w="1239" w:type="dxa"/>
          </w:tcPr>
          <w:p>
            <w:pPr>
              <w:pStyle w:val="TableText"/>
            </w:pPr>
          </w:p>
        </w:tc>
        <w:tc>
          <w:tcPr>
            <w:tcW w:w="1239" w:type="dxa"/>
          </w:tcPr>
          <w:p>
            <w:pPr>
              <w:pStyle w:val="TableText"/>
            </w:pPr>
          </w:p>
        </w:tc>
      </w:tr>
      <w:tr>
        <w:trPr>
          <w:cantSplit/>
        </w:trPr>
        <w:tc>
          <w:tcPr>
            <w:tcW w:w="1927" w:type="dxa"/>
            <w:shd w:val="clear" w:color="auto" w:fill="F4F7FC"/>
          </w:tcPr>
          <w:p>
            <w:pPr>
              <w:pStyle w:val="TableText"/>
            </w:pPr>
            <w:r>
              <w:rPr>
                <w:sz w:val="18"/>
                <w:szCs w:val="18"/>
              </w:rPr>
              <w:t xml:space="preserve">Vérification</w:t>
            </w:r>
          </w:p>
        </w:tc>
        <w:tc>
          <w:tcPr>
            <w:tcW w:w="2202" w:type="dxa"/>
            <w:shd w:val="clear" w:color="auto" w:fill="F4F7FC"/>
          </w:tcPr>
          <w:p>
            <w:pPr>
              <w:pStyle w:val="TableText"/>
            </w:pPr>
          </w:p>
        </w:tc>
        <w:tc>
          <w:tcPr>
            <w:tcW w:w="3029" w:type="dxa"/>
            <w:shd w:val="clear" w:color="auto" w:fill="F4F7FC"/>
          </w:tcPr>
          <w:p>
            <w:pPr>
              <w:pStyle w:val="TableText"/>
            </w:pPr>
            <w:r>
              <w:rPr>
                <w:sz w:val="18"/>
                <w:szCs w:val="18"/>
              </w:rPr>
              <w:t xml:space="preserve">Responsable de l'exploitation</w:t>
            </w:r>
          </w:p>
        </w:tc>
        <w:tc>
          <w:tcPr>
            <w:tcW w:w="1239" w:type="dxa"/>
            <w:shd w:val="clear" w:color="auto" w:fill="F4F7FC"/>
          </w:tcPr>
          <w:p>
            <w:pPr>
              <w:pStyle w:val="TableText"/>
            </w:pPr>
          </w:p>
        </w:tc>
        <w:tc>
          <w:tcPr>
            <w:tcW w:w="1239" w:type="dxa"/>
            <w:shd w:val="clear" w:color="auto" w:fill="F4F7FC"/>
          </w:tcPr>
          <w:p>
            <w:pPr>
              <w:pStyle w:val="TableText"/>
            </w:pPr>
          </w:p>
        </w:tc>
      </w:tr>
      <w:tr>
        <w:trPr>
          <w:cantSplit/>
        </w:trPr>
        <w:tc>
          <w:tcPr>
            <w:tcW w:w="1927" w:type="dxa"/>
          </w:tcPr>
          <w:p>
            <w:pPr>
              <w:pStyle w:val="TableText"/>
            </w:pPr>
            <w:r>
              <w:rPr>
                <w:sz w:val="18"/>
                <w:szCs w:val="18"/>
              </w:rPr>
              <w:t xml:space="preserve">Vérification sécurité</w:t>
            </w:r>
          </w:p>
        </w:tc>
        <w:tc>
          <w:tcPr>
            <w:tcW w:w="2202" w:type="dxa"/>
          </w:tcPr>
          <w:p>
            <w:pPr>
              <w:pStyle w:val="TableText"/>
            </w:pPr>
          </w:p>
        </w:tc>
        <w:tc>
          <w:tcPr>
            <w:tcW w:w="3029" w:type="dxa"/>
          </w:tcPr>
          <w:p>
            <w:pPr>
              <w:pStyle w:val="TableText"/>
            </w:pPr>
            <w:r>
              <w:rPr>
                <w:sz w:val="18"/>
                <w:szCs w:val="18"/>
              </w:rPr>
              <w:t xml:space="preserve">RSSI</w:t>
            </w:r>
          </w:p>
        </w:tc>
        <w:tc>
          <w:tcPr>
            <w:tcW w:w="1239" w:type="dxa"/>
          </w:tcPr>
          <w:p>
            <w:pPr>
              <w:pStyle w:val="TableText"/>
            </w:pPr>
          </w:p>
        </w:tc>
        <w:tc>
          <w:tcPr>
            <w:tcW w:w="1239" w:type="dxa"/>
          </w:tcPr>
          <w:p>
            <w:pPr>
              <w:pStyle w:val="TableText"/>
            </w:pPr>
          </w:p>
        </w:tc>
      </w:tr>
      <w:tr>
        <w:trPr>
          <w:cantSplit/>
        </w:trPr>
        <w:tc>
          <w:tcPr>
            <w:tcW w:w="1927" w:type="dxa"/>
            <w:shd w:val="clear" w:color="auto" w:fill="F4F7FC"/>
          </w:tcPr>
          <w:p>
            <w:pPr>
              <w:pStyle w:val="TableText"/>
            </w:pPr>
            <w:r>
              <w:rPr>
                <w:sz w:val="18"/>
                <w:szCs w:val="18"/>
              </w:rPr>
              <w:t xml:space="preserve">Approbation</w:t>
            </w:r>
          </w:p>
        </w:tc>
        <w:tc>
          <w:tcPr>
            <w:tcW w:w="2202" w:type="dxa"/>
            <w:shd w:val="clear" w:color="auto" w:fill="F4F7FC"/>
          </w:tcPr>
          <w:p>
            <w:pPr>
              <w:pStyle w:val="TableText"/>
            </w:pPr>
          </w:p>
        </w:tc>
        <w:tc>
          <w:tcPr>
            <w:tcW w:w="3029" w:type="dxa"/>
            <w:shd w:val="clear" w:color="auto" w:fill="F4F7FC"/>
          </w:tcPr>
          <w:p>
            <w:pPr>
              <w:pStyle w:val="TableText"/>
            </w:pPr>
            <w:r>
              <w:rPr>
                <w:sz w:val="18"/>
                <w:szCs w:val="18"/>
              </w:rPr>
              <w:t xml:space="preserve">Responsable applicatif (métier)</w:t>
            </w:r>
          </w:p>
        </w:tc>
        <w:tc>
          <w:tcPr>
            <w:tcW w:w="1239" w:type="dxa"/>
            <w:shd w:val="clear" w:color="auto" w:fill="F4F7FC"/>
          </w:tcPr>
          <w:p>
            <w:pPr>
              <w:pStyle w:val="TableText"/>
            </w:pPr>
          </w:p>
        </w:tc>
        <w:tc>
          <w:tcPr>
            <w:tcW w:w="1239" w:type="dxa"/>
            <w:shd w:val="clear" w:color="auto" w:fill="F4F7FC"/>
          </w:tcPr>
          <w:p>
            <w:pPr>
              <w:pStyle w:val="TableText"/>
            </w:pPr>
          </w:p>
        </w:tc>
      </w:tr>
    </w:tbl>
    <w:p>
      <w:pPr>
        <w:spacing w:after="80"/>
      </w:pPr>
    </w:p>
    <w:p>
      <w:pPr>
        <w:keepNext/>
      </w:pPr>
      <w:r>
        <w:rPr>
          <w:b/>
          <w:color w:val="1C5CAB"/>
          <w:sz w:val="24"/>
          <w:szCs w:val="24"/>
        </w:rPr>
        <w:t xml:space="preserve">Liste de diffusion</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855"/>
        <w:gridCol w:w="5782"/>
      </w:tblGrid>
      <w:tr>
        <w:trPr>
          <w:tblHeader/>
          <w:cantSplit/>
        </w:trPr>
        <w:tc>
          <w:tcPr>
            <w:tcW w:w="3855" w:type="dxa"/>
            <w:shd w:val="clear" w:color="auto" w:fill="2A78D6"/>
          </w:tcPr>
          <w:p>
            <w:pPr>
              <w:pStyle w:val="TableText"/>
            </w:pPr>
            <w:r>
              <w:rPr>
                <w:b/>
                <w:color w:val="FFFFFF"/>
                <w:sz w:val="18"/>
                <w:szCs w:val="18"/>
              </w:rPr>
              <w:t xml:space="preserve">Destinataire</w:t>
            </w:r>
          </w:p>
        </w:tc>
        <w:tc>
          <w:tcPr>
            <w:tcW w:w="5782" w:type="dxa"/>
            <w:shd w:val="clear" w:color="auto" w:fill="2A78D6"/>
          </w:tcPr>
          <w:p>
            <w:pPr>
              <w:pStyle w:val="TableText"/>
            </w:pPr>
            <w:r>
              <w:rPr>
                <w:b/>
                <w:color w:val="FFFFFF"/>
                <w:sz w:val="18"/>
                <w:szCs w:val="18"/>
              </w:rPr>
              <w:t xml:space="preserve">Usage</w:t>
            </w:r>
          </w:p>
        </w:tc>
      </w:tr>
      <w:tr>
        <w:trPr>
          <w:cantSplit/>
        </w:trPr>
        <w:tc>
          <w:tcPr>
            <w:tcW w:w="3855" w:type="dxa"/>
          </w:tcPr>
          <w:p>
            <w:pPr>
              <w:pStyle w:val="TableText"/>
            </w:pPr>
            <w:r>
              <w:rPr>
                <w:sz w:val="18"/>
                <w:szCs w:val="18"/>
              </w:rPr>
              <w:t xml:space="preserve">Équipe d'exploitation (N1 / N2)</w:t>
            </w:r>
          </w:p>
        </w:tc>
        <w:tc>
          <w:tcPr>
            <w:tcW w:w="5782" w:type="dxa"/>
          </w:tcPr>
          <w:p>
            <w:pPr>
              <w:pStyle w:val="TableText"/>
            </w:pPr>
            <w:r>
              <w:rPr>
                <w:sz w:val="18"/>
                <w:szCs w:val="18"/>
              </w:rPr>
              <w:t xml:space="preserve">Exploitation courante, supervision, incidents</w:t>
            </w:r>
          </w:p>
        </w:tc>
      </w:tr>
      <w:tr>
        <w:trPr>
          <w:cantSplit/>
        </w:trPr>
        <w:tc>
          <w:tcPr>
            <w:tcW w:w="3855" w:type="dxa"/>
            <w:shd w:val="clear" w:color="auto" w:fill="F4F7FC"/>
          </w:tcPr>
          <w:p>
            <w:pPr>
              <w:pStyle w:val="TableText"/>
            </w:pPr>
            <w:r>
              <w:rPr>
                <w:sz w:val="18"/>
                <w:szCs w:val="18"/>
              </w:rPr>
              <w:t xml:space="preserve">Administrateurs Windows et SQL Server</w:t>
            </w:r>
          </w:p>
        </w:tc>
        <w:tc>
          <w:tcPr>
            <w:tcW w:w="5782" w:type="dxa"/>
            <w:shd w:val="clear" w:color="auto" w:fill="F4F7FC"/>
          </w:tcPr>
          <w:p>
            <w:pPr>
              <w:pStyle w:val="TableText"/>
            </w:pPr>
            <w:r>
              <w:rPr>
                <w:sz w:val="18"/>
                <w:szCs w:val="18"/>
              </w:rPr>
              <w:t xml:space="preserve">Installation, sauvegarde, restauration, mises à jour</w:t>
            </w:r>
          </w:p>
        </w:tc>
      </w:tr>
      <w:tr>
        <w:trPr>
          <w:cantSplit/>
        </w:trPr>
        <w:tc>
          <w:tcPr>
            <w:tcW w:w="3855" w:type="dxa"/>
          </w:tcPr>
          <w:p>
            <w:pPr>
              <w:pStyle w:val="TableText"/>
            </w:pPr>
            <w:r>
              <w:rPr>
                <w:sz w:val="18"/>
                <w:szCs w:val="18"/>
              </w:rPr>
              <w:t xml:space="preserve">Administrateurs des serveurs de licences</w:t>
            </w:r>
          </w:p>
        </w:tc>
        <w:tc>
          <w:tcPr>
            <w:tcW w:w="5782" w:type="dxa"/>
          </w:tcPr>
          <w:p>
            <w:pPr>
              <w:pStyle w:val="TableText"/>
            </w:pPr>
            <w:r>
              <w:rPr>
                <w:sz w:val="18"/>
                <w:szCs w:val="18"/>
              </w:rPr>
              <w:t xml:space="preserve">Accès lmstat / logs, ajout de serveurs</w:t>
            </w:r>
          </w:p>
        </w:tc>
      </w:tr>
      <w:tr>
        <w:trPr>
          <w:cantSplit/>
        </w:trPr>
        <w:tc>
          <w:tcPr>
            <w:tcW w:w="3855" w:type="dxa"/>
            <w:shd w:val="clear" w:color="auto" w:fill="F4F7FC"/>
          </w:tcPr>
          <w:p>
            <w:pPr>
              <w:pStyle w:val="TableText"/>
            </w:pPr>
            <w:r>
              <w:rPr>
                <w:sz w:val="18"/>
                <w:szCs w:val="18"/>
              </w:rPr>
              <w:t xml:space="preserve">RSSI / DPO</w:t>
            </w:r>
          </w:p>
        </w:tc>
        <w:tc>
          <w:tcPr>
            <w:tcW w:w="5782" w:type="dxa"/>
            <w:shd w:val="clear" w:color="auto" w:fill="F4F7FC"/>
          </w:tcPr>
          <w:p>
            <w:pPr>
              <w:pStyle w:val="TableText"/>
            </w:pPr>
            <w:r>
              <w:rPr>
                <w:sz w:val="18"/>
                <w:szCs w:val="18"/>
              </w:rPr>
              <w:t xml:space="preserve">Sécurité, habilitations, données personnelles</w:t>
            </w:r>
          </w:p>
        </w:tc>
      </w:tr>
      <w:tr>
        <w:trPr>
          <w:cantSplit/>
        </w:trPr>
        <w:tc>
          <w:tcPr>
            <w:tcW w:w="3855" w:type="dxa"/>
          </w:tcPr>
          <w:p>
            <w:pPr>
              <w:pStyle w:val="TableText"/>
            </w:pPr>
            <w:r>
              <w:rPr>
                <w:sz w:val="18"/>
                <w:szCs w:val="18"/>
              </w:rPr>
              <w:t xml:space="preserve">Responsable applicatif</w:t>
            </w:r>
          </w:p>
        </w:tc>
        <w:tc>
          <w:tcPr>
            <w:tcW w:w="5782" w:type="dxa"/>
          </w:tcPr>
          <w:p>
            <w:pPr>
              <w:pStyle w:val="TableText"/>
            </w:pPr>
            <w:r>
              <w:rPr>
                <w:sz w:val="18"/>
                <w:szCs w:val="18"/>
              </w:rPr>
              <w:t xml:space="preserve">Paramétrage fonctionnel (produits, coûts, abonnements)</w:t>
            </w:r>
          </w:p>
        </w:tc>
      </w:tr>
    </w:tbl>
    <w:p>
      <w:pPr>
        <w:spacing w:after="80"/>
      </w:pPr>
    </w:p>
    <w:p>
      <w:r>
        <w:br w:type="page"/>
      </w:r>
    </w:p>
    <w:p>
      <w:pPr>
        <w:pStyle w:val="TOCHeading"/>
      </w:pPr>
      <w:r>
        <w:rPr/>
        <w:t xml:space="preserve">Sommaire</w:t>
      </w:r>
    </w:p>
    <w:p>
      <w:pPr>
        <w:pStyle w:val="TOC1"/>
      </w:pPr>
      <w:r>
        <w:fldChar w:fldCharType="begin"/>
      </w:r>
      <w:r>
        <w:instrText xml:space="preserve"> TOC \o "1-3" \h \z \u </w:instrText>
      </w:r>
      <w:r>
        <w:fldChar w:fldCharType="separate"/>
      </w:r>
      <w:hyperlink w:anchor="_Toc00001" w:history="1">
        <w:r>
          <w:t xml:space="preserve">1. Introduction</w:t>
        </w:r>
        <w:r>
          <w:tab/>
        </w:r>
        <w:r>
          <w:t>7</w:t>
        </w:r>
      </w:hyperlink>
    </w:p>
    <w:p>
      <w:pPr>
        <w:pStyle w:val="TOC2"/>
      </w:pPr>
      <w:hyperlink w:anchor="_Toc00002" w:history="1">
        <w:r>
          <w:t xml:space="preserve">1.1 Objet du document</w:t>
        </w:r>
        <w:r>
          <w:tab/>
        </w:r>
        <w:r>
          <w:t>7</w:t>
        </w:r>
      </w:hyperlink>
    </w:p>
    <w:p>
      <w:pPr>
        <w:pStyle w:val="TOC2"/>
      </w:pPr>
      <w:hyperlink w:anchor="_Toc00003" w:history="1">
        <w:r>
          <w:t xml:space="preserve">1.2 Périmètre</w:t>
        </w:r>
        <w:r>
          <w:tab/>
        </w:r>
        <w:r>
          <w:t>7</w:t>
        </w:r>
      </w:hyperlink>
    </w:p>
    <w:p>
      <w:pPr>
        <w:pStyle w:val="TOC2"/>
      </w:pPr>
      <w:hyperlink w:anchor="_Toc00004" w:history="1">
        <w:r>
          <w:t xml:space="preserve">1.3 Documents de référence</w:t>
        </w:r>
        <w:r>
          <w:tab/>
        </w:r>
        <w:r>
          <w:t>7</w:t>
        </w:r>
      </w:hyperlink>
    </w:p>
    <w:p>
      <w:pPr>
        <w:pStyle w:val="TOC2"/>
      </w:pPr>
      <w:hyperlink w:anchor="_Toc00005" w:history="1">
        <w:r>
          <w:t xml:space="preserve">1.4 Glossaire</w:t>
        </w:r>
        <w:r>
          <w:tab/>
        </w:r>
        <w:r>
          <w:t>8</w:t>
        </w:r>
      </w:hyperlink>
    </w:p>
    <w:p>
      <w:pPr>
        <w:pStyle w:val="TOC1"/>
      </w:pPr>
      <w:hyperlink w:anchor="_Toc00006" w:history="1">
        <w:r>
          <w:t xml:space="preserve">2. Présentation de l'application</w:t>
        </w:r>
        <w:r>
          <w:tab/>
        </w:r>
        <w:r>
          <w:t>9</w:t>
        </w:r>
      </w:hyperlink>
    </w:p>
    <w:p>
      <w:pPr>
        <w:pStyle w:val="TOC2"/>
      </w:pPr>
      <w:hyperlink w:anchor="_Toc00007" w:history="1">
        <w:r>
          <w:t xml:space="preserve">2.1 Finalité</w:t>
        </w:r>
        <w:r>
          <w:tab/>
        </w:r>
        <w:r>
          <w:t>9</w:t>
        </w:r>
      </w:hyperlink>
    </w:p>
    <w:p>
      <w:pPr>
        <w:pStyle w:val="TOC2"/>
      </w:pPr>
      <w:hyperlink w:anchor="_Toc00008" w:history="1">
        <w:r>
          <w:t xml:space="preserve">2.2 Bénéficiaires</w:t>
        </w:r>
        <w:r>
          <w:tab/>
        </w:r>
        <w:r>
          <w:t>9</w:t>
        </w:r>
      </w:hyperlink>
    </w:p>
    <w:p>
      <w:pPr>
        <w:pStyle w:val="TOC2"/>
      </w:pPr>
      <w:hyperlink w:anchor="_Toc00009" w:history="1">
        <w:r>
          <w:t xml:space="preserve">2.3 Fonctionnalités</w:t>
        </w:r>
        <w:r>
          <w:tab/>
        </w:r>
        <w:r>
          <w:t>9</w:t>
        </w:r>
      </w:hyperlink>
    </w:p>
    <w:p>
      <w:pPr>
        <w:pStyle w:val="TOC2"/>
      </w:pPr>
      <w:hyperlink w:anchor="_Toc00011" w:history="1">
        <w:r>
          <w:t xml:space="preserve">2.4 Principes de fonctionnement</w:t>
        </w:r>
        <w:r>
          <w:tab/>
        </w:r>
        <w:r>
          <w:t>10</w:t>
        </w:r>
      </w:hyperlink>
    </w:p>
    <w:p>
      <w:pPr>
        <w:pStyle w:val="TOC2"/>
      </w:pPr>
      <w:hyperlink w:anchor="_Toc00012" w:history="1">
        <w:r>
          <w:t xml:space="preserve">2.5 Criticité et niveau de service</w:t>
        </w:r>
        <w:r>
          <w:tab/>
        </w:r>
        <w:r>
          <w:t>10</w:t>
        </w:r>
      </w:hyperlink>
    </w:p>
    <w:p>
      <w:pPr>
        <w:pStyle w:val="TOC1"/>
      </w:pPr>
      <w:hyperlink w:anchor="_Toc00013" w:history="1">
        <w:r>
          <w:t xml:space="preserve">3. Architecture technique</w:t>
        </w:r>
        <w:r>
          <w:tab/>
        </w:r>
        <w:r>
          <w:t>12</w:t>
        </w:r>
      </w:hyperlink>
    </w:p>
    <w:p>
      <w:pPr>
        <w:pStyle w:val="TOC2"/>
      </w:pPr>
      <w:hyperlink w:anchor="_Toc00014" w:history="1">
        <w:r>
          <w:t xml:space="preserve">3.1 Vue d'ensemble</w:t>
        </w:r>
        <w:r>
          <w:tab/>
        </w:r>
        <w:r>
          <w:t>12</w:t>
        </w:r>
      </w:hyperlink>
    </w:p>
    <w:p>
      <w:pPr>
        <w:pStyle w:val="TOC2"/>
      </w:pPr>
      <w:hyperlink w:anchor="_Toc00016" w:history="1">
        <w:r>
          <w:t xml:space="preserve">3.2 Composants logiciels</w:t>
        </w:r>
        <w:r>
          <w:tab/>
        </w:r>
        <w:r>
          <w:t>12</w:t>
        </w:r>
      </w:hyperlink>
    </w:p>
    <w:p>
      <w:pPr>
        <w:pStyle w:val="TOC2"/>
      </w:pPr>
      <w:hyperlink w:anchor="_Toc00017" w:history="1">
        <w:r>
          <w:t xml:space="preserve">3.3 Matrice des flux réseau</w:t>
        </w:r>
        <w:r>
          <w:tab/>
        </w:r>
        <w:r>
          <w:t>13</w:t>
        </w:r>
      </w:hyperlink>
    </w:p>
    <w:p>
      <w:pPr>
        <w:pStyle w:val="TOC2"/>
      </w:pPr>
      <w:hyperlink w:anchor="_Toc00018" w:history="1">
        <w:r>
          <w:t xml:space="preserve">3.4 Flux de collecte</w:t>
        </w:r>
        <w:r>
          <w:tab/>
        </w:r>
        <w:r>
          <w:t>13</w:t>
        </w:r>
      </w:hyperlink>
    </w:p>
    <w:p>
      <w:pPr>
        <w:pStyle w:val="TOC2"/>
      </w:pPr>
      <w:hyperlink w:anchor="_Toc00020" w:history="1">
        <w:r>
          <w:t xml:space="preserve">3.5 Modèle de données</w:t>
        </w:r>
        <w:r>
          <w:tab/>
        </w:r>
        <w:r>
          <w:t>14</w:t>
        </w:r>
      </w:hyperlink>
    </w:p>
    <w:p>
      <w:pPr>
        <w:pStyle w:val="TOC2"/>
      </w:pPr>
      <w:hyperlink w:anchor="_Toc00022" w:history="1">
        <w:r>
          <w:t xml:space="preserve">3.6 Arborescence d'installation</w:t>
        </w:r>
        <w:r>
          <w:tab/>
        </w:r>
        <w:r>
          <w:t>15</w:t>
        </w:r>
      </w:hyperlink>
    </w:p>
    <w:p>
      <w:pPr>
        <w:pStyle w:val="TOC1"/>
      </w:pPr>
      <w:hyperlink w:anchor="_Toc00023" w:history="1">
        <w:r>
          <w:t xml:space="preserve">4. Prérequis</w:t>
        </w:r>
        <w:r>
          <w:tab/>
        </w:r>
        <w:r>
          <w:t>16</w:t>
        </w:r>
      </w:hyperlink>
    </w:p>
    <w:p>
      <w:pPr>
        <w:pStyle w:val="TOC2"/>
      </w:pPr>
      <w:hyperlink w:anchor="_Toc00024" w:history="1">
        <w:r>
          <w:t xml:space="preserve">4.1 Serveur HeptagonesLM</w:t>
        </w:r>
        <w:r>
          <w:tab/>
        </w:r>
        <w:r>
          <w:t>16</w:t>
        </w:r>
      </w:hyperlink>
    </w:p>
    <w:p>
      <w:pPr>
        <w:pStyle w:val="TOC2"/>
      </w:pPr>
      <w:hyperlink w:anchor="_Toc00025" w:history="1">
        <w:r>
          <w:t xml:space="preserve">4.2 Base de données</w:t>
        </w:r>
        <w:r>
          <w:tab/>
        </w:r>
        <w:r>
          <w:t>16</w:t>
        </w:r>
      </w:hyperlink>
    </w:p>
    <w:p>
      <w:pPr>
        <w:pStyle w:val="TOC2"/>
      </w:pPr>
      <w:hyperlink w:anchor="_Toc00026" w:history="1">
        <w:r>
          <w:t xml:space="preserve">4.3 Comptes et droits</w:t>
        </w:r>
        <w:r>
          <w:tab/>
        </w:r>
        <w:r>
          <w:t>16</w:t>
        </w:r>
      </w:hyperlink>
    </w:p>
    <w:p>
      <w:pPr>
        <w:pStyle w:val="TOC2"/>
      </w:pPr>
      <w:hyperlink w:anchor="_Toc00027" w:history="1">
        <w:r>
          <w:t xml:space="preserve">4.4 Certificats</w:t>
        </w:r>
        <w:r>
          <w:tab/>
        </w:r>
        <w:r>
          <w:t>17</w:t>
        </w:r>
      </w:hyperlink>
    </w:p>
    <w:p>
      <w:pPr>
        <w:pStyle w:val="TOC1"/>
      </w:pPr>
      <w:hyperlink w:anchor="_Toc00028" w:history="1">
        <w:r>
          <w:t xml:space="preserve">5. Installation et mise en service</w:t>
        </w:r>
        <w:r>
          <w:tab/>
        </w:r>
        <w:r>
          <w:t>18</w:t>
        </w:r>
      </w:hyperlink>
    </w:p>
    <w:p>
      <w:pPr>
        <w:pStyle w:val="TOC2"/>
      </w:pPr>
      <w:hyperlink w:anchor="_Toc00029" w:history="1">
        <w:r>
          <w:t xml:space="preserve">5.1 Installation assistée (recommandée)</w:t>
        </w:r>
        <w:r>
          <w:tab/>
        </w:r>
        <w:r>
          <w:t>18</w:t>
        </w:r>
      </w:hyperlink>
    </w:p>
    <w:p>
      <w:pPr>
        <w:pStyle w:val="TOC3"/>
      </w:pPr>
      <w:hyperlink w:anchor="_Toc00036" w:history="1">
        <w:r>
          <w:t xml:space="preserve">Authentification unique : SPN, zone Intranet et test depuis un poste</w:t>
        </w:r>
        <w:r>
          <w:tab/>
        </w:r>
        <w:r>
          <w:t>21</w:t>
        </w:r>
      </w:hyperlink>
    </w:p>
    <w:p>
      <w:pPr>
        <w:pStyle w:val="TOC3"/>
      </w:pPr>
      <w:hyperlink w:anchor="_Toc00038" w:history="1">
        <w:r>
          <w:t xml:space="preserve">Installation silencieuse et serveur hors ligne</w:t>
        </w:r>
        <w:r>
          <w:tab/>
        </w:r>
        <w:r>
          <w:t>22</w:t>
        </w:r>
      </w:hyperlink>
    </w:p>
    <w:p>
      <w:pPr>
        <w:pStyle w:val="TOC2"/>
      </w:pPr>
      <w:hyperlink w:anchor="_Toc00039" w:history="1">
        <w:r>
          <w:t xml:space="preserve">5.2 Installation manuelle</w:t>
        </w:r>
        <w:r>
          <w:tab/>
        </w:r>
        <w:r>
          <w:t>23</w:t>
        </w:r>
      </w:hyperlink>
    </w:p>
    <w:p>
      <w:pPr>
        <w:pStyle w:val="TOC3"/>
      </w:pPr>
      <w:hyperlink w:anchor="_Toc00040" w:history="1">
        <w:r>
          <w:t xml:space="preserve">5.2.1 Création de la base (DBA)</w:t>
        </w:r>
        <w:r>
          <w:tab/>
        </w:r>
        <w:r>
          <w:t>23</w:t>
        </w:r>
      </w:hyperlink>
    </w:p>
    <w:p>
      <w:pPr>
        <w:pStyle w:val="TOC3"/>
      </w:pPr>
      <w:hyperlink w:anchor="_Toc00041" w:history="1">
        <w:r>
          <w:t xml:space="preserve">5.2.2 Déploiement des binaires</w:t>
        </w:r>
        <w:r>
          <w:tab/>
        </w:r>
        <w:r>
          <w:t>23</w:t>
        </w:r>
      </w:hyperlink>
    </w:p>
    <w:p>
      <w:pPr>
        <w:pStyle w:val="TOC3"/>
      </w:pPr>
      <w:hyperlink w:anchor="_Toc00042" w:history="1">
        <w:r>
          <w:t xml:space="preserve">5.2.3 Configuration</w:t>
        </w:r>
        <w:r>
          <w:tab/>
        </w:r>
        <w:r>
          <w:t>23</w:t>
        </w:r>
      </w:hyperlink>
    </w:p>
    <w:p>
      <w:pPr>
        <w:pStyle w:val="TOC3"/>
      </w:pPr>
      <w:hyperlink w:anchor="_Toc00043" w:history="1">
        <w:r>
          <w:t xml:space="preserve">5.2.4 Initialisation du schéma</w:t>
        </w:r>
        <w:r>
          <w:tab/>
        </w:r>
        <w:r>
          <w:t>23</w:t>
        </w:r>
      </w:hyperlink>
    </w:p>
    <w:p>
      <w:pPr>
        <w:pStyle w:val="TOC3"/>
      </w:pPr>
      <w:hyperlink w:anchor="_Toc00044" w:history="1">
        <w:r>
          <w:t xml:space="preserve">5.2.5 Vérification des serveurs de licences</w:t>
        </w:r>
        <w:r>
          <w:tab/>
        </w:r>
        <w:r>
          <w:t>23</w:t>
        </w:r>
      </w:hyperlink>
    </w:p>
    <w:p>
      <w:pPr>
        <w:pStyle w:val="TOC3"/>
      </w:pPr>
      <w:hyperlink w:anchor="_Toc00045" w:history="1">
        <w:r>
          <w:t xml:space="preserve">5.2.6 Planification des tâches</w:t>
        </w:r>
        <w:r>
          <w:tab/>
        </w:r>
        <w:r>
          <w:t>24</w:t>
        </w:r>
      </w:hyperlink>
    </w:p>
    <w:p>
      <w:pPr>
        <w:pStyle w:val="TOC3"/>
      </w:pPr>
      <w:hyperlink w:anchor="_Toc00046" w:history="1">
        <w:r>
          <w:t xml:space="preserve">5.2.7 Référentiel utilisateurs</w:t>
        </w:r>
        <w:r>
          <w:tab/>
        </w:r>
        <w:r>
          <w:t>24</w:t>
        </w:r>
      </w:hyperlink>
    </w:p>
    <w:p>
      <w:pPr>
        <w:pStyle w:val="TOC3"/>
      </w:pPr>
      <w:hyperlink w:anchor="_Toc00047" w:history="1">
        <w:r>
          <w:t xml:space="preserve">5.2.8 Reprise d'historique (option)</w:t>
        </w:r>
        <w:r>
          <w:tab/>
        </w:r>
        <w:r>
          <w:t>24</w:t>
        </w:r>
      </w:hyperlink>
    </w:p>
    <w:p>
      <w:pPr>
        <w:pStyle w:val="TOC3"/>
      </w:pPr>
      <w:hyperlink w:anchor="_Toc00048" w:history="1">
        <w:r>
          <w:t xml:space="preserve">5.2.9 Ouverture de l'interface sur le réseau</w:t>
        </w:r>
        <w:r>
          <w:tab/>
        </w:r>
        <w:r>
          <w:t>24</w:t>
        </w:r>
      </w:hyperlink>
    </w:p>
    <w:p>
      <w:pPr>
        <w:pStyle w:val="TOC2"/>
      </w:pPr>
      <w:hyperlink w:anchor="_Toc00049" w:history="1">
        <w:r>
          <w:t xml:space="preserve">5.3 Recette de mise en service</w:t>
        </w:r>
        <w:r>
          <w:tab/>
        </w:r>
        <w:r>
          <w:t>26</w:t>
        </w:r>
      </w:hyperlink>
    </w:p>
    <w:p>
      <w:pPr>
        <w:pStyle w:val="TOC1"/>
      </w:pPr>
      <w:hyperlink w:anchor="_Toc00052" w:history="1">
        <w:r>
          <w:t xml:space="preserve">6. Configuration de référence</w:t>
        </w:r>
        <w:r>
          <w:tab/>
        </w:r>
        <w:r>
          <w:t>28</w:t>
        </w:r>
      </w:hyperlink>
    </w:p>
    <w:p>
      <w:pPr>
        <w:pStyle w:val="TOC2"/>
      </w:pPr>
      <w:hyperlink w:anchor="_Toc00053" w:history="1">
        <w:r>
          <w:t xml:space="preserve">6.1 Sections du fichier</w:t>
        </w:r>
        <w:r>
          <w:tab/>
        </w:r>
        <w:r>
          <w:t>28</w:t>
        </w:r>
      </w:hyperlink>
    </w:p>
    <w:p>
      <w:pPr>
        <w:pStyle w:val="TOC2"/>
      </w:pPr>
      <w:hyperlink w:anchor="_Toc00054" w:history="1">
        <w:r>
          <w:t xml:space="preserve">6.2 Paramètres détaillés</w:t>
        </w:r>
        <w:r>
          <w:tab/>
        </w:r>
        <w:r>
          <w:t>28</w:t>
        </w:r>
      </w:hyperlink>
    </w:p>
    <w:p>
      <w:pPr>
        <w:pStyle w:val="TOC3"/>
      </w:pPr>
      <w:hyperlink w:anchor="_Toc00055" w:history="1">
        <w:r>
          <w:t xml:space="preserve">database, lmutil_path, logging</w:t>
        </w:r>
        <w:r>
          <w:tab/>
        </w:r>
        <w:r>
          <w:t>28</w:t>
        </w:r>
      </w:hyperlink>
    </w:p>
    <w:p>
      <w:pPr>
        <w:pStyle w:val="TOC3"/>
      </w:pPr>
      <w:hyperlink w:anchor="_Toc00056" w:history="1">
        <w:r>
          <w:t xml:space="preserve">servers (un bloc par serveur de licences)</w:t>
        </w:r>
        <w:r>
          <w:tab/>
        </w:r>
        <w:r>
          <w:t>29</w:t>
        </w:r>
      </w:hyperlink>
    </w:p>
    <w:p>
      <w:pPr>
        <w:pStyle w:val="TOC3"/>
      </w:pPr>
      <w:hyperlink w:anchor="_Toc00057" w:history="1">
        <w:r>
          <w:t xml:space="preserve">products (règles de correspondance)</w:t>
        </w:r>
        <w:r>
          <w:tab/>
        </w:r>
        <w:r>
          <w:t>29</w:t>
        </w:r>
      </w:hyperlink>
    </w:p>
    <w:p>
      <w:pPr>
        <w:pStyle w:val="TOC3"/>
      </w:pPr>
      <w:hyperlink w:anchor="_Toc00058" w:history="1">
        <w:r>
          <w:t xml:space="preserve">reporting</w:t>
        </w:r>
        <w:r>
          <w:tab/>
        </w:r>
        <w:r>
          <w:t>29</w:t>
        </w:r>
      </w:hyperlink>
    </w:p>
    <w:p>
      <w:pPr>
        <w:pStyle w:val="TOC3"/>
      </w:pPr>
      <w:hyperlink w:anchor="_Toc00059" w:history="1">
        <w:r>
          <w:t xml:space="preserve">web et web.auth</w:t>
        </w:r>
        <w:r>
          <w:tab/>
        </w:r>
        <w:r>
          <w:t>30</w:t>
        </w:r>
      </w:hyperlink>
    </w:p>
    <w:p>
      <w:pPr>
        <w:pStyle w:val="TOC3"/>
      </w:pPr>
      <w:hyperlink w:anchor="_Toc00060" w:history="1">
        <w:r>
          <w:t xml:space="preserve">email</w:t>
        </w:r>
        <w:r>
          <w:tab/>
        </w:r>
        <w:r>
          <w:t>30</w:t>
        </w:r>
      </w:hyperlink>
    </w:p>
    <w:p>
      <w:pPr>
        <w:pStyle w:val="TOC3"/>
      </w:pPr>
      <w:hyperlink w:anchor="_Toc00061" w:history="1">
        <w:r>
          <w:t xml:space="preserve">alerts (alertes immédiates et tickets ITSM)</w:t>
        </w:r>
        <w:r>
          <w:tab/>
        </w:r>
        <w:r>
          <w:t>31</w:t>
        </w:r>
      </w:hyperlink>
    </w:p>
    <w:p>
      <w:pPr>
        <w:pStyle w:val="TOC3"/>
      </w:pPr>
      <w:hyperlink w:anchor="_Toc00062" w:history="1">
        <w:r>
          <w:t xml:space="preserve">sites</w:t>
        </w:r>
        <w:r>
          <w:tab/>
        </w:r>
        <w:r>
          <w:t>31</w:t>
        </w:r>
      </w:hyperlink>
    </w:p>
    <w:p>
      <w:pPr>
        <w:pStyle w:val="TOC3"/>
      </w:pPr>
      <w:hyperlink w:anchor="_Toc00063" w:history="1">
        <w:r>
          <w:t xml:space="preserve">autodesk (licences « utilisateur nommé »)</w:t>
        </w:r>
        <w:r>
          <w:tab/>
        </w:r>
        <w:r>
          <w:t>31</w:t>
        </w:r>
      </w:hyperlink>
    </w:p>
    <w:p>
      <w:pPr>
        <w:pStyle w:val="TOC3"/>
      </w:pPr>
      <w:hyperlink w:anchor="_Toc00064" w:history="1">
        <w:r>
          <w:t xml:space="preserve">retention</w:t>
        </w:r>
        <w:r>
          <w:tab/>
        </w:r>
        <w:r>
          <w:t>31</w:t>
        </w:r>
      </w:hyperlink>
    </w:p>
    <w:p>
      <w:pPr>
        <w:pStyle w:val="TOC2"/>
      </w:pPr>
      <w:hyperlink w:anchor="_Toc00065" w:history="1">
        <w:r>
          <w:t xml:space="preserve">6.3 Procédure de modification de la configuration</w:t>
        </w:r>
        <w:r>
          <w:tab/>
        </w:r>
        <w:r>
          <w:t>32</w:t>
        </w:r>
      </w:hyperlink>
    </w:p>
    <w:p>
      <w:pPr>
        <w:pStyle w:val="TOC1"/>
      </w:pPr>
      <w:hyperlink w:anchor="_Toc00066" w:history="1">
        <w:r>
          <w:t xml:space="preserve">7. Exploitation courante</w:t>
        </w:r>
        <w:r>
          <w:tab/>
        </w:r>
        <w:r>
          <w:t>32</w:t>
        </w:r>
      </w:hyperlink>
    </w:p>
    <w:p>
      <w:pPr>
        <w:pStyle w:val="TOC2"/>
      </w:pPr>
      <w:hyperlink w:anchor="_Toc00067" w:history="1">
        <w:r>
          <w:t xml:space="preserve">7.1 Ordonnancement</w:t>
        </w:r>
        <w:r>
          <w:tab/>
        </w:r>
        <w:r>
          <w:t>32</w:t>
        </w:r>
      </w:hyperlink>
    </w:p>
    <w:p>
      <w:pPr>
        <w:pStyle w:val="TOC2"/>
      </w:pPr>
      <w:hyperlink w:anchor="_Toc00068" w:history="1">
        <w:r>
          <w:t xml:space="preserve">7.2 Démarrage et arrêt</w:t>
        </w:r>
        <w:r>
          <w:tab/>
        </w:r>
        <w:r>
          <w:t>32</w:t>
        </w:r>
      </w:hyperlink>
    </w:p>
    <w:p>
      <w:pPr>
        <w:pStyle w:val="TOC2"/>
      </w:pPr>
      <w:hyperlink w:anchor="_Toc00069" w:history="1">
        <w:r>
          <w:t xml:space="preserve">7.3 Contrôles quotidiens (N1, 5 minutes)</w:t>
        </w:r>
        <w:r>
          <w:tab/>
        </w:r>
        <w:r>
          <w:t>33</w:t>
        </w:r>
      </w:hyperlink>
    </w:p>
    <w:p>
      <w:pPr>
        <w:pStyle w:val="TOC2"/>
      </w:pPr>
      <w:hyperlink w:anchor="_Toc00070" w:history="1">
        <w:r>
          <w:t xml:space="preserve">7.4 Contrôles hebdomadaires et mensuels (N2)</w:t>
        </w:r>
        <w:r>
          <w:tab/>
        </w:r>
        <w:r>
          <w:t>33</w:t>
        </w:r>
      </w:hyperlink>
    </w:p>
    <w:p>
      <w:pPr>
        <w:pStyle w:val="TOC2"/>
      </w:pPr>
      <w:hyperlink w:anchor="_Toc00071" w:history="1">
        <w:r>
          <w:t xml:space="preserve">7.5 Supervision</w:t>
        </w:r>
        <w:r>
          <w:tab/>
        </w:r>
        <w:r>
          <w:t>34</w:t>
        </w:r>
      </w:hyperlink>
    </w:p>
    <w:p>
      <w:pPr>
        <w:pStyle w:val="TOC2"/>
      </w:pPr>
      <w:hyperlink w:anchor="_Toc00072" w:history="1">
        <w:r>
          <w:t xml:space="preserve">7.6 Journaux</w:t>
        </w:r>
        <w:r>
          <w:tab/>
        </w:r>
        <w:r>
          <w:t>34</w:t>
        </w:r>
      </w:hyperlink>
    </w:p>
    <w:p>
      <w:pPr>
        <w:pStyle w:val="TOC2"/>
      </w:pPr>
      <w:hyperlink w:anchor="_Toc00073" w:history="1">
        <w:r>
          <w:t xml:space="preserve">7.7 Codes retour</w:t>
        </w:r>
        <w:r>
          <w:tab/>
        </w:r>
        <w:r>
          <w:t>35</w:t>
        </w:r>
      </w:hyperlink>
    </w:p>
    <w:p>
      <w:pPr>
        <w:pStyle w:val="TOC1"/>
      </w:pPr>
      <w:hyperlink w:anchor="_Toc00074" w:history="1">
        <w:r>
          <w:t xml:space="preserve">8. Utilisation de l'interface web</w:t>
        </w:r>
        <w:r>
          <w:tab/>
        </w:r>
        <w:r>
          <w:t>35</w:t>
        </w:r>
      </w:hyperlink>
    </w:p>
    <w:p>
      <w:pPr>
        <w:pStyle w:val="TOC2"/>
      </w:pPr>
      <w:hyperlink w:anchor="_Toc00075" w:history="1">
        <w:r>
          <w:t xml:space="preserve">8.1 Accès et connexion</w:t>
        </w:r>
        <w:r>
          <w:tab/>
        </w:r>
        <w:r>
          <w:t>35</w:t>
        </w:r>
      </w:hyperlink>
    </w:p>
    <w:p>
      <w:pPr>
        <w:pStyle w:val="TOC2"/>
      </w:pPr>
      <w:hyperlink w:anchor="_Toc00079" w:history="1">
        <w:r>
          <w:t xml:space="preserve">8.2 Navigation et filtres</w:t>
        </w:r>
        <w:r>
          <w:tab/>
        </w:r>
        <w:r>
          <w:t>36</w:t>
        </w:r>
      </w:hyperlink>
    </w:p>
    <w:p>
      <w:pPr>
        <w:pStyle w:val="TOC2"/>
      </w:pPr>
      <w:hyperlink w:anchor="_Toc00083" w:history="1">
        <w:r>
          <w:t xml:space="preserve">8.3 Tableau de bord</w:t>
        </w:r>
        <w:r>
          <w:tab/>
        </w:r>
        <w:r>
          <w:t>37</w:t>
        </w:r>
      </w:hyperlink>
    </w:p>
    <w:p>
      <w:pPr>
        <w:pStyle w:val="TOC3"/>
      </w:pPr>
      <w:hyperlink w:anchor="_Toc00085" w:history="1">
        <w:r>
          <w:t xml:space="preserve">Alertes</w:t>
        </w:r>
        <w:r>
          <w:tab/>
        </w:r>
        <w:r>
          <w:t>37</w:t>
        </w:r>
      </w:hyperlink>
    </w:p>
    <w:p>
      <w:pPr>
        <w:pStyle w:val="TOC3"/>
      </w:pPr>
      <w:hyperlink w:anchor="_Toc00087" w:history="1">
        <w:r>
          <w:t xml:space="preserve">Indicateurs clés</w:t>
        </w:r>
        <w:r>
          <w:tab/>
        </w:r>
        <w:r>
          <w:t>37</w:t>
        </w:r>
      </w:hyperlink>
    </w:p>
    <w:p>
      <w:pPr>
        <w:pStyle w:val="TOC3"/>
      </w:pPr>
      <w:hyperlink w:anchor="_Toc00089" w:history="1">
        <w:r>
          <w:t xml:space="preserve">Blocs de détail</w:t>
        </w:r>
        <w:r>
          <w:tab/>
        </w:r>
        <w:r>
          <w:t>37</w:t>
        </w:r>
      </w:hyperlink>
    </w:p>
    <w:p>
      <w:pPr>
        <w:pStyle w:val="TOC2"/>
      </w:pPr>
      <w:hyperlink w:anchor="_Toc00091" w:history="1">
        <w:r>
          <w:t xml:space="preserve">8.4 En direct</w:t>
        </w:r>
        <w:r>
          <w:tab/>
        </w:r>
        <w:r>
          <w:t>37</w:t>
        </w:r>
      </w:hyperlink>
    </w:p>
    <w:p>
      <w:pPr>
        <w:pStyle w:val="TOC2"/>
      </w:pPr>
      <w:hyperlink w:anchor="_Toc00093" w:history="1">
        <w:r>
          <w:t xml:space="preserve">8.5 Rapports d'analyse</w:t>
        </w:r>
        <w:r>
          <w:tab/>
        </w:r>
        <w:r>
          <w:t>37</w:t>
        </w:r>
      </w:hyperlink>
    </w:p>
    <w:p>
      <w:pPr>
        <w:pStyle w:val="TOC2"/>
      </w:pPr>
      <w:hyperlink w:anchor="_Toc00099" w:history="1">
        <w:r>
          <w:t xml:space="preserve">8.6 Optimisation</w:t>
        </w:r>
        <w:r>
          <w:tab/>
        </w:r>
        <w:r>
          <w:t>44</w:t>
        </w:r>
      </w:hyperlink>
    </w:p>
    <w:p>
      <w:pPr>
        <w:pStyle w:val="TOC2"/>
      </w:pPr>
      <w:hyperlink w:anchor="_Toc00105" w:history="1">
        <w:r>
          <w:t xml:space="preserve">8.7 Données</w:t>
        </w:r>
        <w:r>
          <w:tab/>
        </w:r>
        <w:r>
          <w:t>47</w:t>
        </w:r>
      </w:hyperlink>
    </w:p>
    <w:p>
      <w:pPr>
        <w:pStyle w:val="TOC2"/>
      </w:pPr>
      <w:hyperlink w:anchor="_Toc00108" w:history="1">
        <w:r>
          <w:t xml:space="preserve">8.8 Exports</w:t>
        </w:r>
        <w:r>
          <w:tab/>
        </w:r>
        <w:r>
          <w:t>49</w:t>
        </w:r>
      </w:hyperlink>
    </w:p>
    <w:p>
      <w:pPr>
        <w:pStyle w:val="TOC2"/>
      </w:pPr>
      <w:hyperlink w:anchor="_Toc00109" w:history="1">
        <w:r>
          <w:t xml:space="preserve">8.9 Thème et affichage mobile</w:t>
        </w:r>
        <w:r>
          <w:tab/>
        </w:r>
        <w:r>
          <w:t>49</w:t>
        </w:r>
      </w:hyperlink>
    </w:p>
    <w:p>
      <w:pPr>
        <w:pStyle w:val="TOC2"/>
      </w:pPr>
      <w:hyperlink w:anchor="_Toc00112" w:history="1">
        <w:r>
          <w:t xml:space="preserve">8.10 Rapport Excel mensuel</w:t>
        </w:r>
        <w:r>
          <w:tab/>
        </w:r>
        <w:r>
          <w:t>50</w:t>
        </w:r>
      </w:hyperlink>
    </w:p>
    <w:p>
      <w:pPr>
        <w:pStyle w:val="TOC2"/>
      </w:pPr>
      <w:hyperlink w:anchor="_Toc00113" w:history="1">
        <w:r>
          <w:t xml:space="preserve">8.11 Rapport par e-mail</w:t>
        </w:r>
        <w:r>
          <w:tab/>
        </w:r>
        <w:r>
          <w:t>50</w:t>
        </w:r>
      </w:hyperlink>
    </w:p>
    <w:p>
      <w:pPr>
        <w:pStyle w:val="TOC2"/>
      </w:pPr>
      <w:hyperlink w:anchor="_Toc00115" w:history="1">
        <w:r>
          <w:t xml:space="preserve">8.12 Alertes immédiates</w:t>
        </w:r>
        <w:r>
          <w:tab/>
        </w:r>
        <w:r>
          <w:t>50</w:t>
        </w:r>
      </w:hyperlink>
    </w:p>
    <w:p>
      <w:pPr>
        <w:pStyle w:val="TOC2"/>
      </w:pPr>
      <w:hyperlink w:anchor="_Toc00117" w:history="1">
        <w:r>
          <w:t xml:space="preserve">8.13 Rôles</w:t>
        </w:r>
        <w:r>
          <w:tab/>
        </w:r>
        <w:r>
          <w:t>52</w:t>
        </w:r>
      </w:hyperlink>
    </w:p>
    <w:p>
      <w:pPr>
        <w:pStyle w:val="TOC2"/>
      </w:pPr>
      <w:hyperlink w:anchor="_Toc00118" w:history="1">
        <w:r>
          <w:t xml:space="preserve">8.14 Licences inutilisées, réservations, emprunts et sites</w:t>
        </w:r>
        <w:r>
          <w:tab/>
        </w:r>
        <w:r>
          <w:t>52</w:t>
        </w:r>
      </w:hyperlink>
    </w:p>
    <w:p>
      <w:pPr>
        <w:pStyle w:val="TOC2"/>
      </w:pPr>
      <w:hyperlink w:anchor="_Toc00121" w:history="1">
        <w:r>
          <w:t xml:space="preserve">8.15 Licences Autodesk « utilisateur nommé »</w:t>
        </w:r>
        <w:r>
          <w:tab/>
        </w:r>
        <w:r>
          <w:t>54</w:t>
        </w:r>
      </w:hyperlink>
    </w:p>
    <w:p>
      <w:pPr>
        <w:pStyle w:val="TOC1"/>
      </w:pPr>
      <w:hyperlink w:anchor="_Toc00123" w:history="1">
        <w:r>
          <w:t xml:space="preserve">9. Sauvegarde, restauration et rétention</w:t>
        </w:r>
        <w:r>
          <w:tab/>
        </w:r>
        <w:r>
          <w:t>55</w:t>
        </w:r>
      </w:hyperlink>
    </w:p>
    <w:p>
      <w:pPr>
        <w:pStyle w:val="TOC2"/>
      </w:pPr>
      <w:hyperlink w:anchor="_Toc00124" w:history="1">
        <w:r>
          <w:t xml:space="preserve">9.1 Éléments à sauvegarder</w:t>
        </w:r>
        <w:r>
          <w:tab/>
        </w:r>
        <w:r>
          <w:t>55</w:t>
        </w:r>
      </w:hyperlink>
    </w:p>
    <w:p>
      <w:pPr>
        <w:pStyle w:val="TOC2"/>
      </w:pPr>
      <w:hyperlink w:anchor="_Toc00125" w:history="1">
        <w:r>
          <w:t xml:space="preserve">9.2 Politique de rétention</w:t>
        </w:r>
        <w:r>
          <w:tab/>
        </w:r>
        <w:r>
          <w:t>55</w:t>
        </w:r>
      </w:hyperlink>
    </w:p>
    <w:p>
      <w:pPr>
        <w:pStyle w:val="TOC2"/>
      </w:pPr>
      <w:hyperlink w:anchor="_Toc00126" w:history="1">
        <w:r>
          <w:t xml:space="preserve">9.3 Procédure de sauvegarde SQL</w:t>
        </w:r>
        <w:r>
          <w:tab/>
        </w:r>
        <w:r>
          <w:t>55</w:t>
        </w:r>
      </w:hyperlink>
    </w:p>
    <w:p>
      <w:pPr>
        <w:pStyle w:val="TOC2"/>
      </w:pPr>
      <w:hyperlink w:anchor="_Toc00127" w:history="1">
        <w:r>
          <w:t xml:space="preserve">9.4 Procédure de restauration</w:t>
        </w:r>
        <w:r>
          <w:tab/>
        </w:r>
        <w:r>
          <w:t>56</w:t>
        </w:r>
      </w:hyperlink>
    </w:p>
    <w:p>
      <w:pPr>
        <w:pStyle w:val="TOC2"/>
      </w:pPr>
      <w:hyperlink w:anchor="_Toc00128" w:history="1">
        <w:r>
          <w:t xml:space="preserve">9.5 Purge manuelle</w:t>
        </w:r>
        <w:r>
          <w:tab/>
        </w:r>
        <w:r>
          <w:t>57</w:t>
        </w:r>
      </w:hyperlink>
    </w:p>
    <w:p>
      <w:pPr>
        <w:pStyle w:val="TOC1"/>
      </w:pPr>
      <w:hyperlink w:anchor="_Toc00129" w:history="1">
        <w:r>
          <w:t xml:space="preserve">10. Sécurité</w:t>
        </w:r>
        <w:r>
          <w:tab/>
        </w:r>
        <w:r>
          <w:t>57</w:t>
        </w:r>
      </w:hyperlink>
    </w:p>
    <w:p>
      <w:pPr>
        <w:pStyle w:val="TOC2"/>
      </w:pPr>
      <w:hyperlink w:anchor="_Toc00130" w:history="1">
        <w:r>
          <w:t xml:space="preserve">10.1 Principes</w:t>
        </w:r>
        <w:r>
          <w:tab/>
        </w:r>
        <w:r>
          <w:t>57</w:t>
        </w:r>
      </w:hyperlink>
    </w:p>
    <w:p>
      <w:pPr>
        <w:pStyle w:val="TOC2"/>
      </w:pPr>
      <w:hyperlink w:anchor="_Toc00131" w:history="1">
        <w:r>
          <w:t xml:space="preserve">10.2 Authentification et habilitations</w:t>
        </w:r>
        <w:r>
          <w:tab/>
        </w:r>
        <w:r>
          <w:t>57</w:t>
        </w:r>
      </w:hyperlink>
    </w:p>
    <w:p>
      <w:pPr>
        <w:pStyle w:val="TOC2"/>
      </w:pPr>
      <w:hyperlink w:anchor="_Toc00132" w:history="1">
        <w:r>
          <w:t xml:space="preserve">10.3 Chiffrement</w:t>
        </w:r>
        <w:r>
          <w:tab/>
        </w:r>
        <w:r>
          <w:t>57</w:t>
        </w:r>
      </w:hyperlink>
    </w:p>
    <w:p>
      <w:pPr>
        <w:pStyle w:val="TOC2"/>
      </w:pPr>
      <w:hyperlink w:anchor="_Toc00133" w:history="1">
        <w:r>
          <w:t xml:space="preserve">10.4 Traçabilité</w:t>
        </w:r>
        <w:r>
          <w:tab/>
        </w:r>
        <w:r>
          <w:t>58</w:t>
        </w:r>
      </w:hyperlink>
    </w:p>
    <w:p>
      <w:pPr>
        <w:pStyle w:val="TOC2"/>
      </w:pPr>
      <w:hyperlink w:anchor="_Toc00134" w:history="1">
        <w:r>
          <w:t xml:space="preserve">10.5 Données personnelles</w:t>
        </w:r>
        <w:r>
          <w:tab/>
        </w:r>
        <w:r>
          <w:t>58</w:t>
        </w:r>
      </w:hyperlink>
    </w:p>
    <w:p>
      <w:pPr>
        <w:pStyle w:val="TOC2"/>
      </w:pPr>
      <w:hyperlink w:anchor="_Toc00135" w:history="1">
        <w:r>
          <w:t xml:space="preserve">10.6 Liste de contrôle de déploiement</w:t>
        </w:r>
        <w:r>
          <w:tab/>
        </w:r>
        <w:r>
          <w:t>58</w:t>
        </w:r>
      </w:hyperlink>
    </w:p>
    <w:p>
      <w:pPr>
        <w:pStyle w:val="TOC2"/>
      </w:pPr>
      <w:hyperlink w:anchor="_Toc00136" w:history="1">
        <w:r>
          <w:t xml:space="preserve">10.7 Risques résiduels</w:t>
        </w:r>
        <w:r>
          <w:tab/>
        </w:r>
        <w:r>
          <w:t>59</w:t>
        </w:r>
      </w:hyperlink>
    </w:p>
    <w:p>
      <w:pPr>
        <w:pStyle w:val="TOC1"/>
      </w:pPr>
      <w:hyperlink w:anchor="_Toc00137" w:history="1">
        <w:r>
          <w:t xml:space="preserve">11. Gestion des incidents</w:t>
        </w:r>
        <w:r>
          <w:tab/>
        </w:r>
        <w:r>
          <w:t>59</w:t>
        </w:r>
      </w:hyperlink>
    </w:p>
    <w:p>
      <w:pPr>
        <w:pStyle w:val="TOC2"/>
      </w:pPr>
      <w:hyperlink w:anchor="_Toc00138" w:history="1">
        <w:r>
          <w:t xml:space="preserve">11.1 Démarche de diagnostic</w:t>
        </w:r>
        <w:r>
          <w:tab/>
        </w:r>
        <w:r>
          <w:t>59</w:t>
        </w:r>
      </w:hyperlink>
    </w:p>
    <w:p>
      <w:pPr>
        <w:pStyle w:val="TOC2"/>
      </w:pPr>
      <w:hyperlink w:anchor="_Toc00139" w:history="1">
        <w:r>
          <w:t xml:space="preserve">11.2 Incidents courants</w:t>
        </w:r>
        <w:r>
          <w:tab/>
        </w:r>
        <w:r>
          <w:t>60</w:t>
        </w:r>
      </w:hyperlink>
    </w:p>
    <w:p>
      <w:pPr>
        <w:pStyle w:val="TOC2"/>
      </w:pPr>
      <w:hyperlink w:anchor="_Toc00140" w:history="1">
        <w:r>
          <w:t xml:space="preserve">11.3 Commandes de diagnostic</w:t>
        </w:r>
        <w:r>
          <w:tab/>
        </w:r>
        <w:r>
          <w:t>61</w:t>
        </w:r>
      </w:hyperlink>
    </w:p>
    <w:p>
      <w:pPr>
        <w:pStyle w:val="TOC2"/>
      </w:pPr>
      <w:hyperlink w:anchor="_Toc00141" w:history="1">
        <w:r>
          <w:t xml:space="preserve">11.4 Escalade</w:t>
        </w:r>
        <w:r>
          <w:tab/>
        </w:r>
        <w:r>
          <w:t>62</w:t>
        </w:r>
      </w:hyperlink>
    </w:p>
    <w:p>
      <w:pPr>
        <w:pStyle w:val="TOC1"/>
      </w:pPr>
      <w:hyperlink w:anchor="_Toc00142" w:history="1">
        <w:r>
          <w:t xml:space="preserve">12. Maintenance et évolutions</w:t>
        </w:r>
        <w:r>
          <w:tab/>
        </w:r>
        <w:r>
          <w:t>62</w:t>
        </w:r>
      </w:hyperlink>
    </w:p>
    <w:p>
      <w:pPr>
        <w:pStyle w:val="TOC2"/>
      </w:pPr>
      <w:hyperlink w:anchor="_Toc00143" w:history="1">
        <w:r>
          <w:t xml:space="preserve">12.1 Mise à jour de version</w:t>
        </w:r>
        <w:r>
          <w:tab/>
        </w:r>
        <w:r>
          <w:t>62</w:t>
        </w:r>
      </w:hyperlink>
    </w:p>
    <w:p>
      <w:pPr>
        <w:pStyle w:val="TOC2"/>
      </w:pPr>
      <w:hyperlink w:anchor="_Toc00144" w:history="1">
        <w:r>
          <w:t xml:space="preserve">12.2 Ajout d'un serveur de licences</w:t>
        </w:r>
        <w:r>
          <w:tab/>
        </w:r>
        <w:r>
          <w:t>62</w:t>
        </w:r>
      </w:hyperlink>
    </w:p>
    <w:p>
      <w:pPr>
        <w:pStyle w:val="TOC2"/>
      </w:pPr>
      <w:hyperlink w:anchor="_Toc00145" w:history="1">
        <w:r>
          <w:t xml:space="preserve">12.3 Produits, coûts et abonnements</w:t>
        </w:r>
        <w:r>
          <w:tab/>
        </w:r>
        <w:r>
          <w:t>62</w:t>
        </w:r>
      </w:hyperlink>
    </w:p>
    <w:p>
      <w:pPr>
        <w:pStyle w:val="TOC2"/>
      </w:pPr>
      <w:hyperlink w:anchor="_Toc00146" w:history="1">
        <w:r>
          <w:t xml:space="preserve">12.4 Renouvellement des certificats</w:t>
        </w:r>
        <w:r>
          <w:tab/>
        </w:r>
        <w:r>
          <w:t>62</w:t>
        </w:r>
      </w:hyperlink>
    </w:p>
    <w:p>
      <w:pPr>
        <w:pStyle w:val="TOC2"/>
      </w:pPr>
      <w:hyperlink w:anchor="_Toc00147" w:history="1">
        <w:r>
          <w:t xml:space="preserve">12.5 Compte de service</w:t>
        </w:r>
        <w:r>
          <w:tab/>
        </w:r>
        <w:r>
          <w:t>63</w:t>
        </w:r>
      </w:hyperlink>
    </w:p>
    <w:p>
      <w:pPr>
        <w:pStyle w:val="TOC2"/>
      </w:pPr>
      <w:hyperlink w:anchor="_Toc00148" w:history="1">
        <w:r>
          <w:t xml:space="preserve">12.6 Ajout d'un autre gestionnaire de licences</w:t>
        </w:r>
        <w:r>
          <w:tab/>
        </w:r>
        <w:r>
          <w:t>64</w:t>
        </w:r>
      </w:hyperlink>
    </w:p>
    <w:p>
      <w:pPr>
        <w:pStyle w:val="TOC1"/>
      </w:pPr>
      <w:hyperlink w:anchor="_Toc00149" w:history="1">
        <w:r>
          <w:t xml:space="preserve">13. Continuité et reprise d'activité</w:t>
        </w:r>
        <w:r>
          <w:tab/>
        </w:r>
        <w:r>
          <w:t>64</w:t>
        </w:r>
      </w:hyperlink>
    </w:p>
    <w:p>
      <w:pPr>
        <w:pStyle w:val="TOC2"/>
      </w:pPr>
      <w:hyperlink w:anchor="_Toc00150" w:history="1">
        <w:r>
          <w:t xml:space="preserve">13.1 Impact d'une indisponibilité</w:t>
        </w:r>
        <w:r>
          <w:tab/>
        </w:r>
        <w:r>
          <w:t>64</w:t>
        </w:r>
      </w:hyperlink>
    </w:p>
    <w:p>
      <w:pPr>
        <w:pStyle w:val="TOC2"/>
      </w:pPr>
      <w:hyperlink w:anchor="_Toc00151" w:history="1">
        <w:r>
          <w:t xml:space="preserve">13.2 Scénarios de reprise</w:t>
        </w:r>
        <w:r>
          <w:tab/>
        </w:r>
        <w:r>
          <w:t>64</w:t>
        </w:r>
      </w:hyperlink>
    </w:p>
    <w:p>
      <w:pPr>
        <w:pStyle w:val="TOC2"/>
      </w:pPr>
      <w:hyperlink w:anchor="_Toc00152" w:history="1">
        <w:r>
          <w:t xml:space="preserve">13.3 Reconstruction complète</w:t>
        </w:r>
        <w:r>
          <w:tab/>
        </w:r>
        <w:r>
          <w:t>65</w:t>
        </w:r>
      </w:hyperlink>
    </w:p>
    <w:p>
      <w:pPr>
        <w:pStyle w:val="TOC1"/>
      </w:pPr>
      <w:hyperlink w:anchor="_Toc00153" w:history="1">
        <w:r>
          <w:t xml:space="preserve">14. Contacts et responsabilités</w:t>
        </w:r>
        <w:r>
          <w:tab/>
        </w:r>
        <w:r>
          <w:t>65</w:t>
        </w:r>
      </w:hyperlink>
    </w:p>
    <w:p>
      <w:pPr>
        <w:pStyle w:val="TOC2"/>
      </w:pPr>
      <w:hyperlink w:anchor="_Toc00154" w:history="1">
        <w:r>
          <w:t xml:space="preserve">14.1 Contacts</w:t>
        </w:r>
        <w:r>
          <w:tab/>
        </w:r>
        <w:r>
          <w:t>65</w:t>
        </w:r>
      </w:hyperlink>
    </w:p>
    <w:p>
      <w:pPr>
        <w:pStyle w:val="TOC2"/>
      </w:pPr>
      <w:hyperlink w:anchor="_Toc00155" w:history="1">
        <w:r>
          <w:t xml:space="preserve">14.2 Matrice des responsabilités (RACI)</w:t>
        </w:r>
        <w:r>
          <w:tab/>
        </w:r>
        <w:r>
          <w:t>66</w:t>
        </w:r>
      </w:hyperlink>
    </w:p>
    <w:p>
      <w:pPr>
        <w:pStyle w:val="TOC1"/>
      </w:pPr>
      <w:hyperlink w:anchor="_Toc00156" w:history="1">
        <w:r>
          <w:t xml:space="preserve">Annexe A. Référence des commandes</w:t>
        </w:r>
        <w:r>
          <w:tab/>
        </w:r>
        <w:r>
          <w:t>67</w:t>
        </w:r>
      </w:hyperlink>
    </w:p>
    <w:p>
      <w:pPr>
        <w:pStyle w:val="TOC1"/>
      </w:pPr>
      <w:hyperlink w:anchor="_Toc00157" w:history="1">
        <w:r>
          <w:t xml:space="preserve">Annexe B. Exemple de configuration</w:t>
        </w:r>
        <w:r>
          <w:tab/>
        </w:r>
        <w:r>
          <w:t>71</w:t>
        </w:r>
      </w:hyperlink>
    </w:p>
    <w:p>
      <w:pPr>
        <w:pStyle w:val="TOC1"/>
      </w:pPr>
      <w:hyperlink w:anchor="_Toc00158" w:history="1">
        <w:r>
          <w:t xml:space="preserve">Annexe C. Requêtes SQL utiles</w:t>
        </w:r>
        <w:r>
          <w:tab/>
        </w:r>
        <w:r>
          <w:t>72</w:t>
        </w:r>
      </w:hyperlink>
    </w:p>
    <w:p>
      <w:pPr>
        <w:pStyle w:val="TOC1"/>
      </w:pPr>
      <w:hyperlink w:anchor="_Toc00159" w:history="1">
        <w:r>
          <w:t xml:space="preserve">Annexe D. Fiche de contrôle quotidien</w:t>
        </w:r>
        <w:r>
          <w:tab/>
        </w:r>
        <w:r>
          <w:t>72</w:t>
        </w:r>
      </w:hyperlink>
      <w:r>
        <w:fldChar w:fldCharType="end"/>
      </w:r>
    </w:p>
    <w:p>
      <w:r>
        <w:br w:type="page"/>
      </w:r>
    </w:p>
    <w:p>
      <w:pPr>
        <w:pStyle w:val="TOCHeading"/>
      </w:pPr>
      <w:r>
        <w:rPr/>
        <w:t xml:space="preserve">Table des figures</w:t>
      </w:r>
    </w:p>
    <w:p>
      <w:pPr>
        <w:pStyle w:val="TableofFigures"/>
      </w:pPr>
      <w:r>
        <w:fldChar w:fldCharType="begin"/>
      </w:r>
      <w:r>
        <w:instrText xml:space="preserve"> TOC \h \z \c "Figure" </w:instrText>
      </w:r>
      <w:r>
        <w:fldChar w:fldCharType="separate"/>
      </w:r>
      <w:hyperlink w:anchor="_Fig00010" w:history="1">
        <w:r>
          <w:t xml:space="preserve">Figure 1 – Tableau de bord de HeptagonesLM (page d'accueil)</w:t>
        </w:r>
        <w:r>
          <w:tab/>
        </w:r>
        <w:r>
          <w:t>10</w:t>
        </w:r>
      </w:hyperlink>
    </w:p>
    <w:p>
      <w:pPr>
        <w:pStyle w:val="TableofFigures"/>
      </w:pPr>
      <w:hyperlink w:anchor="_Fig00015" w:history="1">
        <w:r>
          <w:t xml:space="preserve">Figure 2 – Architecture technique et flux</w:t>
        </w:r>
        <w:r>
          <w:tab/>
        </w:r>
        <w:r>
          <w:t>12</w:t>
        </w:r>
      </w:hyperlink>
    </w:p>
    <w:p>
      <w:pPr>
        <w:pStyle w:val="TableofFigures"/>
      </w:pPr>
      <w:hyperlink w:anchor="_Fig00019" w:history="1">
        <w:r>
          <w:t xml:space="preserve">Figure 3 – Flux de collecte</w:t>
        </w:r>
        <w:r>
          <w:tab/>
        </w:r>
        <w:r>
          <w:t>13</w:t>
        </w:r>
      </w:hyperlink>
    </w:p>
    <w:p>
      <w:pPr>
        <w:pStyle w:val="TableofFigures"/>
      </w:pPr>
      <w:hyperlink w:anchor="_Fig00021" w:history="1">
        <w:r>
          <w:t xml:space="preserve">Figure 4 – Modèle de données (schéma v3)</w:t>
        </w:r>
        <w:r>
          <w:tab/>
        </w:r>
        <w:r>
          <w:t>14</w:t>
        </w:r>
      </w:hyperlink>
    </w:p>
    <w:p>
      <w:pPr>
        <w:pStyle w:val="TableofFigures"/>
      </w:pPr>
      <w:hyperlink w:anchor="_Fig00030" w:history="1">
        <w:r>
          <w:t xml:space="preserve">Figure 5 – Assistant : vérification du serveur et corrections automatiques</w:t>
        </w:r>
        <w:r>
          <w:tab/>
        </w:r>
        <w:r>
          <w:t>19</w:t>
        </w:r>
      </w:hyperlink>
    </w:p>
    <w:p>
      <w:pPr>
        <w:pStyle w:val="TableofFigures"/>
      </w:pPr>
      <w:hyperlink w:anchor="_Fig00031" w:history="1">
        <w:r>
          <w:t xml:space="preserve">Figure 6 – Assistant : IIS, certificat et groupe autorisé</w:t>
        </w:r>
        <w:r>
          <w:tab/>
        </w:r>
        <w:r>
          <w:t>20</w:t>
        </w:r>
      </w:hyperlink>
    </w:p>
    <w:p>
      <w:pPr>
        <w:pStyle w:val="TableofFigures"/>
      </w:pPr>
      <w:hyperlink w:anchor="_Fig00032" w:history="1">
        <w:r>
          <w:t xml:space="preserve">Figure 7 – Assistant : tickets ITSM et ticket de test (ServiceNow)</w:t>
        </w:r>
        <w:r>
          <w:tab/>
        </w:r>
        <w:r>
          <w:t>20</w:t>
        </w:r>
      </w:hyperlink>
    </w:p>
    <w:p>
      <w:pPr>
        <w:pStyle w:val="TableofFigures"/>
      </w:pPr>
      <w:hyperlink w:anchor="_Fig00033" w:history="1">
        <w:r>
          <w:t xml:space="preserve">Figure 8 – Assistant : récapitulatif avant installation</w:t>
        </w:r>
        <w:r>
          <w:tab/>
        </w:r>
        <w:r>
          <w:t>21</w:t>
        </w:r>
      </w:hyperlink>
    </w:p>
    <w:p>
      <w:pPr>
        <w:pStyle w:val="TableofFigures"/>
      </w:pPr>
      <w:hyperlink w:anchor="_Fig00034" w:history="1">
        <w:r>
          <w:t xml:space="preserve">Figure 9 – Assistant : installation avec barre de progression</w:t>
        </w:r>
        <w:r>
          <w:tab/>
        </w:r>
        <w:r>
          <w:t>21</w:t>
        </w:r>
      </w:hyperlink>
    </w:p>
    <w:p>
      <w:pPr>
        <w:pStyle w:val="TableofFigures"/>
      </w:pPr>
      <w:hyperlink w:anchor="_Fig00035" w:history="1">
        <w:r>
          <w:t xml:space="preserve">Figure 10 – Assistant : vérification finale de bout en bout</w:t>
        </w:r>
        <w:r>
          <w:tab/>
        </w:r>
        <w:r>
          <w:t>21</w:t>
        </w:r>
      </w:hyperlink>
    </w:p>
    <w:p>
      <w:pPr>
        <w:pStyle w:val="TableofFigures"/>
      </w:pPr>
      <w:hyperlink w:anchor="_Fig00037" w:history="1">
        <w:r>
          <w:t xml:space="preserve">Figure 11 – Page de test d'accès depuis un poste utilisateur (/acces)</w:t>
        </w:r>
        <w:r>
          <w:tab/>
        </w:r>
        <w:r>
          <w:t>21</w:t>
        </w:r>
      </w:hyperlink>
    </w:p>
    <w:p>
      <w:pPr>
        <w:pStyle w:val="TableofFigures"/>
      </w:pPr>
      <w:hyperlink w:anchor="_Fig00050" w:history="1">
        <w:r>
          <w:t xml:space="preserve">Figure 12 – Recette : comparaison avec les serveurs de licences</w:t>
        </w:r>
        <w:r>
          <w:tab/>
        </w:r>
        <w:r>
          <w:t>26</w:t>
        </w:r>
      </w:hyperlink>
    </w:p>
    <w:p>
      <w:pPr>
        <w:pStyle w:val="TableofFigures"/>
      </w:pPr>
      <w:hyperlink w:anchor="_Fig00051" w:history="1">
        <w:r>
          <w:t xml:space="preserve">Figure 13 – Recette : PV de recette et archive des preuves</w:t>
        </w:r>
        <w:r>
          <w:tab/>
        </w:r>
        <w:r>
          <w:t>27</w:t>
        </w:r>
      </w:hyperlink>
    </w:p>
    <w:p>
      <w:pPr>
        <w:pStyle w:val="TableofFigures"/>
      </w:pPr>
      <w:hyperlink w:anchor="_Fig00076" w:history="1">
        <w:r>
          <w:t xml:space="preserve">Figure 14 – Page de connexion</w:t>
        </w:r>
        <w:r>
          <w:tab/>
        </w:r>
        <w:r>
          <w:t>36</w:t>
        </w:r>
      </w:hyperlink>
    </w:p>
    <w:p>
      <w:pPr>
        <w:pStyle w:val="TableofFigures"/>
      </w:pPr>
      <w:hyperlink w:anchor="_Fig00077" w:history="1">
        <w:r>
          <w:t xml:space="preserve">Figure 15 – Message d'erreur de connexion</w:t>
        </w:r>
        <w:r>
          <w:tab/>
        </w:r>
        <w:r>
          <w:t>36</w:t>
        </w:r>
      </w:hyperlink>
    </w:p>
    <w:p>
      <w:pPr>
        <w:pStyle w:val="TableofFigures"/>
      </w:pPr>
      <w:hyperlink w:anchor="_Fig00078" w:history="1">
        <w:r>
          <w:t xml:space="preserve">Figure 16 – En-tête : badge d'état des collectes et utilisateur connecté</w:t>
        </w:r>
        <w:r>
          <w:tab/>
        </w:r>
        <w:r>
          <w:t>36</w:t>
        </w:r>
      </w:hyperlink>
    </w:p>
    <w:p>
      <w:pPr>
        <w:pStyle w:val="TableofFigures"/>
      </w:pPr>
      <w:hyperlink w:anchor="_Fig00080" w:history="1">
        <w:r>
          <w:t xml:space="preserve">Figure 17 – Barre latérale de navigation</w:t>
        </w:r>
        <w:r>
          <w:tab/>
        </w:r>
        <w:r>
          <w:t>37</w:t>
        </w:r>
      </w:hyperlink>
    </w:p>
    <w:p>
      <w:pPr>
        <w:pStyle w:val="TableofFigures"/>
      </w:pPr>
      <w:hyperlink w:anchor="_Fig00081" w:history="1">
        <w:r>
          <w:t xml:space="preserve">Figure 18 – Barre de filtres et boutons d'export</w:t>
        </w:r>
        <w:r>
          <w:tab/>
        </w:r>
        <w:r>
          <w:t>37</w:t>
        </w:r>
      </w:hyperlink>
    </w:p>
    <w:p>
      <w:pPr>
        <w:pStyle w:val="TableofFigures"/>
      </w:pPr>
      <w:hyperlink w:anchor="_Fig00082" w:history="1">
        <w:r>
          <w:t xml:space="preserve">Figure 19 – Sélection multiple avec recherche (filtre Produits)</w:t>
        </w:r>
        <w:r>
          <w:tab/>
        </w:r>
        <w:r>
          <w:t>37</w:t>
        </w:r>
      </w:hyperlink>
    </w:p>
    <w:p>
      <w:pPr>
        <w:pStyle w:val="TableofFigures"/>
      </w:pPr>
      <w:hyperlink w:anchor="_Fig00084" w:history="1">
        <w:r>
          <w:t xml:space="preserve">Figure 20 – Tableau de bord complet</w:t>
        </w:r>
        <w:r>
          <w:tab/>
        </w:r>
        <w:r>
          <w:t>37</w:t>
        </w:r>
      </w:hyperlink>
    </w:p>
    <w:p>
      <w:pPr>
        <w:pStyle w:val="TableofFigures"/>
      </w:pPr>
      <w:hyperlink w:anchor="_Fig00086" w:history="1">
        <w:r>
          <w:t xml:space="preserve">Figure 21 – Bandeau d'alertes</w:t>
        </w:r>
        <w:r>
          <w:tab/>
        </w:r>
        <w:r>
          <w:t>37</w:t>
        </w:r>
      </w:hyperlink>
    </w:p>
    <w:p>
      <w:pPr>
        <w:pStyle w:val="TableofFigures"/>
      </w:pPr>
      <w:hyperlink w:anchor="_Fig00088" w:history="1">
        <w:r>
          <w:t xml:space="preserve">Figure 22 – Indicateurs clés</w:t>
        </w:r>
        <w:r>
          <w:tab/>
        </w:r>
        <w:r>
          <w:t>37</w:t>
        </w:r>
      </w:hyperlink>
    </w:p>
    <w:p>
      <w:pPr>
        <w:pStyle w:val="TableofFigures"/>
      </w:pPr>
      <w:hyperlink w:anchor="_Fig00090" w:history="1">
        <w:r>
          <w:t xml:space="preserve">Figure 23 – Bloc « Serveurs et échéances »</w:t>
        </w:r>
        <w:r>
          <w:tab/>
        </w:r>
        <w:r>
          <w:t>37</w:t>
        </w:r>
      </w:hyperlink>
    </w:p>
    <w:p>
      <w:pPr>
        <w:pStyle w:val="TableofFigures"/>
      </w:pPr>
      <w:hyperlink w:anchor="_Fig00092" w:history="1">
        <w:r>
          <w:t xml:space="preserve">Figure 24 – Vue En direct</w:t>
        </w:r>
        <w:r>
          <w:tab/>
        </w:r>
        <w:r>
          <w:t>37</w:t>
        </w:r>
      </w:hyperlink>
    </w:p>
    <w:p>
      <w:pPr>
        <w:pStyle w:val="TableofFigures"/>
      </w:pPr>
      <w:hyperlink w:anchor="_Fig00094" w:history="1">
        <w:r>
          <w:t xml:space="preserve">Figure 25 – Synthèse par produit</w:t>
        </w:r>
        <w:r>
          <w:tab/>
        </w:r>
        <w:r>
          <w:t>43</w:t>
        </w:r>
      </w:hyperlink>
    </w:p>
    <w:p>
      <w:pPr>
        <w:pStyle w:val="TableofFigures"/>
      </w:pPr>
      <w:hyperlink w:anchor="_Fig00095" w:history="1">
        <w:r>
          <w:t xml:space="preserve">Figure 26 – Usage dans le temps (taux d'occupation journalier)</w:t>
        </w:r>
        <w:r>
          <w:tab/>
        </w:r>
        <w:r>
          <w:t>43</w:t>
        </w:r>
      </w:hyperlink>
    </w:p>
    <w:p>
      <w:pPr>
        <w:pStyle w:val="TableofFigures"/>
      </w:pPr>
      <w:hyperlink w:anchor="_Fig00096" w:history="1">
        <w:r>
          <w:t xml:space="preserve">Figure 27 – Répartition par service (refacturation)</w:t>
        </w:r>
        <w:r>
          <w:tab/>
        </w:r>
        <w:r>
          <w:t>44</w:t>
        </w:r>
      </w:hyperlink>
    </w:p>
    <w:p>
      <w:pPr>
        <w:pStyle w:val="TableofFigures"/>
      </w:pPr>
      <w:hyperlink w:anchor="_Fig00097" w:history="1">
        <w:r>
          <w:t xml:space="preserve">Figure 28 – Croisement service × produit</w:t>
        </w:r>
        <w:r>
          <w:tab/>
        </w:r>
        <w:r>
          <w:t>44</w:t>
        </w:r>
      </w:hyperlink>
    </w:p>
    <w:p>
      <w:pPr>
        <w:pStyle w:val="TableofFigures"/>
      </w:pPr>
      <w:hyperlink w:anchor="_Fig00098" w:history="1">
        <w:r>
          <w:t xml:space="preserve">Figure 29 – Profil horaire</w:t>
        </w:r>
        <w:r>
          <w:tab/>
        </w:r>
        <w:r>
          <w:t>44</w:t>
        </w:r>
      </w:hyperlink>
    </w:p>
    <w:p>
      <w:pPr>
        <w:pStyle w:val="TableofFigures"/>
      </w:pPr>
      <w:hyperlink w:anchor="_Fig00100" w:history="1">
        <w:r>
          <w:t xml:space="preserve">Figure 30 – Efficacité des jetons (comparaison des produits)</w:t>
        </w:r>
        <w:r>
          <w:tab/>
        </w:r>
        <w:r>
          <w:t>45</w:t>
        </w:r>
      </w:hyperlink>
    </w:p>
    <w:p>
      <w:pPr>
        <w:pStyle w:val="TableofFigures"/>
      </w:pPr>
      <w:hyperlink w:anchor="_Fig00101" w:history="1">
        <w:r>
          <w:t xml:space="preserve">Figure 31 – Efficacité d'un produit (MATLAB) en nombre de jetons</w:t>
        </w:r>
        <w:r>
          <w:tab/>
        </w:r>
        <w:r>
          <w:t>46</w:t>
        </w:r>
      </w:hyperlink>
    </w:p>
    <w:p>
      <w:pPr>
        <w:pStyle w:val="TableofFigures"/>
      </w:pPr>
      <w:hyperlink w:anchor="_Fig00102" w:history="1">
        <w:r>
          <w:t xml:space="preserve">Figure 32 – Optimisation et coûts</w:t>
        </w:r>
        <w:r>
          <w:tab/>
        </w:r>
        <w:r>
          <w:t>47</w:t>
        </w:r>
      </w:hyperlink>
    </w:p>
    <w:p>
      <w:pPr>
        <w:pStyle w:val="TableofFigures"/>
      </w:pPr>
      <w:hyperlink w:anchor="_Fig00103" w:history="1">
        <w:r>
          <w:t xml:space="preserve">Figure 33 – Contention</w:t>
        </w:r>
        <w:r>
          <w:tab/>
        </w:r>
        <w:r>
          <w:t>47</w:t>
        </w:r>
      </w:hyperlink>
    </w:p>
    <w:p>
      <w:pPr>
        <w:pStyle w:val="TableofFigures"/>
      </w:pPr>
      <w:hyperlink w:anchor="_Fig00104" w:history="1">
        <w:r>
          <w:t xml:space="preserve">Figure 34 – Refus de licence</w:t>
        </w:r>
        <w:r>
          <w:tab/>
        </w:r>
        <w:r>
          <w:t>47</w:t>
        </w:r>
      </w:hyperlink>
    </w:p>
    <w:p>
      <w:pPr>
        <w:pStyle w:val="TableofFigures"/>
      </w:pPr>
      <w:hyperlink w:anchor="_Fig00106" w:history="1">
        <w:r>
          <w:t xml:space="preserve">Figure 35 – Sessions</w:t>
        </w:r>
        <w:r>
          <w:tab/>
        </w:r>
        <w:r>
          <w:t>48</w:t>
        </w:r>
      </w:hyperlink>
    </w:p>
    <w:p>
      <w:pPr>
        <w:pStyle w:val="TableofFigures"/>
      </w:pPr>
      <w:hyperlink w:anchor="_Fig00107" w:history="1">
        <w:r>
          <w:t xml:space="preserve">Figure 36 – Journal des collectes</w:t>
        </w:r>
        <w:r>
          <w:tab/>
        </w:r>
        <w:r>
          <w:t>48</w:t>
        </w:r>
      </w:hyperlink>
    </w:p>
    <w:p>
      <w:pPr>
        <w:pStyle w:val="TableofFigures"/>
      </w:pPr>
      <w:hyperlink w:anchor="_Fig00110" w:history="1">
        <w:r>
          <w:t xml:space="preserve">Figure 37 – Tableau de bord en thème sombre</w:t>
        </w:r>
        <w:r>
          <w:tab/>
        </w:r>
        <w:r>
          <w:t>50</w:t>
        </w:r>
      </w:hyperlink>
    </w:p>
    <w:p>
      <w:pPr>
        <w:pStyle w:val="TableofFigures"/>
      </w:pPr>
      <w:hyperlink w:anchor="_Fig00111" w:history="1">
        <w:r>
          <w:t xml:space="preserve">Figure 38 – Affichage sur téléphone : tableau de bord et menu</w:t>
        </w:r>
        <w:r>
          <w:tab/>
        </w:r>
        <w:r>
          <w:t>50</w:t>
        </w:r>
      </w:hyperlink>
    </w:p>
    <w:p>
      <w:pPr>
        <w:pStyle w:val="TableofFigures"/>
      </w:pPr>
      <w:hyperlink w:anchor="_Fig00114" w:history="1">
        <w:r>
          <w:t xml:space="preserve">Figure 39 – Rapport mensuel reçu par e-mail</w:t>
        </w:r>
        <w:r>
          <w:tab/>
        </w:r>
        <w:r>
          <w:t>50</w:t>
        </w:r>
      </w:hyperlink>
    </w:p>
    <w:p>
      <w:pPr>
        <w:pStyle w:val="TableofFigures"/>
      </w:pPr>
      <w:hyperlink w:anchor="_Fig00116" w:history="1">
        <w:r>
          <w:t xml:space="preserve">Figure 40 – Message d'alertes immédiates</w:t>
        </w:r>
        <w:r>
          <w:tab/>
        </w:r>
        <w:r>
          <w:t>50</w:t>
        </w:r>
      </w:hyperlink>
    </w:p>
    <w:p>
      <w:pPr>
        <w:pStyle w:val="TableofFigures"/>
      </w:pPr>
      <w:hyperlink w:anchor="_Fig00119" w:history="1">
        <w:r>
          <w:t xml:space="preserve">Figure 41 – Licences inutilisées</w:t>
        </w:r>
        <w:r>
          <w:tab/>
        </w:r>
        <w:r>
          <w:t>53</w:t>
        </w:r>
      </w:hyperlink>
    </w:p>
    <w:p>
      <w:pPr>
        <w:pStyle w:val="TableofFigures"/>
      </w:pPr>
      <w:hyperlink w:anchor="_Fig00120" w:history="1">
        <w:r>
          <w:t xml:space="preserve">Figure 42 – Réservations et taux d'usage</w:t>
        </w:r>
        <w:r>
          <w:tab/>
        </w:r>
        <w:r>
          <w:t>53</w:t>
        </w:r>
      </w:hyperlink>
    </w:p>
    <w:p>
      <w:pPr>
        <w:pStyle w:val="TableofFigures"/>
      </w:pPr>
      <w:hyperlink w:anchor="_Fig00122" w:history="1">
        <w:r>
          <w:t xml:space="preserve">Figure 43 – Autodesk · utilisateurs nommés</w:t>
        </w:r>
        <w:r>
          <w:tab/>
        </w:r>
        <w:r>
          <w:t>54</w:t>
        </w:r>
      </w:hyperlink>
      <w:r>
        <w:fldChar w:fldCharType="end"/>
      </w:r>
    </w:p>
    <w:p>
      <w:pPr>
        <w:pStyle w:val="Heading1"/>
      </w:pPr>
      <w:bookmarkStart w:id="1" w:name="_Toc00001"/>
      <w:r>
        <w:rPr/>
        <w:t xml:space="preserve">1. Introduction</w:t>
      </w:r>
      <w:bookmarkEnd w:id="1"/>
    </w:p>
    <w:p>
      <w:pPr>
        <w:pStyle w:val="Heading2"/>
      </w:pPr>
      <w:bookmarkStart w:id="2" w:name="_Toc00002"/>
      <w:r>
        <w:rPr/>
        <w:t xml:space="preserve">1.1 Objet du document</w:t>
      </w:r>
      <w:bookmarkEnd w:id="2"/>
    </w:p>
    <w:p>
      <w:pPr/>
      <w:r>
        <w:rPr/>
        <w:t xml:space="preserve">Le présent Dossier d'Exploitation (DEX) décrit l'ensemble des informations nécessaires pour installer, exploiter, superviser, sauvegarder, sécuriser et maintenir l'application </w:t>
      </w:r>
      <w:r>
        <w:rPr>
          <w:b/>
        </w:rPr>
        <w:t xml:space="preserve">HeptagonesLM</w:t>
      </w:r>
      <w:r>
        <w:rPr/>
        <w:t xml:space="preserve"> en production. Il constitue la référence des équipes d'exploitation et de support ; il est complété par la documentation technique du dépôt (voir § 1.3).</w:t>
      </w:r>
    </w:p>
    <w:p>
      <w:pPr/>
      <w:r>
        <w:rPr/>
        <w:t xml:space="preserve">Il répond aux questions suivantes :</w:t>
      </w:r>
    </w:p>
    <w:p>
      <w:pPr>
        <w:pStyle w:val="ListParagraph"/>
        <w:numPr>
          <w:ilvl w:val="0"/>
          <w:numId w:val="1"/>
        </w:numPr>
      </w:pPr>
      <w:r>
        <w:rPr/>
        <w:t xml:space="preserve">Comment l'application est-elle construite et avec quels composants communique-t-elle ?</w:t>
      </w:r>
    </w:p>
    <w:p>
      <w:pPr>
        <w:pStyle w:val="ListParagraph"/>
        <w:numPr>
          <w:ilvl w:val="0"/>
          <w:numId w:val="1"/>
        </w:numPr>
      </w:pPr>
      <w:r>
        <w:rPr/>
        <w:t xml:space="preserve">Comment l'installer et la mettre en service ?</w:t>
      </w:r>
    </w:p>
    <w:p>
      <w:pPr>
        <w:pStyle w:val="ListParagraph"/>
        <w:numPr>
          <w:ilvl w:val="0"/>
          <w:numId w:val="1"/>
        </w:numPr>
      </w:pPr>
      <w:r>
        <w:rPr/>
        <w:t xml:space="preserve">Quelles tâches tournent automatiquement, quand, et comment vérifier qu'elles fonctionnent ?</w:t>
      </w:r>
    </w:p>
    <w:p>
      <w:pPr>
        <w:pStyle w:val="ListParagraph"/>
        <w:numPr>
          <w:ilvl w:val="0"/>
          <w:numId w:val="1"/>
        </w:numPr>
      </w:pPr>
      <w:r>
        <w:rPr/>
        <w:t xml:space="preserve">Comment réagir à un incident, restaurer les données ou reconstruire le serveur ?</w:t>
      </w:r>
    </w:p>
    <w:p>
      <w:pPr>
        <w:pStyle w:val="ListParagraph"/>
        <w:numPr>
          <w:ilvl w:val="0"/>
          <w:numId w:val="1"/>
        </w:numPr>
      </w:pPr>
      <w:r>
        <w:rPr/>
        <w:t xml:space="preserve">Comment les utilisateurs se servent-ils de l'interface ?</w:t>
      </w:r>
    </w:p>
    <w:p>
      <w:pPr>
        <w:pStyle w:val="Heading2"/>
      </w:pPr>
      <w:bookmarkStart w:id="3" w:name="_Toc00003"/>
      <w:r>
        <w:rPr/>
        <w:t xml:space="preserve">1.2 Périmètre</w:t>
      </w:r>
      <w:bookmarkEnd w:id="3"/>
    </w:p>
    <w:p>
      <w:pPr/>
      <w:r>
        <w:rPr/>
        <w:t xml:space="preserve">Le périmètre couvre l'application HeptagonesLM version 26.3.0 :</w:t>
      </w:r>
    </w:p>
    <w:p>
      <w:pPr>
        <w:pStyle w:val="ListParagraph"/>
        <w:numPr>
          <w:ilvl w:val="0"/>
          <w:numId w:val="2"/>
        </w:numPr>
      </w:pPr>
      <w:r>
        <w:rPr/>
        <w:t xml:space="preserve">la collecte de la consommation des licences FlexLM / FlexNet par sondage </w:t>
      </w:r>
      <w:r>
        <w:rPr>
          <w:rFonts w:ascii="Consolas" w:hAnsi="Consolas" w:cs="Consolas"/>
          <w:color w:val="1C5CAB"/>
          <w:sz w:val="18"/>
          <w:szCs w:val="18"/>
          <w:shd w:val="clear" w:color="auto" w:fill="EEF3FA"/>
        </w:rPr>
        <w:t xml:space="preserve">lmutil lmstat</w:t>
      </w:r>
      <w:r>
        <w:rPr/>
        <w:t xml:space="preserve"> et lecture des logs debug, et des licences RLM (Reprise) par sondage </w:t>
      </w:r>
      <w:r>
        <w:rPr>
          <w:rFonts w:ascii="Consolas" w:hAnsi="Consolas" w:cs="Consolas"/>
          <w:color w:val="1C5CAB"/>
          <w:sz w:val="18"/>
          <w:szCs w:val="18"/>
          <w:shd w:val="clear" w:color="auto" w:fill="EEF3FA"/>
        </w:rPr>
        <w:t xml:space="preserve">rlmutil rlmstat</w:t>
      </w:r>
      <w:r>
        <w:rPr/>
        <w:t xml:space="preserve"> ;</w:t>
      </w:r>
    </w:p>
    <w:p>
      <w:pPr>
        <w:pStyle w:val="ListParagraph"/>
        <w:numPr>
          <w:ilvl w:val="0"/>
          <w:numId w:val="2"/>
        </w:numPr>
      </w:pPr>
      <w:r>
        <w:rPr/>
        <w:t xml:space="preserve">l'historisation dans une base SQL Server ;</w:t>
      </w:r>
    </w:p>
    <w:p>
      <w:pPr>
        <w:pStyle w:val="ListParagraph"/>
        <w:numPr>
          <w:ilvl w:val="0"/>
          <w:numId w:val="2"/>
        </w:numPr>
      </w:pPr>
      <w:r>
        <w:rPr/>
        <w:t xml:space="preserve">l'interface web (tableau de bord, vue en direct, rapports, exports) et son authentification Windows / AD ;</w:t>
      </w:r>
    </w:p>
    <w:p>
      <w:pPr>
        <w:pStyle w:val="ListParagraph"/>
        <w:numPr>
          <w:ilvl w:val="0"/>
          <w:numId w:val="2"/>
        </w:numPr>
      </w:pPr>
      <w:r>
        <w:rPr/>
        <w:t xml:space="preserve">le rapport Excel mensuel et son envoi par e-mail, les alertes immédiates par e-mail ;</w:t>
      </w:r>
    </w:p>
    <w:p>
      <w:pPr>
        <w:pStyle w:val="ListParagraph"/>
        <w:numPr>
          <w:ilvl w:val="0"/>
          <w:numId w:val="2"/>
        </w:numPr>
      </w:pPr>
      <w:r>
        <w:rPr/>
        <w:t xml:space="preserve">les tâches planifiées Windows et les scripts associés.</w:t>
      </w:r>
    </w:p>
    <w:p>
      <w:pPr/>
      <w:r>
        <w:rPr/>
        <w:t xml:space="preserve">Hors périmètre : l'administration des serveurs de licences eux-mêmes (lmgrd, démons éditeurs, fichiers de licence), l'infrastructure SQL Server mutualisée, l'Active Directory et le relais SMTP, qui relèvent de leurs propres dossiers d'exploitation.</w:t>
      </w:r>
    </w:p>
    <w:p>
      <w:pPr>
        <w:pStyle w:val="Heading2"/>
      </w:pPr>
      <w:bookmarkStart w:id="4" w:name="_Toc00004"/>
      <w:r>
        <w:rPr/>
        <w:t xml:space="preserve">1.3 Documents de référence</w:t>
      </w:r>
      <w:bookmarkEnd w:id="4"/>
    </w:p>
    <w:p>
      <w:pPr>
        <w:pStyle w:val="Caption"/>
        <w:keepNext/>
      </w:pPr>
      <w:r>
        <w:rPr/>
        <w:t xml:space="preserve">Tableau 1 – Documents de référence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955"/>
        <w:gridCol w:w="2653"/>
        <w:gridCol w:w="5028"/>
      </w:tblGrid>
      <w:tr>
        <w:trPr>
          <w:tblHeader/>
          <w:cantSplit/>
        </w:trPr>
        <w:tc>
          <w:tcPr>
            <w:tcW w:w="1955" w:type="dxa"/>
            <w:shd w:val="clear" w:color="auto" w:fill="2A78D6"/>
          </w:tcPr>
          <w:p>
            <w:pPr>
              <w:pStyle w:val="TableText"/>
            </w:pPr>
            <w:r>
              <w:rPr>
                <w:b/>
                <w:color w:val="FFFFFF"/>
                <w:sz w:val="18"/>
                <w:szCs w:val="18"/>
              </w:rPr>
              <w:t xml:space="preserve">Document</w:t>
            </w:r>
          </w:p>
        </w:tc>
        <w:tc>
          <w:tcPr>
            <w:tcW w:w="2653" w:type="dxa"/>
            <w:shd w:val="clear" w:color="auto" w:fill="2A78D6"/>
          </w:tcPr>
          <w:p>
            <w:pPr>
              <w:pStyle w:val="TableText"/>
            </w:pPr>
            <w:r>
              <w:rPr>
                <w:b/>
                <w:color w:val="FFFFFF"/>
                <w:sz w:val="18"/>
                <w:szCs w:val="18"/>
              </w:rPr>
              <w:t xml:space="preserve">Emplacement</w:t>
            </w:r>
          </w:p>
        </w:tc>
        <w:tc>
          <w:tcPr>
            <w:tcW w:w="5028" w:type="dxa"/>
            <w:shd w:val="clear" w:color="auto" w:fill="2A78D6"/>
          </w:tcPr>
          <w:p>
            <w:pPr>
              <w:pStyle w:val="TableText"/>
            </w:pPr>
            <w:r>
              <w:rPr>
                <w:b/>
                <w:color w:val="FFFFFF"/>
                <w:sz w:val="18"/>
                <w:szCs w:val="18"/>
              </w:rPr>
              <w:t xml:space="preserve">Contenu</w:t>
            </w:r>
          </w:p>
        </w:tc>
      </w:tr>
      <w:tr>
        <w:trPr>
          <w:cantSplit/>
        </w:trPr>
        <w:tc>
          <w:tcPr>
            <w:tcW w:w="1955" w:type="dxa"/>
          </w:tcPr>
          <w:p>
            <w:pPr>
              <w:pStyle w:val="TableText"/>
            </w:pPr>
            <w:r>
              <w:rPr>
                <w:sz w:val="18"/>
                <w:szCs w:val="18"/>
              </w:rPr>
              <w:t xml:space="preserve">README</w:t>
            </w:r>
          </w:p>
        </w:tc>
        <w:tc>
          <w:tcPr>
            <w:tcW w:w="2653" w:type="dxa"/>
          </w:tcPr>
          <w:p>
            <w:pPr>
              <w:pStyle w:val="TableText"/>
            </w:pPr>
            <w:r>
              <w:rPr>
                <w:sz w:val="18"/>
                <w:szCs w:val="18"/>
              </w:rPr>
              <w:t xml:space="preserve">README.md</w:t>
            </w:r>
          </w:p>
        </w:tc>
        <w:tc>
          <w:tcPr>
            <w:tcW w:w="5028" w:type="dxa"/>
          </w:tcPr>
          <w:p>
            <w:pPr>
              <w:pStyle w:val="TableText"/>
            </w:pPr>
            <w:r>
              <w:rPr>
                <w:sz w:val="18"/>
                <w:szCs w:val="18"/>
              </w:rPr>
              <w:t xml:space="preserve">Présentation, démarrage rapide, installation, commandes, comparaison OpenLM</w:t>
            </w:r>
          </w:p>
        </w:tc>
      </w:tr>
      <w:tr>
        <w:trPr>
          <w:cantSplit/>
        </w:trPr>
        <w:tc>
          <w:tcPr>
            <w:tcW w:w="1955" w:type="dxa"/>
            <w:shd w:val="clear" w:color="auto" w:fill="F4F7FC"/>
          </w:tcPr>
          <w:p>
            <w:pPr>
              <w:pStyle w:val="TableText"/>
            </w:pPr>
            <w:r>
              <w:rPr>
                <w:sz w:val="18"/>
                <w:szCs w:val="18"/>
              </w:rPr>
              <w:t xml:space="preserve">Architecture</w:t>
            </w:r>
          </w:p>
        </w:tc>
        <w:tc>
          <w:tcPr>
            <w:tcW w:w="2653" w:type="dxa"/>
            <w:shd w:val="clear" w:color="auto" w:fill="F4F7FC"/>
          </w:tcPr>
          <w:p>
            <w:pPr>
              <w:pStyle w:val="TableText"/>
            </w:pPr>
            <w:r>
              <w:rPr>
                <w:sz w:val="18"/>
                <w:szCs w:val="18"/>
              </w:rPr>
              <w:t xml:space="preserve">docs/ARCHITECTURE.md</w:t>
            </w:r>
          </w:p>
        </w:tc>
        <w:tc>
          <w:tcPr>
            <w:tcW w:w="5028" w:type="dxa"/>
            <w:shd w:val="clear" w:color="auto" w:fill="F4F7FC"/>
          </w:tcPr>
          <w:p>
            <w:pPr>
              <w:pStyle w:val="TableText"/>
            </w:pPr>
            <w:r>
              <w:rPr>
                <w:sz w:val="18"/>
                <w:szCs w:val="18"/>
              </w:rPr>
              <w:t xml:space="preserve">Modules, flux de collecte, schéma de base, ajout d'un gestionnaire</w:t>
            </w:r>
          </w:p>
        </w:tc>
      </w:tr>
      <w:tr>
        <w:trPr>
          <w:cantSplit/>
        </w:trPr>
        <w:tc>
          <w:tcPr>
            <w:tcW w:w="1955" w:type="dxa"/>
          </w:tcPr>
          <w:p>
            <w:pPr>
              <w:pStyle w:val="TableText"/>
            </w:pPr>
            <w:r>
              <w:rPr>
                <w:sz w:val="18"/>
                <w:szCs w:val="18"/>
              </w:rPr>
              <w:t xml:space="preserve">Authentification</w:t>
            </w:r>
          </w:p>
        </w:tc>
        <w:tc>
          <w:tcPr>
            <w:tcW w:w="2653" w:type="dxa"/>
          </w:tcPr>
          <w:p>
            <w:pPr>
              <w:pStyle w:val="TableText"/>
            </w:pPr>
            <w:r>
              <w:rPr>
                <w:sz w:val="18"/>
                <w:szCs w:val="18"/>
              </w:rPr>
              <w:t xml:space="preserve">docs/AUTHENTIFICATION.md</w:t>
            </w:r>
          </w:p>
        </w:tc>
        <w:tc>
          <w:tcPr>
            <w:tcW w:w="5028" w:type="dxa"/>
          </w:tcPr>
          <w:p>
            <w:pPr>
              <w:pStyle w:val="TableText"/>
            </w:pPr>
            <w:r>
              <w:rPr>
                <w:sz w:val="18"/>
                <w:szCs w:val="18"/>
              </w:rPr>
              <w:t xml:space="preserve">Connexion Windows / AD, SSO IIS, HTTPS, audit</w:t>
            </w:r>
          </w:p>
        </w:tc>
      </w:tr>
      <w:tr>
        <w:trPr>
          <w:cantSplit/>
        </w:trPr>
        <w:tc>
          <w:tcPr>
            <w:tcW w:w="1955" w:type="dxa"/>
            <w:shd w:val="clear" w:color="auto" w:fill="F4F7FC"/>
          </w:tcPr>
          <w:p>
            <w:pPr>
              <w:pStyle w:val="TableText"/>
            </w:pPr>
            <w:r>
              <w:rPr>
                <w:sz w:val="18"/>
                <w:szCs w:val="18"/>
              </w:rPr>
              <w:t xml:space="preserve">Sécurité</w:t>
            </w:r>
          </w:p>
        </w:tc>
        <w:tc>
          <w:tcPr>
            <w:tcW w:w="2653" w:type="dxa"/>
            <w:shd w:val="clear" w:color="auto" w:fill="F4F7FC"/>
          </w:tcPr>
          <w:p>
            <w:pPr>
              <w:pStyle w:val="TableText"/>
            </w:pPr>
            <w:r>
              <w:rPr>
                <w:sz w:val="18"/>
                <w:szCs w:val="18"/>
              </w:rPr>
              <w:t xml:space="preserve">docs/SECURITE.md</w:t>
            </w:r>
          </w:p>
        </w:tc>
        <w:tc>
          <w:tcPr>
            <w:tcW w:w="5028" w:type="dxa"/>
            <w:shd w:val="clear" w:color="auto" w:fill="F4F7FC"/>
          </w:tcPr>
          <w:p>
            <w:pPr>
              <w:pStyle w:val="TableText"/>
            </w:pPr>
            <w:r>
              <w:rPr>
                <w:sz w:val="18"/>
                <w:szCs w:val="18"/>
              </w:rPr>
              <w:t xml:space="preserve">Audit de sécurité, corrections, liste de contrôle de déploiement</w:t>
            </w:r>
          </w:p>
        </w:tc>
      </w:tr>
      <w:tr>
        <w:trPr>
          <w:cantSplit/>
        </w:trPr>
        <w:tc>
          <w:tcPr>
            <w:tcW w:w="1955" w:type="dxa"/>
          </w:tcPr>
          <w:p>
            <w:pPr>
              <w:pStyle w:val="TableText"/>
            </w:pPr>
            <w:r>
              <w:rPr>
                <w:sz w:val="18"/>
                <w:szCs w:val="18"/>
              </w:rPr>
              <w:t xml:space="preserve">Plan de test</w:t>
            </w:r>
          </w:p>
        </w:tc>
        <w:tc>
          <w:tcPr>
            <w:tcW w:w="2653" w:type="dxa"/>
          </w:tcPr>
          <w:p>
            <w:pPr>
              <w:pStyle w:val="TableText"/>
            </w:pPr>
            <w:r>
              <w:rPr>
                <w:sz w:val="18"/>
                <w:szCs w:val="18"/>
              </w:rPr>
              <w:t xml:space="preserve">docs/PLAN_DE_TEST.md</w:t>
            </w:r>
          </w:p>
        </w:tc>
        <w:tc>
          <w:tcPr>
            <w:tcW w:w="5028" w:type="dxa"/>
          </w:tcPr>
          <w:p>
            <w:pPr>
              <w:pStyle w:val="TableText"/>
            </w:pPr>
            <w:r>
              <w:rPr>
                <w:sz w:val="18"/>
                <w:szCs w:val="18"/>
              </w:rPr>
              <w:t xml:space="preserve">Cas de recette, validation sur serveurs réels, procès-verbal</w:t>
            </w:r>
          </w:p>
        </w:tc>
      </w:tr>
      <w:tr>
        <w:trPr>
          <w:cantSplit/>
        </w:trPr>
        <w:tc>
          <w:tcPr>
            <w:tcW w:w="1955" w:type="dxa"/>
            <w:shd w:val="clear" w:color="auto" w:fill="F4F7FC"/>
          </w:tcPr>
          <w:p>
            <w:pPr>
              <w:pStyle w:val="TableText"/>
            </w:pPr>
            <w:r>
              <w:rPr>
                <w:sz w:val="18"/>
                <w:szCs w:val="18"/>
              </w:rPr>
              <w:t xml:space="preserve">Journal des modifications</w:t>
            </w:r>
          </w:p>
        </w:tc>
        <w:tc>
          <w:tcPr>
            <w:tcW w:w="2653" w:type="dxa"/>
            <w:shd w:val="clear" w:color="auto" w:fill="F4F7FC"/>
          </w:tcPr>
          <w:p>
            <w:pPr>
              <w:pStyle w:val="TableText"/>
            </w:pPr>
            <w:r>
              <w:rPr>
                <w:sz w:val="18"/>
                <w:szCs w:val="18"/>
              </w:rPr>
              <w:t xml:space="preserve">CHANGELOG.md</w:t>
            </w:r>
          </w:p>
        </w:tc>
        <w:tc>
          <w:tcPr>
            <w:tcW w:w="5028" w:type="dxa"/>
            <w:shd w:val="clear" w:color="auto" w:fill="F4F7FC"/>
          </w:tcPr>
          <w:p>
            <w:pPr>
              <w:pStyle w:val="TableText"/>
            </w:pPr>
            <w:r>
              <w:rPr>
                <w:sz w:val="18"/>
                <w:szCs w:val="18"/>
              </w:rPr>
              <w:t xml:space="preserve">Évolutions par version</w:t>
            </w:r>
          </w:p>
        </w:tc>
      </w:tr>
      <w:tr>
        <w:trPr>
          <w:cantSplit/>
        </w:trPr>
        <w:tc>
          <w:tcPr>
            <w:tcW w:w="1955" w:type="dxa"/>
          </w:tcPr>
          <w:p>
            <w:pPr>
              <w:pStyle w:val="TableText"/>
            </w:pPr>
            <w:r>
              <w:rPr>
                <w:sz w:val="18"/>
                <w:szCs w:val="18"/>
              </w:rPr>
              <w:t xml:space="preserve">Configuration commentée</w:t>
            </w:r>
          </w:p>
        </w:tc>
        <w:tc>
          <w:tcPr>
            <w:tcW w:w="2653" w:type="dxa"/>
          </w:tcPr>
          <w:p>
            <w:pPr>
              <w:pStyle w:val="TableText"/>
            </w:pPr>
            <w:r>
              <w:rPr>
                <w:sz w:val="18"/>
                <w:szCs w:val="18"/>
              </w:rPr>
              <w:t xml:space="preserve">config/heptagoneslm.example.yaml</w:t>
            </w:r>
          </w:p>
        </w:tc>
        <w:tc>
          <w:tcPr>
            <w:tcW w:w="5028" w:type="dxa"/>
          </w:tcPr>
          <w:p>
            <w:pPr>
              <w:pStyle w:val="TableText"/>
            </w:pPr>
            <w:r>
              <w:rPr>
                <w:sz w:val="18"/>
                <w:szCs w:val="18"/>
              </w:rPr>
              <w:t xml:space="preserve">Tous les paramètres avec exemples</w:t>
            </w:r>
          </w:p>
        </w:tc>
      </w:tr>
    </w:tbl>
    <w:p>
      <w:pPr>
        <w:spacing w:after="80"/>
      </w:pPr>
    </w:p>
    <w:p>
      <w:pPr>
        <w:pStyle w:val="Heading2"/>
      </w:pPr>
      <w:bookmarkStart w:id="5" w:name="_Toc00005"/>
      <w:r>
        <w:rPr/>
        <w:t xml:space="preserve">1.4 Glossaire</w:t>
      </w:r>
      <w:bookmarkEnd w:id="5"/>
    </w:p>
    <w:p>
      <w:pPr>
        <w:pStyle w:val="Caption"/>
        <w:keepNext/>
      </w:pPr>
      <w:r>
        <w:rPr/>
        <w:t xml:space="preserve">Tableau 2 – Glossaire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445"/>
        <w:gridCol w:w="7192"/>
      </w:tblGrid>
      <w:tr>
        <w:trPr>
          <w:tblHeader/>
          <w:cantSplit/>
        </w:trPr>
        <w:tc>
          <w:tcPr>
            <w:tcW w:w="2445" w:type="dxa"/>
            <w:shd w:val="clear" w:color="auto" w:fill="2A78D6"/>
          </w:tcPr>
          <w:p>
            <w:pPr>
              <w:pStyle w:val="TableText"/>
            </w:pPr>
            <w:r>
              <w:rPr>
                <w:b/>
                <w:color w:val="FFFFFF"/>
                <w:sz w:val="18"/>
                <w:szCs w:val="18"/>
              </w:rPr>
              <w:t xml:space="preserve">Terme</w:t>
            </w:r>
          </w:p>
        </w:tc>
        <w:tc>
          <w:tcPr>
            <w:tcW w:w="7192" w:type="dxa"/>
            <w:shd w:val="clear" w:color="auto" w:fill="2A78D6"/>
          </w:tcPr>
          <w:p>
            <w:pPr>
              <w:pStyle w:val="TableText"/>
            </w:pPr>
            <w:r>
              <w:rPr>
                <w:b/>
                <w:color w:val="FFFFFF"/>
                <w:sz w:val="18"/>
                <w:szCs w:val="18"/>
              </w:rPr>
              <w:t xml:space="preserve">Définition</w:t>
            </w:r>
          </w:p>
        </w:tc>
      </w:tr>
      <w:tr>
        <w:trPr>
          <w:cantSplit/>
        </w:trPr>
        <w:tc>
          <w:tcPr>
            <w:tcW w:w="2445" w:type="dxa"/>
          </w:tcPr>
          <w:p>
            <w:pPr>
              <w:pStyle w:val="TableText"/>
            </w:pPr>
            <w:r>
              <w:rPr>
                <w:b/>
                <w:sz w:val="18"/>
                <w:szCs w:val="18"/>
              </w:rPr>
              <w:t xml:space="preserve">FlexLM / FlexNet Publisher</w:t>
            </w:r>
          </w:p>
        </w:tc>
        <w:tc>
          <w:tcPr>
            <w:tcW w:w="7192" w:type="dxa"/>
          </w:tcPr>
          <w:p>
            <w:pPr>
              <w:pStyle w:val="TableText"/>
            </w:pPr>
            <w:r>
              <w:rPr>
                <w:sz w:val="18"/>
                <w:szCs w:val="18"/>
              </w:rPr>
              <w:t xml:space="preserve">Gestionnaire de licences flottantes utilisé par Autodesk, Ansys, MathWorks, Siemens, etc.</w:t>
            </w:r>
          </w:p>
        </w:tc>
      </w:tr>
      <w:tr>
        <w:trPr>
          <w:cantSplit/>
        </w:trPr>
        <w:tc>
          <w:tcPr>
            <w:tcW w:w="2445" w:type="dxa"/>
            <w:shd w:val="clear" w:color="auto" w:fill="F4F7FC"/>
          </w:tcPr>
          <w:p>
            <w:pPr>
              <w:pStyle w:val="TableText"/>
            </w:pPr>
            <w:r>
              <w:rPr>
                <w:b/>
                <w:sz w:val="18"/>
                <w:szCs w:val="18"/>
              </w:rPr>
              <w:t xml:space="preserve">lmgrd</w:t>
            </w:r>
          </w:p>
        </w:tc>
        <w:tc>
          <w:tcPr>
            <w:tcW w:w="7192" w:type="dxa"/>
            <w:shd w:val="clear" w:color="auto" w:fill="F4F7FC"/>
          </w:tcPr>
          <w:p>
            <w:pPr>
              <w:pStyle w:val="TableText"/>
            </w:pPr>
            <w:r>
              <w:rPr>
                <w:sz w:val="18"/>
                <w:szCs w:val="18"/>
              </w:rPr>
              <w:t xml:space="preserve">Démon principal FlexLM ; écoute sur un port (ex. 27000) et délègue aux démons éditeurs.</w:t>
            </w:r>
          </w:p>
        </w:tc>
      </w:tr>
      <w:tr>
        <w:trPr>
          <w:cantSplit/>
        </w:trPr>
        <w:tc>
          <w:tcPr>
            <w:tcW w:w="2445" w:type="dxa"/>
          </w:tcPr>
          <w:p>
            <w:pPr>
              <w:pStyle w:val="TableText"/>
            </w:pPr>
            <w:r>
              <w:rPr>
                <w:b/>
                <w:sz w:val="18"/>
                <w:szCs w:val="18"/>
              </w:rPr>
              <w:t xml:space="preserve">Démon éditeur (vendor daemon)</w:t>
            </w:r>
          </w:p>
        </w:tc>
        <w:tc>
          <w:tcPr>
            <w:tcW w:w="7192" w:type="dxa"/>
          </w:tcPr>
          <w:p>
            <w:pPr>
              <w:pStyle w:val="TableText"/>
            </w:pPr>
            <w:r>
              <w:rPr>
                <w:sz w:val="18"/>
                <w:szCs w:val="18"/>
              </w:rPr>
              <w:t xml:space="preserve">Processus propre à un éditeur (adskflex, ansyslmd, MLM…) qui distribue ses jetons.</w:t>
            </w:r>
          </w:p>
        </w:tc>
      </w:tr>
      <w:tr>
        <w:trPr>
          <w:cantSplit/>
        </w:trPr>
        <w:tc>
          <w:tcPr>
            <w:tcW w:w="2445" w:type="dxa"/>
            <w:shd w:val="clear" w:color="auto" w:fill="F4F7FC"/>
          </w:tcPr>
          <w:p>
            <w:pPr>
              <w:pStyle w:val="TableText"/>
            </w:pPr>
            <w:r>
              <w:rPr>
                <w:b/>
                <w:sz w:val="18"/>
                <w:szCs w:val="18"/>
              </w:rPr>
              <w:t xml:space="preserve">lmutil / lmstat</w:t>
            </w:r>
          </w:p>
        </w:tc>
        <w:tc>
          <w:tcPr>
            <w:tcW w:w="7192" w:type="dxa"/>
            <w:shd w:val="clear" w:color="auto" w:fill="F4F7FC"/>
          </w:tcPr>
          <w:p>
            <w:pPr>
              <w:pStyle w:val="TableText"/>
            </w:pPr>
            <w:r>
              <w:rPr>
                <w:sz w:val="18"/>
                <w:szCs w:val="18"/>
              </w:rPr>
              <w:t xml:space="preserve">Outil en ligne de commande FlexLM ; </w:t>
            </w:r>
            <w:r>
              <w:rPr>
                <w:rFonts w:ascii="Consolas" w:hAnsi="Consolas" w:cs="Consolas"/>
                <w:color w:val="1C5CAB"/>
                <w:sz w:val="18"/>
                <w:szCs w:val="18"/>
                <w:shd w:val="clear" w:color="auto" w:fill="EEF3FA"/>
              </w:rPr>
              <w:t xml:space="preserve">lmutil lmstat -a</w:t>
            </w:r>
            <w:r>
              <w:rPr>
                <w:sz w:val="18"/>
                <w:szCs w:val="18"/>
              </w:rPr>
              <w:t xml:space="preserve"> liste les jetons émis, utilisés et les utilisateurs.</w:t>
            </w:r>
          </w:p>
        </w:tc>
      </w:tr>
      <w:tr>
        <w:trPr>
          <w:cantSplit/>
        </w:trPr>
        <w:tc>
          <w:tcPr>
            <w:tcW w:w="2445" w:type="dxa"/>
          </w:tcPr>
          <w:p>
            <w:pPr>
              <w:pStyle w:val="TableText"/>
            </w:pPr>
            <w:r>
              <w:rPr>
                <w:b/>
                <w:sz w:val="18"/>
                <w:szCs w:val="18"/>
              </w:rPr>
              <w:t xml:space="preserve">RLM / rlmutil</w:t>
            </w:r>
          </w:p>
        </w:tc>
        <w:tc>
          <w:tcPr>
            <w:tcW w:w="7192" w:type="dxa"/>
          </w:tcPr>
          <w:p>
            <w:pPr>
              <w:pStyle w:val="TableText"/>
            </w:pPr>
            <w:r>
              <w:rPr>
                <w:sz w:val="18"/>
                <w:szCs w:val="18"/>
              </w:rPr>
              <w:t xml:space="preserve">Reprise License Manager (Foundry, Maxon, Chaos…) ; </w:t>
            </w:r>
            <w:r>
              <w:rPr>
                <w:rFonts w:ascii="Consolas" w:hAnsi="Consolas" w:cs="Consolas"/>
                <w:color w:val="1C5CAB"/>
                <w:sz w:val="18"/>
                <w:szCs w:val="18"/>
                <w:shd w:val="clear" w:color="auto" w:fill="EEF3FA"/>
              </w:rPr>
              <w:t xml:space="preserve">rlmutil rlmstat -a</w:t>
            </w:r>
            <w:r>
              <w:rPr>
                <w:sz w:val="18"/>
                <w:szCs w:val="18"/>
              </w:rPr>
              <w:t xml:space="preserve"> liste les pools de licences et les utilisateurs.</w:t>
            </w:r>
          </w:p>
        </w:tc>
      </w:tr>
      <w:tr>
        <w:trPr>
          <w:cantSplit/>
        </w:trPr>
        <w:tc>
          <w:tcPr>
            <w:tcW w:w="2445" w:type="dxa"/>
            <w:shd w:val="clear" w:color="auto" w:fill="F4F7FC"/>
          </w:tcPr>
          <w:p>
            <w:pPr>
              <w:pStyle w:val="TableText"/>
            </w:pPr>
            <w:r>
              <w:rPr>
                <w:b/>
                <w:sz w:val="18"/>
                <w:szCs w:val="18"/>
              </w:rPr>
              <w:t xml:space="preserve">Feature</w:t>
            </w:r>
          </w:p>
        </w:tc>
        <w:tc>
          <w:tcPr>
            <w:tcW w:w="7192" w:type="dxa"/>
            <w:shd w:val="clear" w:color="auto" w:fill="F4F7FC"/>
          </w:tcPr>
          <w:p>
            <w:pPr>
              <w:pStyle w:val="TableText"/>
            </w:pPr>
            <w:r>
              <w:rPr>
                <w:sz w:val="18"/>
                <w:szCs w:val="18"/>
              </w:rPr>
              <w:t xml:space="preserve">Code technique d'une licence dans FlexLM (ex. </w:t>
            </w:r>
            <w:r>
              <w:rPr>
                <w:rFonts w:ascii="Consolas" w:hAnsi="Consolas" w:cs="Consolas"/>
                <w:color w:val="1C5CAB"/>
                <w:sz w:val="18"/>
                <w:szCs w:val="18"/>
                <w:shd w:val="clear" w:color="auto" w:fill="EEF3FA"/>
              </w:rPr>
              <w:t xml:space="preserve">87545ACD_2024_0F</w:t>
            </w:r>
            <w:r>
              <w:rPr>
                <w:sz w:val="18"/>
                <w:szCs w:val="18"/>
              </w:rPr>
              <w:t xml:space="preserve">), rattaché à un produit lisible par HeptagonesLM.</w:t>
            </w:r>
          </w:p>
        </w:tc>
      </w:tr>
      <w:tr>
        <w:trPr>
          <w:cantSplit/>
        </w:trPr>
        <w:tc>
          <w:tcPr>
            <w:tcW w:w="2445" w:type="dxa"/>
          </w:tcPr>
          <w:p>
            <w:pPr>
              <w:pStyle w:val="TableText"/>
            </w:pPr>
            <w:r>
              <w:rPr>
                <w:b/>
                <w:sz w:val="18"/>
                <w:szCs w:val="18"/>
              </w:rPr>
              <w:t xml:space="preserve">Jeton</w:t>
            </w:r>
          </w:p>
        </w:tc>
        <w:tc>
          <w:tcPr>
            <w:tcW w:w="7192" w:type="dxa"/>
          </w:tcPr>
          <w:p>
            <w:pPr>
              <w:pStyle w:val="TableText"/>
            </w:pPr>
            <w:r>
              <w:rPr>
                <w:sz w:val="18"/>
                <w:szCs w:val="18"/>
              </w:rPr>
              <w:t xml:space="preserve">Unité de licence flottante ; un utilisateur en « emprunte » un (checkout) puis le rend (checkin).</w:t>
            </w:r>
          </w:p>
        </w:tc>
      </w:tr>
      <w:tr>
        <w:trPr>
          <w:cantSplit/>
        </w:trPr>
        <w:tc>
          <w:tcPr>
            <w:tcW w:w="2445" w:type="dxa"/>
            <w:shd w:val="clear" w:color="auto" w:fill="F4F7FC"/>
          </w:tcPr>
          <w:p>
            <w:pPr>
              <w:pStyle w:val="TableText"/>
            </w:pPr>
            <w:r>
              <w:rPr>
                <w:b/>
                <w:sz w:val="18"/>
                <w:szCs w:val="18"/>
              </w:rPr>
              <w:t xml:space="preserve">Session</w:t>
            </w:r>
          </w:p>
        </w:tc>
        <w:tc>
          <w:tcPr>
            <w:tcW w:w="7192" w:type="dxa"/>
            <w:shd w:val="clear" w:color="auto" w:fill="F4F7FC"/>
          </w:tcPr>
          <w:p>
            <w:pPr>
              <w:pStyle w:val="TableText"/>
            </w:pPr>
            <w:r>
              <w:rPr>
                <w:sz w:val="18"/>
                <w:szCs w:val="18"/>
              </w:rPr>
              <w:t xml:space="preserve">Période pendant laquelle un utilisateur détient un jeton, reconstituée par HeptagonesLM.</w:t>
            </w:r>
          </w:p>
        </w:tc>
      </w:tr>
      <w:tr>
        <w:trPr>
          <w:cantSplit/>
        </w:trPr>
        <w:tc>
          <w:tcPr>
            <w:tcW w:w="2445" w:type="dxa"/>
          </w:tcPr>
          <w:p>
            <w:pPr>
              <w:pStyle w:val="TableText"/>
            </w:pPr>
            <w:r>
              <w:rPr>
                <w:b/>
                <w:sz w:val="18"/>
                <w:szCs w:val="18"/>
              </w:rPr>
              <w:t xml:space="preserve">Refus (DENIED)</w:t>
            </w:r>
          </w:p>
        </w:tc>
        <w:tc>
          <w:tcPr>
            <w:tcW w:w="7192" w:type="dxa"/>
          </w:tcPr>
          <w:p>
            <w:pPr>
              <w:pStyle w:val="TableText"/>
            </w:pPr>
            <w:r>
              <w:rPr>
                <w:sz w:val="18"/>
                <w:szCs w:val="18"/>
              </w:rPr>
              <w:t xml:space="preserve">Demande de jeton refusée faute de jeton disponible ; visible uniquement dans le log debug.</w:t>
            </w:r>
          </w:p>
        </w:tc>
      </w:tr>
      <w:tr>
        <w:trPr>
          <w:cantSplit/>
        </w:trPr>
        <w:tc>
          <w:tcPr>
            <w:tcW w:w="2445" w:type="dxa"/>
            <w:shd w:val="clear" w:color="auto" w:fill="F4F7FC"/>
          </w:tcPr>
          <w:p>
            <w:pPr>
              <w:pStyle w:val="TableText"/>
            </w:pPr>
            <w:r>
              <w:rPr>
                <w:b/>
                <w:sz w:val="18"/>
                <w:szCs w:val="18"/>
              </w:rPr>
              <w:t xml:space="preserve">Saturation</w:t>
            </w:r>
          </w:p>
        </w:tc>
        <w:tc>
          <w:tcPr>
            <w:tcW w:w="7192" w:type="dxa"/>
            <w:shd w:val="clear" w:color="auto" w:fill="F4F7FC"/>
          </w:tcPr>
          <w:p>
            <w:pPr>
              <w:pStyle w:val="TableText"/>
            </w:pPr>
            <w:r>
              <w:rPr>
                <w:sz w:val="18"/>
                <w:szCs w:val="18"/>
              </w:rPr>
              <w:t xml:space="preserve">Heure pendant laquelle tous les jetons d'une feature sont utilisés.</w:t>
            </w:r>
          </w:p>
        </w:tc>
      </w:tr>
      <w:tr>
        <w:trPr>
          <w:cantSplit/>
        </w:trPr>
        <w:tc>
          <w:tcPr>
            <w:tcW w:w="2445" w:type="dxa"/>
          </w:tcPr>
          <w:p>
            <w:pPr>
              <w:pStyle w:val="TableText"/>
            </w:pPr>
            <w:r>
              <w:rPr>
                <w:b/>
                <w:sz w:val="18"/>
                <w:szCs w:val="18"/>
              </w:rPr>
              <w:t xml:space="preserve">Heures ouvrées</w:t>
            </w:r>
          </w:p>
        </w:tc>
        <w:tc>
          <w:tcPr>
            <w:tcW w:w="7192" w:type="dxa"/>
          </w:tcPr>
          <w:p>
            <w:pPr>
              <w:pStyle w:val="TableText"/>
            </w:pPr>
            <w:r>
              <w:rPr>
                <w:sz w:val="18"/>
                <w:szCs w:val="18"/>
              </w:rPr>
              <w:t xml:space="preserve">Jours ouvrés, plage </w:t>
            </w:r>
            <w:r>
              <w:rPr>
                <w:rFonts w:ascii="Consolas" w:hAnsi="Consolas" w:cs="Consolas"/>
                <w:color w:val="1C5CAB"/>
                <w:sz w:val="18"/>
                <w:szCs w:val="18"/>
                <w:shd w:val="clear" w:color="auto" w:fill="EEF3FA"/>
              </w:rPr>
              <w:t xml:space="preserve">business_hours</w:t>
            </w:r>
            <w:r>
              <w:rPr>
                <w:sz w:val="18"/>
                <w:szCs w:val="18"/>
              </w:rPr>
              <w:t xml:space="preserve"> (8 h – 19 h par défaut) ; base des taux « heures ouvrées ».</w:t>
            </w:r>
          </w:p>
        </w:tc>
      </w:tr>
      <w:tr>
        <w:trPr>
          <w:cantSplit/>
        </w:trPr>
        <w:tc>
          <w:tcPr>
            <w:tcW w:w="2445" w:type="dxa"/>
            <w:shd w:val="clear" w:color="auto" w:fill="F4F7FC"/>
          </w:tcPr>
          <w:p>
            <w:pPr>
              <w:pStyle w:val="TableText"/>
            </w:pPr>
            <w:r>
              <w:rPr>
                <w:b/>
                <w:sz w:val="18"/>
                <w:szCs w:val="18"/>
              </w:rPr>
              <w:t xml:space="preserve">Taux d'occupation</w:t>
            </w:r>
          </w:p>
        </w:tc>
        <w:tc>
          <w:tcPr>
            <w:tcW w:w="7192" w:type="dxa"/>
            <w:shd w:val="clear" w:color="auto" w:fill="F4F7FC"/>
          </w:tcPr>
          <w:p>
            <w:pPr>
              <w:pStyle w:val="TableText"/>
            </w:pPr>
            <w:r>
              <w:rPr>
                <w:sz w:val="18"/>
                <w:szCs w:val="18"/>
              </w:rPr>
              <w:t xml:space="preserve">Jetons utilisés / jetons émis, moyenné sur la période.</w:t>
            </w:r>
          </w:p>
        </w:tc>
      </w:tr>
      <w:tr>
        <w:trPr>
          <w:cantSplit/>
        </w:trPr>
        <w:tc>
          <w:tcPr>
            <w:tcW w:w="2445" w:type="dxa"/>
          </w:tcPr>
          <w:p>
            <w:pPr>
              <w:pStyle w:val="TableText"/>
            </w:pPr>
            <w:r>
              <w:rPr>
                <w:b/>
                <w:sz w:val="18"/>
                <w:szCs w:val="18"/>
              </w:rPr>
              <w:t xml:space="preserve">Efficacité</w:t>
            </w:r>
          </w:p>
        </w:tc>
        <w:tc>
          <w:tcPr>
            <w:tcW w:w="7192" w:type="dxa"/>
          </w:tcPr>
          <w:p>
            <w:pPr>
              <w:pStyle w:val="TableText"/>
            </w:pPr>
            <w:r>
              <w:rPr>
                <w:sz w:val="18"/>
                <w:szCs w:val="18"/>
              </w:rPr>
              <w:t xml:space="preserve">Part du temps ouvré où au moins N jetons sont utilisés ; sert à recommander un nombre de jetons.</w:t>
            </w:r>
          </w:p>
        </w:tc>
      </w:tr>
      <w:tr>
        <w:trPr>
          <w:cantSplit/>
        </w:trPr>
        <w:tc>
          <w:tcPr>
            <w:tcW w:w="2445" w:type="dxa"/>
            <w:shd w:val="clear" w:color="auto" w:fill="F4F7FC"/>
          </w:tcPr>
          <w:p>
            <w:pPr>
              <w:pStyle w:val="TableText"/>
            </w:pPr>
            <w:r>
              <w:rPr>
                <w:b/>
                <w:sz w:val="18"/>
                <w:szCs w:val="18"/>
              </w:rPr>
              <w:t xml:space="preserve">gMSA</w:t>
            </w:r>
          </w:p>
        </w:tc>
        <w:tc>
          <w:tcPr>
            <w:tcW w:w="7192" w:type="dxa"/>
            <w:shd w:val="clear" w:color="auto" w:fill="F4F7FC"/>
          </w:tcPr>
          <w:p>
            <w:pPr>
              <w:pStyle w:val="TableText"/>
            </w:pPr>
            <w:r>
              <w:rPr>
                <w:sz w:val="18"/>
                <w:szCs w:val="18"/>
              </w:rPr>
              <w:t xml:space="preserve">Group Managed Service Account : compte de service AD dont le mot de passe est géré automatiquement.</w:t>
            </w:r>
          </w:p>
        </w:tc>
      </w:tr>
      <w:tr>
        <w:trPr>
          <w:cantSplit/>
        </w:trPr>
        <w:tc>
          <w:tcPr>
            <w:tcW w:w="2445" w:type="dxa"/>
          </w:tcPr>
          <w:p>
            <w:pPr>
              <w:pStyle w:val="TableText"/>
            </w:pPr>
            <w:r>
              <w:rPr>
                <w:b/>
                <w:sz w:val="18"/>
                <w:szCs w:val="18"/>
              </w:rPr>
              <w:t xml:space="preserve">LDAPS</w:t>
            </w:r>
          </w:p>
        </w:tc>
        <w:tc>
          <w:tcPr>
            <w:tcW w:w="7192" w:type="dxa"/>
          </w:tcPr>
          <w:p>
            <w:pPr>
              <w:pStyle w:val="TableText"/>
            </w:pPr>
            <w:r>
              <w:rPr>
                <w:sz w:val="18"/>
                <w:szCs w:val="18"/>
              </w:rPr>
              <w:t xml:space="preserve">LDAP chiffré en TLS (port 636), utilisé pour vérifier les identifiants Windows.</w:t>
            </w:r>
          </w:p>
        </w:tc>
      </w:tr>
      <w:tr>
        <w:trPr>
          <w:cantSplit/>
        </w:trPr>
        <w:tc>
          <w:tcPr>
            <w:tcW w:w="2445" w:type="dxa"/>
            <w:shd w:val="clear" w:color="auto" w:fill="F4F7FC"/>
          </w:tcPr>
          <w:p>
            <w:pPr>
              <w:pStyle w:val="TableText"/>
            </w:pPr>
            <w:r>
              <w:rPr>
                <w:b/>
                <w:sz w:val="18"/>
                <w:szCs w:val="18"/>
              </w:rPr>
              <w:t xml:space="preserve">N1 / N2 / N3</w:t>
            </w:r>
          </w:p>
        </w:tc>
        <w:tc>
          <w:tcPr>
            <w:tcW w:w="7192" w:type="dxa"/>
            <w:shd w:val="clear" w:color="auto" w:fill="F4F7FC"/>
          </w:tcPr>
          <w:p>
            <w:pPr>
              <w:pStyle w:val="TableText"/>
            </w:pPr>
            <w:r>
              <w:rPr>
                <w:sz w:val="18"/>
                <w:szCs w:val="18"/>
              </w:rPr>
              <w:t xml:space="preserve">Niveaux de support : pilotage, exploitation technique, expertise / éditeur.</w:t>
            </w:r>
          </w:p>
        </w:tc>
      </w:tr>
    </w:tbl>
    <w:p>
      <w:pPr>
        <w:spacing w:after="80"/>
      </w:pPr>
    </w:p>
    <w:p>
      <w:pPr>
        <w:pStyle w:val="Heading1"/>
      </w:pPr>
      <w:bookmarkStart w:id="6" w:name="_Toc00006"/>
      <w:r>
        <w:rPr/>
        <w:t xml:space="preserve">2. Présentation de l'application</w:t>
      </w:r>
      <w:bookmarkEnd w:id="6"/>
    </w:p>
    <w:p>
      <w:pPr>
        <w:pStyle w:val="Heading2"/>
      </w:pPr>
      <w:bookmarkStart w:id="7" w:name="_Toc00007"/>
      <w:r>
        <w:rPr/>
        <w:t xml:space="preserve">2.1 Finalité</w:t>
      </w:r>
      <w:bookmarkEnd w:id="7"/>
    </w:p>
    <w:p>
      <w:pPr/>
      <w:r>
        <w:rPr/>
        <w:t xml:space="preserve">Les licences d'ingénierie (CAO, simulation, calcul) représentent un poste de dépense important. HeptagonesLM mesure leur utilisation réelle pour répondre à des questions concrètes : </w:t>
      </w:r>
      <w:r>
        <w:rPr>
          <w:b/>
        </w:rPr>
        <w:t xml:space="preserve">combien de jetons sont réellement nécessaires, qui les utilise, quand y a-t-il pénurie, quelles licences sont sous-utilisées</w:t>
      </w:r>
      <w:r>
        <w:rPr/>
        <w:t xml:space="preserve">, et combien pourrait-on économiser au prochain renouvellement.</w:t>
      </w:r>
    </w:p>
    <w:p>
      <w:pPr/>
      <w:r>
        <w:rPr/>
        <w:t xml:space="preserve">HeptagonesLM est une alternative libre (licence MIT) à OpenLM pour le reporting d'usage. Il ne modifie jamais les serveurs de licences : il lit leur état et leurs journaux.</w:t>
      </w:r>
    </w:p>
    <w:p>
      <w:pPr>
        <w:pStyle w:val="Heading2"/>
      </w:pPr>
      <w:bookmarkStart w:id="8" w:name="_Toc00008"/>
      <w:r>
        <w:rPr/>
        <w:t xml:space="preserve">2.2 Bénéficiaires</w:t>
      </w:r>
      <w:bookmarkEnd w:id="8"/>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212"/>
        <w:gridCol w:w="6425"/>
      </w:tblGrid>
      <w:tr>
        <w:trPr>
          <w:tblHeader/>
          <w:cantSplit/>
        </w:trPr>
        <w:tc>
          <w:tcPr>
            <w:tcW w:w="3212" w:type="dxa"/>
            <w:shd w:val="clear" w:color="auto" w:fill="2A78D6"/>
          </w:tcPr>
          <w:p>
            <w:pPr>
              <w:pStyle w:val="TableText"/>
            </w:pPr>
            <w:r>
              <w:rPr>
                <w:b/>
                <w:color w:val="FFFFFF"/>
                <w:sz w:val="18"/>
                <w:szCs w:val="18"/>
              </w:rPr>
              <w:t xml:space="preserve">Population</w:t>
            </w:r>
          </w:p>
        </w:tc>
        <w:tc>
          <w:tcPr>
            <w:tcW w:w="6425" w:type="dxa"/>
            <w:shd w:val="clear" w:color="auto" w:fill="2A78D6"/>
          </w:tcPr>
          <w:p>
            <w:pPr>
              <w:pStyle w:val="TableText"/>
            </w:pPr>
            <w:r>
              <w:rPr>
                <w:b/>
                <w:color w:val="FFFFFF"/>
                <w:sz w:val="18"/>
                <w:szCs w:val="18"/>
              </w:rPr>
              <w:t xml:space="preserve">Usage principal</w:t>
            </w:r>
          </w:p>
        </w:tc>
      </w:tr>
      <w:tr>
        <w:trPr>
          <w:cantSplit/>
        </w:trPr>
        <w:tc>
          <w:tcPr>
            <w:tcW w:w="3212" w:type="dxa"/>
          </w:tcPr>
          <w:p>
            <w:pPr>
              <w:pStyle w:val="TableText"/>
            </w:pPr>
            <w:r>
              <w:rPr>
                <w:sz w:val="18"/>
                <w:szCs w:val="18"/>
              </w:rPr>
              <w:t xml:space="preserve">Responsables CAO / simulation</w:t>
            </w:r>
          </w:p>
        </w:tc>
        <w:tc>
          <w:tcPr>
            <w:tcW w:w="6425" w:type="dxa"/>
          </w:tcPr>
          <w:p>
            <w:pPr>
              <w:pStyle w:val="TableText"/>
            </w:pPr>
            <w:r>
              <w:rPr>
                <w:sz w:val="18"/>
                <w:szCs w:val="18"/>
              </w:rPr>
              <w:t xml:space="preserve">Dimensionnement du parc, pénuries, profils d'usage</w:t>
            </w:r>
          </w:p>
        </w:tc>
      </w:tr>
      <w:tr>
        <w:trPr>
          <w:cantSplit/>
        </w:trPr>
        <w:tc>
          <w:tcPr>
            <w:tcW w:w="3212" w:type="dxa"/>
            <w:shd w:val="clear" w:color="auto" w:fill="F4F7FC"/>
          </w:tcPr>
          <w:p>
            <w:pPr>
              <w:pStyle w:val="TableText"/>
            </w:pPr>
            <w:r>
              <w:rPr>
                <w:sz w:val="18"/>
                <w:szCs w:val="18"/>
              </w:rPr>
              <w:t xml:space="preserve">Achats / contrôle de gestion</w:t>
            </w:r>
          </w:p>
        </w:tc>
        <w:tc>
          <w:tcPr>
            <w:tcW w:w="6425" w:type="dxa"/>
            <w:shd w:val="clear" w:color="auto" w:fill="F4F7FC"/>
          </w:tcPr>
          <w:p>
            <w:pPr>
              <w:pStyle w:val="TableText"/>
            </w:pPr>
            <w:r>
              <w:rPr>
                <w:sz w:val="18"/>
                <w:szCs w:val="18"/>
              </w:rPr>
              <w:t xml:space="preserve">Coûts, économies potentielles, refacturation par service</w:t>
            </w:r>
          </w:p>
        </w:tc>
      </w:tr>
      <w:tr>
        <w:trPr>
          <w:cantSplit/>
        </w:trPr>
        <w:tc>
          <w:tcPr>
            <w:tcW w:w="3212" w:type="dxa"/>
          </w:tcPr>
          <w:p>
            <w:pPr>
              <w:pStyle w:val="TableText"/>
            </w:pPr>
            <w:r>
              <w:rPr>
                <w:sz w:val="18"/>
                <w:szCs w:val="18"/>
              </w:rPr>
              <w:t xml:space="preserve">DSI / exploitation</w:t>
            </w:r>
          </w:p>
        </w:tc>
        <w:tc>
          <w:tcPr>
            <w:tcW w:w="6425" w:type="dxa"/>
          </w:tcPr>
          <w:p>
            <w:pPr>
              <w:pStyle w:val="TableText"/>
            </w:pPr>
            <w:r>
              <w:rPr>
                <w:sz w:val="18"/>
                <w:szCs w:val="18"/>
              </w:rPr>
              <w:t xml:space="preserve">Supervision des serveurs de licences, alertes d'expiration</w:t>
            </w:r>
          </w:p>
        </w:tc>
      </w:tr>
      <w:tr>
        <w:trPr>
          <w:cantSplit/>
        </w:trPr>
        <w:tc>
          <w:tcPr>
            <w:tcW w:w="3212" w:type="dxa"/>
            <w:shd w:val="clear" w:color="auto" w:fill="F4F7FC"/>
          </w:tcPr>
          <w:p>
            <w:pPr>
              <w:pStyle w:val="TableText"/>
            </w:pPr>
            <w:r>
              <w:rPr>
                <w:sz w:val="18"/>
                <w:szCs w:val="18"/>
              </w:rPr>
              <w:t xml:space="preserve">Direction</w:t>
            </w:r>
          </w:p>
        </w:tc>
        <w:tc>
          <w:tcPr>
            <w:tcW w:w="6425" w:type="dxa"/>
            <w:shd w:val="clear" w:color="auto" w:fill="F4F7FC"/>
          </w:tcPr>
          <w:p>
            <w:pPr>
              <w:pStyle w:val="TableText"/>
            </w:pPr>
            <w:r>
              <w:rPr>
                <w:sz w:val="18"/>
                <w:szCs w:val="18"/>
              </w:rPr>
              <w:t xml:space="preserve">Rapport mensuel par e-mail, indicateurs clés</w:t>
            </w:r>
          </w:p>
        </w:tc>
      </w:tr>
    </w:tbl>
    <w:p>
      <w:pPr>
        <w:spacing w:after="80"/>
      </w:pPr>
    </w:p>
    <w:p>
      <w:pPr>
        <w:pStyle w:val="Heading2"/>
      </w:pPr>
      <w:bookmarkStart w:id="9" w:name="_Toc00009"/>
      <w:r>
        <w:rPr/>
        <w:t xml:space="preserve">2.3 Fonctionnalités</w:t>
      </w:r>
      <w:bookmarkEnd w:id="9"/>
    </w:p>
    <w:p>
      <w:pPr>
        <w:pStyle w:val="Caption"/>
        <w:keepNext/>
      </w:pPr>
      <w:r>
        <w:rPr/>
        <w:t xml:space="preserve">Tableau 3 – Fonctionnalités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013"/>
        <w:gridCol w:w="7624"/>
      </w:tblGrid>
      <w:tr>
        <w:trPr>
          <w:tblHeader/>
          <w:cantSplit/>
        </w:trPr>
        <w:tc>
          <w:tcPr>
            <w:tcW w:w="2013" w:type="dxa"/>
            <w:shd w:val="clear" w:color="auto" w:fill="2A78D6"/>
          </w:tcPr>
          <w:p>
            <w:pPr>
              <w:pStyle w:val="TableText"/>
            </w:pPr>
            <w:r>
              <w:rPr>
                <w:b/>
                <w:color w:val="FFFFFF"/>
                <w:sz w:val="18"/>
                <w:szCs w:val="18"/>
              </w:rPr>
              <w:t xml:space="preserve">Domaine</w:t>
            </w:r>
          </w:p>
        </w:tc>
        <w:tc>
          <w:tcPr>
            <w:tcW w:w="7624" w:type="dxa"/>
            <w:shd w:val="clear" w:color="auto" w:fill="2A78D6"/>
          </w:tcPr>
          <w:p>
            <w:pPr>
              <w:pStyle w:val="TableText"/>
            </w:pPr>
            <w:r>
              <w:rPr>
                <w:b/>
                <w:color w:val="FFFFFF"/>
                <w:sz w:val="18"/>
                <w:szCs w:val="18"/>
              </w:rPr>
              <w:t xml:space="preserve">Fonctionnalités</w:t>
            </w:r>
          </w:p>
        </w:tc>
      </w:tr>
      <w:tr>
        <w:trPr>
          <w:cantSplit/>
        </w:trPr>
        <w:tc>
          <w:tcPr>
            <w:tcW w:w="2013" w:type="dxa"/>
          </w:tcPr>
          <w:p>
            <w:pPr>
              <w:pStyle w:val="TableText"/>
            </w:pPr>
            <w:r>
              <w:rPr>
                <w:b/>
                <w:sz w:val="18"/>
                <w:szCs w:val="18"/>
              </w:rPr>
              <w:t xml:space="preserve">Collecte</w:t>
            </w:r>
          </w:p>
        </w:tc>
        <w:tc>
          <w:tcPr>
            <w:tcW w:w="7624" w:type="dxa"/>
          </w:tcPr>
          <w:p>
            <w:pPr>
              <w:pStyle w:val="TableText"/>
            </w:pPr>
            <w:r>
              <w:rPr>
                <w:sz w:val="18"/>
                <w:szCs w:val="18"/>
              </w:rPr>
              <w:t xml:space="preserve">FlexLM : sondage </w:t>
            </w:r>
            <w:r>
              <w:rPr>
                <w:rFonts w:ascii="Consolas" w:hAnsi="Consolas" w:cs="Consolas"/>
                <w:color w:val="1C5CAB"/>
                <w:sz w:val="18"/>
                <w:szCs w:val="18"/>
                <w:shd w:val="clear" w:color="auto" w:fill="EEF3FA"/>
              </w:rPr>
              <w:t xml:space="preserve">lmutil lmstat -a</w:t>
            </w:r>
            <w:r>
              <w:rPr>
                <w:sz w:val="18"/>
                <w:szCs w:val="18"/>
              </w:rPr>
              <w:t xml:space="preserve"> (jetons émis / utilisés, utilisateurs, dates d'expiration) et lecture incrémentale des logs debug (refus, sessions à la seconde). RLM : sondage </w:t>
            </w:r>
            <w:r>
              <w:rPr>
                <w:rFonts w:ascii="Consolas" w:hAnsi="Consolas" w:cs="Consolas"/>
                <w:color w:val="1C5CAB"/>
                <w:sz w:val="18"/>
                <w:szCs w:val="18"/>
                <w:shd w:val="clear" w:color="auto" w:fill="EEF3FA"/>
              </w:rPr>
              <w:t xml:space="preserve">rlmutil rlmstat -a</w:t>
            </w:r>
            <w:r>
              <w:rPr>
                <w:sz w:val="18"/>
                <w:szCs w:val="18"/>
              </w:rPr>
              <w:t xml:space="preserve"> (pools, jetons, utilisateurs, échéances). Aucun agent sur les postes.</w:t>
            </w:r>
          </w:p>
        </w:tc>
      </w:tr>
      <w:tr>
        <w:trPr>
          <w:cantSplit/>
        </w:trPr>
        <w:tc>
          <w:tcPr>
            <w:tcW w:w="2013" w:type="dxa"/>
            <w:shd w:val="clear" w:color="auto" w:fill="F4F7FC"/>
          </w:tcPr>
          <w:p>
            <w:pPr>
              <w:pStyle w:val="TableText"/>
            </w:pPr>
            <w:r>
              <w:rPr>
                <w:b/>
                <w:sz w:val="18"/>
                <w:szCs w:val="18"/>
              </w:rPr>
              <w:t xml:space="preserve">Alertes et tickets</w:t>
            </w:r>
          </w:p>
        </w:tc>
        <w:tc>
          <w:tcPr>
            <w:tcW w:w="7624" w:type="dxa"/>
            <w:shd w:val="clear" w:color="auto" w:fill="F4F7FC"/>
          </w:tcPr>
          <w:p>
            <w:pPr>
              <w:pStyle w:val="TableText"/>
            </w:pPr>
            <w:r>
              <w:rPr>
                <w:sz w:val="18"/>
                <w:szCs w:val="18"/>
              </w:rPr>
              <w:t xml:space="preserve">Dès la collecte suivante : collecte en échec ou arrêtée (puis rétablie), nouveaux refus, plus aucun jeton disponible, licence qui expire ; par e-mail et / ou ticket ServiceNow, Jira, GLPI, Teams / Slack, ouvert, complété puis résolu automatiquement.</w:t>
            </w:r>
          </w:p>
        </w:tc>
      </w:tr>
      <w:tr>
        <w:trPr>
          <w:cantSplit/>
        </w:trPr>
        <w:tc>
          <w:tcPr>
            <w:tcW w:w="2013" w:type="dxa"/>
          </w:tcPr>
          <w:p>
            <w:pPr>
              <w:pStyle w:val="TableText"/>
            </w:pPr>
            <w:r>
              <w:rPr>
                <w:b/>
                <w:sz w:val="18"/>
                <w:szCs w:val="18"/>
              </w:rPr>
              <w:t xml:space="preserve">Rôles</w:t>
            </w:r>
          </w:p>
        </w:tc>
        <w:tc>
          <w:tcPr>
            <w:tcW w:w="7624" w:type="dxa"/>
          </w:tcPr>
          <w:p>
            <w:pPr>
              <w:pStyle w:val="TableText"/>
            </w:pPr>
            <w:r>
              <w:rPr>
                <w:sz w:val="18"/>
                <w:szCs w:val="18"/>
              </w:rPr>
              <w:t xml:space="preserve">Administrateur, lecteur, responsable de service (ne voit que ses services, exports compris), par groupe AD ou par compte.</w:t>
            </w:r>
          </w:p>
        </w:tc>
      </w:tr>
      <w:tr>
        <w:trPr>
          <w:cantSplit/>
        </w:trPr>
        <w:tc>
          <w:tcPr>
            <w:tcW w:w="2013" w:type="dxa"/>
            <w:shd w:val="clear" w:color="auto" w:fill="F4F7FC"/>
          </w:tcPr>
          <w:p>
            <w:pPr>
              <w:pStyle w:val="TableText"/>
            </w:pPr>
            <w:r>
              <w:rPr>
                <w:b/>
                <w:sz w:val="18"/>
                <w:szCs w:val="18"/>
              </w:rPr>
              <w:t xml:space="preserve">Historisation</w:t>
            </w:r>
          </w:p>
        </w:tc>
        <w:tc>
          <w:tcPr>
            <w:tcW w:w="7624" w:type="dxa"/>
            <w:shd w:val="clear" w:color="auto" w:fill="F4F7FC"/>
          </w:tcPr>
          <w:p>
            <w:pPr>
              <w:pStyle w:val="TableText"/>
            </w:pPr>
            <w:r>
              <w:rPr>
                <w:sz w:val="18"/>
                <w:szCs w:val="18"/>
              </w:rPr>
              <w:t xml:space="preserve">SQL Server : sessions, refus, sondages, agrégats horaires conservés sans limite, journal des collectes.</w:t>
            </w:r>
          </w:p>
        </w:tc>
      </w:tr>
      <w:tr>
        <w:trPr>
          <w:cantSplit/>
        </w:trPr>
        <w:tc>
          <w:tcPr>
            <w:tcW w:w="2013" w:type="dxa"/>
          </w:tcPr>
          <w:p>
            <w:pPr>
              <w:pStyle w:val="TableText"/>
            </w:pPr>
            <w:r>
              <w:rPr>
                <w:b/>
                <w:sz w:val="18"/>
                <w:szCs w:val="18"/>
              </w:rPr>
              <w:t xml:space="preserve">Tableau de bord</w:t>
            </w:r>
          </w:p>
        </w:tc>
        <w:tc>
          <w:tcPr>
            <w:tcW w:w="7624" w:type="dxa"/>
          </w:tcPr>
          <w:p>
            <w:pPr>
              <w:pStyle w:val="TableText"/>
            </w:pPr>
            <w:r>
              <w:rPr>
                <w:sz w:val="18"/>
                <w:szCs w:val="18"/>
              </w:rPr>
              <w:t xml:space="preserve">Alertes (collecte en échec ou arrêtée, refus, expirations, saturation, sous-utilisation), 6 indicateurs comparés à la période précédente, tendance, état en direct, produits, utilisateurs, refus, profil horaire, serveurs et échéances.</w:t>
            </w:r>
          </w:p>
        </w:tc>
      </w:tr>
      <w:tr>
        <w:trPr>
          <w:cantSplit/>
        </w:trPr>
        <w:tc>
          <w:tcPr>
            <w:tcW w:w="2013" w:type="dxa"/>
            <w:shd w:val="clear" w:color="auto" w:fill="F4F7FC"/>
          </w:tcPr>
          <w:p>
            <w:pPr>
              <w:pStyle w:val="TableText"/>
            </w:pPr>
            <w:r>
              <w:rPr>
                <w:b/>
                <w:sz w:val="18"/>
                <w:szCs w:val="18"/>
              </w:rPr>
              <w:t xml:space="preserve">En direct</w:t>
            </w:r>
          </w:p>
        </w:tc>
        <w:tc>
          <w:tcPr>
            <w:tcW w:w="7624" w:type="dxa"/>
            <w:shd w:val="clear" w:color="auto" w:fill="F4F7FC"/>
          </w:tcPr>
          <w:p>
            <w:pPr>
              <w:pStyle w:val="TableText"/>
            </w:pPr>
            <w:r>
              <w:rPr>
                <w:sz w:val="18"/>
                <w:szCs w:val="18"/>
              </w:rPr>
              <w:t xml:space="preserve">Jetons utilisés / libres par produit, utilisateurs connectés, poste, durée ; actualisation chaque minute.</w:t>
            </w:r>
          </w:p>
        </w:tc>
      </w:tr>
      <w:tr>
        <w:trPr>
          <w:cantSplit/>
        </w:trPr>
        <w:tc>
          <w:tcPr>
            <w:tcW w:w="2013" w:type="dxa"/>
          </w:tcPr>
          <w:p>
            <w:pPr>
              <w:pStyle w:val="TableText"/>
            </w:pPr>
            <w:r>
              <w:rPr>
                <w:b/>
                <w:sz w:val="18"/>
                <w:szCs w:val="18"/>
              </w:rPr>
              <w:t xml:space="preserve">Rapports</w:t>
            </w:r>
          </w:p>
        </w:tc>
        <w:tc>
          <w:tcPr>
            <w:tcW w:w="7624" w:type="dxa"/>
          </w:tcPr>
          <w:p>
            <w:pPr>
              <w:pStyle w:val="TableText"/>
            </w:pPr>
            <w:r>
              <w:rPr>
                <w:sz w:val="18"/>
                <w:szCs w:val="18"/>
              </w:rPr>
              <w:t xml:space="preserve">Synthèse, usage dans le temps, répartition, croisement, profil horaire, contention, refus, efficacité, optimisation et coûts, sessions, collectes.</w:t>
            </w:r>
          </w:p>
        </w:tc>
      </w:tr>
      <w:tr>
        <w:trPr>
          <w:cantSplit/>
        </w:trPr>
        <w:tc>
          <w:tcPr>
            <w:tcW w:w="2013" w:type="dxa"/>
            <w:shd w:val="clear" w:color="auto" w:fill="F4F7FC"/>
          </w:tcPr>
          <w:p>
            <w:pPr>
              <w:pStyle w:val="TableText"/>
            </w:pPr>
            <w:r>
              <w:rPr>
                <w:b/>
                <w:sz w:val="18"/>
                <w:szCs w:val="18"/>
              </w:rPr>
              <w:t xml:space="preserve">Exports</w:t>
            </w:r>
          </w:p>
        </w:tc>
        <w:tc>
          <w:tcPr>
            <w:tcW w:w="7624" w:type="dxa"/>
            <w:shd w:val="clear" w:color="auto" w:fill="F4F7FC"/>
          </w:tcPr>
          <w:p>
            <w:pPr>
              <w:pStyle w:val="TableText"/>
            </w:pPr>
            <w:r>
              <w:rPr>
                <w:sz w:val="18"/>
                <w:szCs w:val="18"/>
              </w:rPr>
              <w:t xml:space="preserve">Excel (avec graphique), CSV (format Excel français), JSON ; classeur complet 8 onglets.</w:t>
            </w:r>
          </w:p>
        </w:tc>
      </w:tr>
      <w:tr>
        <w:trPr>
          <w:cantSplit/>
        </w:trPr>
        <w:tc>
          <w:tcPr>
            <w:tcW w:w="2013" w:type="dxa"/>
          </w:tcPr>
          <w:p>
            <w:pPr>
              <w:pStyle w:val="TableText"/>
            </w:pPr>
            <w:r>
              <w:rPr>
                <w:b/>
                <w:sz w:val="18"/>
                <w:szCs w:val="18"/>
              </w:rPr>
              <w:t xml:space="preserve">Rapport mensuel</w:t>
            </w:r>
          </w:p>
        </w:tc>
        <w:tc>
          <w:tcPr>
            <w:tcW w:w="7624" w:type="dxa"/>
          </w:tcPr>
          <w:p>
            <w:pPr>
              <w:pStyle w:val="TableText"/>
            </w:pPr>
            <w:r>
              <w:rPr>
                <w:sz w:val="18"/>
                <w:szCs w:val="18"/>
              </w:rPr>
              <w:t xml:space="preserve">Classeur Excel produit automatiquement et envoyé par e-mail aux abonnés.</w:t>
            </w:r>
          </w:p>
        </w:tc>
      </w:tr>
      <w:tr>
        <w:trPr>
          <w:cantSplit/>
        </w:trPr>
        <w:tc>
          <w:tcPr>
            <w:tcW w:w="2013" w:type="dxa"/>
            <w:shd w:val="clear" w:color="auto" w:fill="F4F7FC"/>
          </w:tcPr>
          <w:p>
            <w:pPr>
              <w:pStyle w:val="TableText"/>
            </w:pPr>
            <w:r>
              <w:rPr>
                <w:b/>
                <w:sz w:val="18"/>
                <w:szCs w:val="18"/>
              </w:rPr>
              <w:t xml:space="preserve">Sécurité</w:t>
            </w:r>
          </w:p>
        </w:tc>
        <w:tc>
          <w:tcPr>
            <w:tcW w:w="7624" w:type="dxa"/>
            <w:shd w:val="clear" w:color="auto" w:fill="F4F7FC"/>
          </w:tcPr>
          <w:p>
            <w:pPr>
              <w:pStyle w:val="TableText"/>
            </w:pPr>
            <w:r>
              <w:rPr>
                <w:sz w:val="18"/>
                <w:szCs w:val="18"/>
              </w:rPr>
              <w:t xml:space="preserve">Connexion Windows / AD (LDAPS) ou SSO derrière IIS, HTTPS, restriction par groupe, journal d'audit.</w:t>
            </w:r>
          </w:p>
        </w:tc>
      </w:tr>
    </w:tbl>
    <w:p>
      <w:pPr>
        <w:spacing w:after="80"/>
      </w:pPr>
    </w:p>
    <w:p>
      <w:pPr>
        <w:pStyle w:val="Figure"/>
        <w:keepNext/>
      </w:pPr>
      <w:r>
        <w:drawing>
          <wp:inline distT="0" distB="0" distL="0" distR="0">
            <wp:extent cx="5940000" cy="3712500"/>
            <wp:docPr id="2" name="Image 2" descr="Tableau de bord de HeptagonesLM (page d'accueil)"/>
            <wp:cNvGraphicFramePr>
              <a:graphicFrameLocks noChangeAspect="1"/>
            </wp:cNvGraphicFramePr>
            <a:graphic>
              <a:graphicData uri="http://schemas.openxmlformats.org/drawingml/2006/picture">
                <pic:pic>
                  <pic:nvPicPr>
                    <pic:cNvPr id="2" name="dashboard_top.png"/>
                    <pic:cNvPicPr/>
                  </pic:nvPicPr>
                  <pic:blipFill>
                    <a:blip r:embed="rIdImg2"/>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10" w:name="_Fig00010"/>
      <w:r>
        <w:rPr/>
        <w:t xml:space="preserve">Figure </w:t>
      </w:r>
      <w:fldSimple w:instr=" SEQ Figure \* ARABIC ">
        <w:r>
          <w:t>1</w:t>
        </w:r>
      </w:fldSimple>
      <w:r>
        <w:rPr/>
        <w:t xml:space="preserve"> – Tableau de bord de HeptagonesLM (page d'accueil)</w:t>
      </w:r>
      <w:bookmarkEnd w:id="10"/>
    </w:p>
    <w:p>
      <w:pPr>
        <w:pStyle w:val="Heading2"/>
      </w:pPr>
      <w:bookmarkStart w:id="11" w:name="_Toc00011"/>
      <w:r>
        <w:rPr/>
        <w:t xml:space="preserve">2.4 Principes de fonctionnement</w:t>
      </w:r>
      <w:bookmarkEnd w:id="11"/>
    </w:p>
    <w:p>
      <w:pPr>
        <w:pStyle w:val="ListParagraph"/>
        <w:numPr>
          <w:ilvl w:val="0"/>
          <w:numId w:val="3"/>
        </w:numPr>
      </w:pPr>
      <w:r>
        <w:rPr>
          <w:b/>
        </w:rPr>
        <w:t xml:space="preserve">Sans agent</w:t>
      </w:r>
      <w:r>
        <w:rPr/>
        <w:t xml:space="preserve"> : seuls le serveur HeptagonesLM et les serveurs de licences sont concernés ; rien n'est installé sur les postes.</w:t>
      </w:r>
    </w:p>
    <w:p>
      <w:pPr>
        <w:pStyle w:val="ListParagraph"/>
        <w:numPr>
          <w:ilvl w:val="0"/>
          <w:numId w:val="3"/>
        </w:numPr>
      </w:pPr>
      <w:r>
        <w:rPr>
          <w:b/>
        </w:rPr>
        <w:t xml:space="preserve">Lecture seule</w:t>
      </w:r>
      <w:r>
        <w:rPr/>
        <w:t xml:space="preserve"> : HeptagonesLM n'agit jamais sur les licences (pas de libération ni de réservation de jetons).</w:t>
      </w:r>
    </w:p>
    <w:p>
      <w:pPr>
        <w:pStyle w:val="ListParagraph"/>
        <w:numPr>
          <w:ilvl w:val="0"/>
          <w:numId w:val="3"/>
        </w:numPr>
      </w:pPr>
      <w:r>
        <w:rPr>
          <w:b/>
        </w:rPr>
        <w:t xml:space="preserve">Tâches planifiées</w:t>
      </w:r>
      <w:r>
        <w:rPr/>
        <w:t xml:space="preserve"> : la collecte est une commande lancée toutes les 5 minutes par le Planificateur de tâches Windows.</w:t>
      </w:r>
    </w:p>
    <w:p>
      <w:pPr>
        <w:pStyle w:val="ListParagraph"/>
        <w:numPr>
          <w:ilvl w:val="0"/>
          <w:numId w:val="3"/>
        </w:numPr>
      </w:pPr>
      <w:r>
        <w:rPr>
          <w:b/>
        </w:rPr>
        <w:t xml:space="preserve">Indépendance</w:t>
      </w:r>
      <w:r>
        <w:rPr/>
        <w:t xml:space="preserve"> : un serveur de licences injoignable n'empêche pas la collecte des autres ; chaque échec est tracé.</w:t>
      </w:r>
    </w:p>
    <w:p>
      <w:pPr>
        <w:pStyle w:val="ListParagraph"/>
        <w:numPr>
          <w:ilvl w:val="0"/>
          <w:numId w:val="3"/>
        </w:numPr>
      </w:pPr>
      <w:r>
        <w:rPr>
          <w:b/>
        </w:rPr>
        <w:t xml:space="preserve">Aucune dépendance Internet</w:t>
      </w:r>
      <w:r>
        <w:rPr/>
        <w:t xml:space="preserve"> : l'interface n'appelle aucun service externe (pas de CDN).</w:t>
      </w:r>
    </w:p>
    <w:p>
      <w:pPr>
        <w:pStyle w:val="Heading2"/>
      </w:pPr>
      <w:bookmarkStart w:id="12" w:name="_Toc00012"/>
      <w:r>
        <w:rPr/>
        <w:t xml:space="preserve">2.5 Criticité et niveau de service</w:t>
      </w:r>
      <w:bookmarkEnd w:id="12"/>
    </w:p>
    <w:p>
      <w:pPr/>
      <w:r>
        <w:rPr/>
        <w:t xml:space="preserve">HeptagonesLM est un outil de </w:t>
      </w:r>
      <w:r>
        <w:rPr>
          <w:b/>
        </w:rPr>
        <w:t xml:space="preserve">pilotage et de reporting</w:t>
      </w:r>
      <w:r>
        <w:rPr/>
        <w:t xml:space="preserve">. Son indisponibilité n'a </w:t>
      </w:r>
      <w:r>
        <w:rPr>
          <w:b/>
        </w:rPr>
        <w:t xml:space="preserve">aucun impact sur l'utilisation des licences</w:t>
      </w:r>
      <w:r>
        <w:rPr/>
        <w:t xml:space="preserve"> par les utilisateurs : les serveurs FlexLM continuent de fonctionner normalement. Seule la continuité de l'historique est affectée (trou de collecte).</w:t>
      </w:r>
    </w:p>
    <w:p>
      <w:pPr>
        <w:pStyle w:val="Caption"/>
        <w:keepNext/>
      </w:pPr>
      <w:r>
        <w:rPr/>
        <w:t xml:space="preserve">Tableau 4 – Criticité (DICT) et niveau de service proposés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589"/>
        <w:gridCol w:w="2301"/>
        <w:gridCol w:w="4747"/>
      </w:tblGrid>
      <w:tr>
        <w:trPr>
          <w:tblHeader/>
          <w:cantSplit/>
        </w:trPr>
        <w:tc>
          <w:tcPr>
            <w:tcW w:w="2589" w:type="dxa"/>
            <w:shd w:val="clear" w:color="auto" w:fill="2A78D6"/>
          </w:tcPr>
          <w:p>
            <w:pPr>
              <w:pStyle w:val="TableText"/>
            </w:pPr>
            <w:r>
              <w:rPr>
                <w:b/>
                <w:color w:val="FFFFFF"/>
                <w:sz w:val="18"/>
                <w:szCs w:val="18"/>
              </w:rPr>
              <w:t xml:space="preserve">Critère</w:t>
            </w:r>
          </w:p>
        </w:tc>
        <w:tc>
          <w:tcPr>
            <w:tcW w:w="2301" w:type="dxa"/>
            <w:shd w:val="clear" w:color="auto" w:fill="2A78D6"/>
          </w:tcPr>
          <w:p>
            <w:pPr>
              <w:pStyle w:val="TableText"/>
            </w:pPr>
            <w:r>
              <w:rPr>
                <w:b/>
                <w:color w:val="FFFFFF"/>
                <w:sz w:val="18"/>
                <w:szCs w:val="18"/>
              </w:rPr>
              <w:t xml:space="preserve">Niveau proposé</w:t>
            </w:r>
          </w:p>
        </w:tc>
        <w:tc>
          <w:tcPr>
            <w:tcW w:w="4747" w:type="dxa"/>
            <w:shd w:val="clear" w:color="auto" w:fill="2A78D6"/>
          </w:tcPr>
          <w:p>
            <w:pPr>
              <w:pStyle w:val="TableText"/>
            </w:pPr>
            <w:r>
              <w:rPr>
                <w:b/>
                <w:color w:val="FFFFFF"/>
                <w:sz w:val="18"/>
                <w:szCs w:val="18"/>
              </w:rPr>
              <w:t xml:space="preserve">Justification</w:t>
            </w:r>
          </w:p>
        </w:tc>
      </w:tr>
      <w:tr>
        <w:trPr>
          <w:cantSplit/>
        </w:trPr>
        <w:tc>
          <w:tcPr>
            <w:tcW w:w="2589" w:type="dxa"/>
          </w:tcPr>
          <w:p>
            <w:pPr>
              <w:pStyle w:val="TableText"/>
            </w:pPr>
            <w:r>
              <w:rPr>
                <w:sz w:val="18"/>
                <w:szCs w:val="18"/>
              </w:rPr>
              <w:t xml:space="preserve">Disponibilité</w:t>
            </w:r>
          </w:p>
        </w:tc>
        <w:tc>
          <w:tcPr>
            <w:tcW w:w="2301" w:type="dxa"/>
          </w:tcPr>
          <w:p>
            <w:pPr>
              <w:pStyle w:val="TableText"/>
            </w:pPr>
            <w:r>
              <w:rPr>
                <w:sz w:val="18"/>
                <w:szCs w:val="18"/>
              </w:rPr>
              <w:t xml:space="preserve">Faible à moyen (2/4)</w:t>
            </w:r>
          </w:p>
        </w:tc>
        <w:tc>
          <w:tcPr>
            <w:tcW w:w="4747" w:type="dxa"/>
          </w:tcPr>
          <w:p>
            <w:pPr>
              <w:pStyle w:val="TableText"/>
            </w:pPr>
            <w:r>
              <w:rPr>
                <w:sz w:val="18"/>
                <w:szCs w:val="18"/>
              </w:rPr>
              <w:t xml:space="preserve">Aucun impact sur la production ; perte d'historique pendant l'arrêt</w:t>
            </w:r>
          </w:p>
        </w:tc>
      </w:tr>
      <w:tr>
        <w:trPr>
          <w:cantSplit/>
        </w:trPr>
        <w:tc>
          <w:tcPr>
            <w:tcW w:w="2589" w:type="dxa"/>
            <w:shd w:val="clear" w:color="auto" w:fill="F4F7FC"/>
          </w:tcPr>
          <w:p>
            <w:pPr>
              <w:pStyle w:val="TableText"/>
            </w:pPr>
            <w:r>
              <w:rPr>
                <w:sz w:val="18"/>
                <w:szCs w:val="18"/>
              </w:rPr>
              <w:t xml:space="preserve">Intégrité</w:t>
            </w:r>
          </w:p>
        </w:tc>
        <w:tc>
          <w:tcPr>
            <w:tcW w:w="2301" w:type="dxa"/>
            <w:shd w:val="clear" w:color="auto" w:fill="F4F7FC"/>
          </w:tcPr>
          <w:p>
            <w:pPr>
              <w:pStyle w:val="TableText"/>
            </w:pPr>
            <w:r>
              <w:rPr>
                <w:sz w:val="18"/>
                <w:szCs w:val="18"/>
              </w:rPr>
              <w:t xml:space="preserve">Moyen (2/4)</w:t>
            </w:r>
          </w:p>
        </w:tc>
        <w:tc>
          <w:tcPr>
            <w:tcW w:w="4747" w:type="dxa"/>
            <w:shd w:val="clear" w:color="auto" w:fill="F4F7FC"/>
          </w:tcPr>
          <w:p>
            <w:pPr>
              <w:pStyle w:val="TableText"/>
            </w:pPr>
            <w:r>
              <w:rPr>
                <w:sz w:val="18"/>
                <w:szCs w:val="18"/>
              </w:rPr>
              <w:t xml:space="preserve">Données servant à des décisions d'achat</w:t>
            </w:r>
          </w:p>
        </w:tc>
      </w:tr>
      <w:tr>
        <w:trPr>
          <w:cantSplit/>
        </w:trPr>
        <w:tc>
          <w:tcPr>
            <w:tcW w:w="2589" w:type="dxa"/>
          </w:tcPr>
          <w:p>
            <w:pPr>
              <w:pStyle w:val="TableText"/>
            </w:pPr>
            <w:r>
              <w:rPr>
                <w:sz w:val="18"/>
                <w:szCs w:val="18"/>
              </w:rPr>
              <w:t xml:space="preserve">Confidentialité</w:t>
            </w:r>
          </w:p>
        </w:tc>
        <w:tc>
          <w:tcPr>
            <w:tcW w:w="2301" w:type="dxa"/>
          </w:tcPr>
          <w:p>
            <w:pPr>
              <w:pStyle w:val="TableText"/>
            </w:pPr>
            <w:r>
              <w:rPr>
                <w:sz w:val="18"/>
                <w:szCs w:val="18"/>
              </w:rPr>
              <w:t xml:space="preserve">Moyen (2/4)</w:t>
            </w:r>
          </w:p>
        </w:tc>
        <w:tc>
          <w:tcPr>
            <w:tcW w:w="4747" w:type="dxa"/>
          </w:tcPr>
          <w:p>
            <w:pPr>
              <w:pStyle w:val="TableText"/>
            </w:pPr>
            <w:r>
              <w:rPr>
                <w:sz w:val="18"/>
                <w:szCs w:val="18"/>
              </w:rPr>
              <w:t xml:space="preserve">Données nominatives d'usage (identifiants, postes, horaires)</w:t>
            </w:r>
          </w:p>
        </w:tc>
      </w:tr>
      <w:tr>
        <w:trPr>
          <w:cantSplit/>
        </w:trPr>
        <w:tc>
          <w:tcPr>
            <w:tcW w:w="2589" w:type="dxa"/>
            <w:shd w:val="clear" w:color="auto" w:fill="F4F7FC"/>
          </w:tcPr>
          <w:p>
            <w:pPr>
              <w:pStyle w:val="TableText"/>
            </w:pPr>
            <w:r>
              <w:rPr>
                <w:sz w:val="18"/>
                <w:szCs w:val="18"/>
              </w:rPr>
              <w:t xml:space="preserve">Traçabilité</w:t>
            </w:r>
          </w:p>
        </w:tc>
        <w:tc>
          <w:tcPr>
            <w:tcW w:w="2301" w:type="dxa"/>
            <w:shd w:val="clear" w:color="auto" w:fill="F4F7FC"/>
          </w:tcPr>
          <w:p>
            <w:pPr>
              <w:pStyle w:val="TableText"/>
            </w:pPr>
            <w:r>
              <w:rPr>
                <w:sz w:val="18"/>
                <w:szCs w:val="18"/>
              </w:rPr>
              <w:t xml:space="preserve">Moyen (2/4)</w:t>
            </w:r>
          </w:p>
        </w:tc>
        <w:tc>
          <w:tcPr>
            <w:tcW w:w="4747" w:type="dxa"/>
            <w:shd w:val="clear" w:color="auto" w:fill="F4F7FC"/>
          </w:tcPr>
          <w:p>
            <w:pPr>
              <w:pStyle w:val="TableText"/>
            </w:pPr>
            <w:r>
              <w:rPr>
                <w:sz w:val="18"/>
                <w:szCs w:val="18"/>
              </w:rPr>
              <w:t xml:space="preserve">Journal d'audit des connexions et des exports</w:t>
            </w:r>
          </w:p>
        </w:tc>
      </w:tr>
      <w:tr>
        <w:trPr>
          <w:cantSplit/>
        </w:trPr>
        <w:tc>
          <w:tcPr>
            <w:tcW w:w="2589" w:type="dxa"/>
          </w:tcPr>
          <w:p>
            <w:pPr>
              <w:pStyle w:val="TableText"/>
            </w:pPr>
            <w:r>
              <w:rPr>
                <w:sz w:val="18"/>
                <w:szCs w:val="18"/>
              </w:rPr>
              <w:t xml:space="preserve">Plage de service</w:t>
            </w:r>
          </w:p>
        </w:tc>
        <w:tc>
          <w:tcPr>
            <w:tcW w:w="2301" w:type="dxa"/>
          </w:tcPr>
          <w:p>
            <w:pPr>
              <w:pStyle w:val="TableText"/>
            </w:pPr>
            <w:r>
              <w:rPr>
                <w:sz w:val="18"/>
                <w:szCs w:val="18"/>
              </w:rPr>
              <w:t xml:space="preserve">Heures ouvrées</w:t>
            </w:r>
          </w:p>
        </w:tc>
        <w:tc>
          <w:tcPr>
            <w:tcW w:w="4747" w:type="dxa"/>
          </w:tcPr>
          <w:p>
            <w:pPr>
              <w:pStyle w:val="TableText"/>
            </w:pPr>
            <w:r>
              <w:rPr>
                <w:sz w:val="18"/>
                <w:szCs w:val="18"/>
              </w:rPr>
              <w:t xml:space="preserve">Collecte 24 h / 24 ; support en heures ouvrées</w:t>
            </w:r>
          </w:p>
        </w:tc>
      </w:tr>
      <w:tr>
        <w:trPr>
          <w:cantSplit/>
        </w:trPr>
        <w:tc>
          <w:tcPr>
            <w:tcW w:w="2589" w:type="dxa"/>
            <w:shd w:val="clear" w:color="auto" w:fill="F4F7FC"/>
          </w:tcPr>
          <w:p>
            <w:pPr>
              <w:pStyle w:val="TableText"/>
            </w:pPr>
            <w:r>
              <w:rPr>
                <w:sz w:val="18"/>
                <w:szCs w:val="18"/>
              </w:rPr>
              <w:t xml:space="preserve">Délai de reprise (RTO)</w:t>
            </w:r>
          </w:p>
        </w:tc>
        <w:tc>
          <w:tcPr>
            <w:tcW w:w="2301" w:type="dxa"/>
            <w:shd w:val="clear" w:color="auto" w:fill="F4F7FC"/>
          </w:tcPr>
          <w:p>
            <w:pPr>
              <w:pStyle w:val="TableText"/>
            </w:pPr>
            <w:r>
              <w:rPr>
                <w:sz w:val="18"/>
                <w:szCs w:val="18"/>
              </w:rPr>
              <w:t xml:space="preserve">1 jour ouvré</w:t>
            </w:r>
          </w:p>
        </w:tc>
        <w:tc>
          <w:tcPr>
            <w:tcW w:w="4747" w:type="dxa"/>
            <w:shd w:val="clear" w:color="auto" w:fill="F4F7FC"/>
          </w:tcPr>
          <w:p>
            <w:pPr>
              <w:pStyle w:val="TableText"/>
            </w:pPr>
            <w:r>
              <w:rPr>
                <w:sz w:val="18"/>
                <w:szCs w:val="18"/>
              </w:rPr>
              <w:t xml:space="preserve">Reconstruction possible à partir de la sauvegarde SQL et de la configuration</w:t>
            </w:r>
          </w:p>
        </w:tc>
      </w:tr>
      <w:tr>
        <w:trPr>
          <w:cantSplit/>
        </w:trPr>
        <w:tc>
          <w:tcPr>
            <w:tcW w:w="2589" w:type="dxa"/>
          </w:tcPr>
          <w:p>
            <w:pPr>
              <w:pStyle w:val="TableText"/>
            </w:pPr>
            <w:r>
              <w:rPr>
                <w:sz w:val="18"/>
                <w:szCs w:val="18"/>
              </w:rPr>
              <w:t xml:space="preserve">Perte de données admissible (RPO)</w:t>
            </w:r>
          </w:p>
        </w:tc>
        <w:tc>
          <w:tcPr>
            <w:tcW w:w="2301" w:type="dxa"/>
          </w:tcPr>
          <w:p>
            <w:pPr>
              <w:pStyle w:val="TableText"/>
            </w:pPr>
            <w:r>
              <w:rPr>
                <w:sz w:val="18"/>
                <w:szCs w:val="18"/>
              </w:rPr>
              <w:t xml:space="preserve">24 heures</w:t>
            </w:r>
          </w:p>
        </w:tc>
        <w:tc>
          <w:tcPr>
            <w:tcW w:w="4747" w:type="dxa"/>
          </w:tcPr>
          <w:p>
            <w:pPr>
              <w:pStyle w:val="TableText"/>
            </w:pPr>
            <w:r>
              <w:rPr>
                <w:sz w:val="18"/>
                <w:szCs w:val="18"/>
              </w:rPr>
              <w:t xml:space="preserve">Sauvegarde SQL quotidienne</w:t>
            </w:r>
          </w:p>
        </w:tc>
      </w:tr>
    </w:tbl>
    <w:p>
      <w:pPr>
        <w:spacing w:after="80"/>
      </w:pPr>
    </w:p>
    <w:tbl>
      <w:tblPr>
        <w:tblW w:w="9638" w:type="dxa"/>
        <w:tblInd w:w="0" w:type="dxa"/>
        <w:tblBorders>
          <w:left w:val="single" w:sz="24" w:color="2A78D6"/>
        </w:tblBorders>
        <w:tblCellMar>
          <w:top w:w="100" w:type="dxa"/>
          <w:left w:w="180" w:type="dxa"/>
          <w:bottom w:w="100" w:type="dxa"/>
          <w:right w:w="180" w:type="dxa"/>
        </w:tblCellMar>
      </w:tblPr>
      <w:tblGrid>
        <w:gridCol w:w="9638"/>
      </w:tblGrid>
      <w:tr>
        <w:tc>
          <w:tcPr>
            <w:tcW w:w="9638" w:type="dxa"/>
            <w:shd w:val="clear" w:color="auto" w:fill="EEF4FC"/>
          </w:tcPr>
          <w:p>
            <w:pPr>
              <w:spacing w:before="0" w:after="0"/>
            </w:pPr>
            <w:r>
              <w:rPr>
                <w:b/>
                <w:color w:val="2A78D6"/>
              </w:rPr>
              <w:t xml:space="preserve">À noter — </w:t>
            </w:r>
            <w:r>
              <w:rPr/>
              <w:t xml:space="preserve">Ces niveaux sont une proposition à valider avec le responsable applicatif lors de la mise en production.</w:t>
            </w:r>
          </w:p>
        </w:tc>
      </w:tr>
    </w:tbl>
    <w:p>
      <w:pPr>
        <w:spacing w:after="60"/>
      </w:pPr>
    </w:p>
    <w:p>
      <w:pPr>
        <w:pStyle w:val="Heading1"/>
      </w:pPr>
      <w:bookmarkStart w:id="13" w:name="_Toc00013"/>
      <w:r>
        <w:rPr/>
        <w:t xml:space="preserve">3. Architecture technique</w:t>
      </w:r>
      <w:bookmarkEnd w:id="13"/>
    </w:p>
    <w:p>
      <w:pPr>
        <w:pStyle w:val="Heading2"/>
      </w:pPr>
      <w:bookmarkStart w:id="14" w:name="_Toc00014"/>
      <w:r>
        <w:rPr/>
        <w:t xml:space="preserve">3.1 Vue d'ensemble</w:t>
      </w:r>
      <w:bookmarkEnd w:id="14"/>
    </w:p>
    <w:p>
      <w:pPr/>
      <w:r>
        <w:rPr/>
        <w:t xml:space="preserve">HeptagonesLM est installé sur un serveur Windows. Il interroge les serveurs de licences, écrit dans une base SQL Server et restitue les données par une interface web et des rapports Excel. Il s'appuie sur l'Active Directory pour l'authentification et sur un relais SMTP pour l'envoi des rapports.</w:t>
      </w:r>
    </w:p>
    <w:p>
      <w:pPr>
        <w:pStyle w:val="Figure"/>
        <w:keepNext/>
      </w:pPr>
      <w:r>
        <w:drawing>
          <wp:inline distT="0" distB="0" distL="0" distR="0">
            <wp:extent cx="6120000" cy="3278571"/>
            <wp:docPr id="3" name="Image 3" descr="Architecture technique et flux"/>
            <wp:cNvGraphicFramePr>
              <a:graphicFrameLocks noChangeAspect="1"/>
            </wp:cNvGraphicFramePr>
            <a:graphic>
              <a:graphicData uri="http://schemas.openxmlformats.org/drawingml/2006/picture">
                <pic:pic>
                  <pic:nvPicPr>
                    <pic:cNvPr id="3" name="diag_architecture.png"/>
                    <pic:cNvPicPr/>
                  </pic:nvPicPr>
                  <pic:blipFill>
                    <a:blip r:embed="rIdImg3"/>
                    <a:stretch>
                      <a:fillRect/>
                    </a:stretch>
                  </pic:blipFill>
                  <pic:spPr>
                    <a:xfrm>
                      <a:off x="0" y="0"/>
                      <a:ext cx="6120000" cy="3278571"/>
                    </a:xfrm>
                    <a:prstGeom prst="rect">
                      <a:avLst/>
                    </a:prstGeom>
                    <a:ln w="9525">
                      <a:solidFill>
                        <a:srgbClr val="D9D8D2"/>
                      </a:solidFill>
                    </a:ln>
                  </pic:spPr>
                </pic:pic>
              </a:graphicData>
            </a:graphic>
          </wp:inline>
        </w:drawing>
      </w:r>
    </w:p>
    <w:p>
      <w:pPr>
        <w:pStyle w:val="Caption"/>
      </w:pPr>
      <w:bookmarkStart w:id="15" w:name="_Fig00015"/>
      <w:r>
        <w:rPr/>
        <w:t xml:space="preserve">Figure </w:t>
      </w:r>
      <w:fldSimple w:instr=" SEQ Figure \* ARABIC ">
        <w:r>
          <w:t>2</w:t>
        </w:r>
      </w:fldSimple>
      <w:r>
        <w:rPr/>
        <w:t xml:space="preserve"> – Architecture technique et flux</w:t>
      </w:r>
      <w:bookmarkEnd w:id="15"/>
    </w:p>
    <w:p>
      <w:pPr>
        <w:pStyle w:val="Heading2"/>
      </w:pPr>
      <w:bookmarkStart w:id="16" w:name="_Toc00016"/>
      <w:r>
        <w:rPr/>
        <w:t xml:space="preserve">3.2 Composants logiciels</w:t>
      </w:r>
      <w:bookmarkEnd w:id="16"/>
    </w:p>
    <w:p>
      <w:pPr>
        <w:pStyle w:val="Caption"/>
        <w:keepNext/>
      </w:pPr>
      <w:r>
        <w:rPr/>
        <w:t xml:space="preserve">Tableau 5 – Composants logiciels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478"/>
        <w:gridCol w:w="3029"/>
        <w:gridCol w:w="4130"/>
      </w:tblGrid>
      <w:tr>
        <w:trPr>
          <w:tblHeader/>
          <w:cantSplit/>
        </w:trPr>
        <w:tc>
          <w:tcPr>
            <w:tcW w:w="2478" w:type="dxa"/>
            <w:shd w:val="clear" w:color="auto" w:fill="2A78D6"/>
          </w:tcPr>
          <w:p>
            <w:pPr>
              <w:pStyle w:val="TableText"/>
            </w:pPr>
            <w:r>
              <w:rPr>
                <w:b/>
                <w:color w:val="FFFFFF"/>
                <w:sz w:val="18"/>
                <w:szCs w:val="18"/>
              </w:rPr>
              <w:t xml:space="preserve">Composant</w:t>
            </w:r>
          </w:p>
        </w:tc>
        <w:tc>
          <w:tcPr>
            <w:tcW w:w="3029" w:type="dxa"/>
            <w:shd w:val="clear" w:color="auto" w:fill="2A78D6"/>
          </w:tcPr>
          <w:p>
            <w:pPr>
              <w:pStyle w:val="TableText"/>
            </w:pPr>
            <w:r>
              <w:rPr>
                <w:b/>
                <w:color w:val="FFFFFF"/>
                <w:sz w:val="18"/>
                <w:szCs w:val="18"/>
              </w:rPr>
              <w:t xml:space="preserve">Version / technologie</w:t>
            </w:r>
          </w:p>
        </w:tc>
        <w:tc>
          <w:tcPr>
            <w:tcW w:w="4130" w:type="dxa"/>
            <w:shd w:val="clear" w:color="auto" w:fill="2A78D6"/>
          </w:tcPr>
          <w:p>
            <w:pPr>
              <w:pStyle w:val="TableText"/>
            </w:pPr>
            <w:r>
              <w:rPr>
                <w:b/>
                <w:color w:val="FFFFFF"/>
                <w:sz w:val="18"/>
                <w:szCs w:val="18"/>
              </w:rPr>
              <w:t xml:space="preserve">Rôle</w:t>
            </w:r>
          </w:p>
        </w:tc>
      </w:tr>
      <w:tr>
        <w:trPr>
          <w:cantSplit/>
        </w:trPr>
        <w:tc>
          <w:tcPr>
            <w:tcW w:w="2478" w:type="dxa"/>
          </w:tcPr>
          <w:p>
            <w:pPr>
              <w:pStyle w:val="TableText"/>
            </w:pPr>
            <w:r>
              <w:rPr>
                <w:sz w:val="18"/>
                <w:szCs w:val="18"/>
              </w:rPr>
              <w:t xml:space="preserve">HeptagonesLM</w:t>
            </w:r>
          </w:p>
        </w:tc>
        <w:tc>
          <w:tcPr>
            <w:tcW w:w="3029" w:type="dxa"/>
          </w:tcPr>
          <w:p>
            <w:pPr>
              <w:pStyle w:val="TableText"/>
            </w:pPr>
            <w:r>
              <w:rPr>
                <w:sz w:val="18"/>
                <w:szCs w:val="18"/>
              </w:rPr>
              <w:t xml:space="preserve">26.3.0</w:t>
            </w:r>
          </w:p>
        </w:tc>
        <w:tc>
          <w:tcPr>
            <w:tcW w:w="4130" w:type="dxa"/>
          </w:tcPr>
          <w:p>
            <w:pPr>
              <w:pStyle w:val="TableText"/>
            </w:pPr>
            <w:r>
              <w:rPr>
                <w:sz w:val="18"/>
                <w:szCs w:val="18"/>
              </w:rPr>
              <w:t xml:space="preserve">Application : collecte, rapports, interface web (Python)</w:t>
            </w:r>
          </w:p>
        </w:tc>
      </w:tr>
      <w:tr>
        <w:trPr>
          <w:cantSplit/>
        </w:trPr>
        <w:tc>
          <w:tcPr>
            <w:tcW w:w="2478" w:type="dxa"/>
            <w:shd w:val="clear" w:color="auto" w:fill="F4F7FC"/>
          </w:tcPr>
          <w:p>
            <w:pPr>
              <w:pStyle w:val="TableText"/>
            </w:pPr>
            <w:r>
              <w:rPr>
                <w:sz w:val="18"/>
                <w:szCs w:val="18"/>
              </w:rPr>
              <w:t xml:space="preserve">HeptagonesLM.exe</w:t>
            </w:r>
          </w:p>
        </w:tc>
        <w:tc>
          <w:tcPr>
            <w:tcW w:w="3029" w:type="dxa"/>
            <w:shd w:val="clear" w:color="auto" w:fill="F4F7FC"/>
          </w:tcPr>
          <w:p>
            <w:pPr>
              <w:pStyle w:val="TableText"/>
            </w:pPr>
            <w:r>
              <w:rPr>
                <w:sz w:val="18"/>
                <w:szCs w:val="18"/>
              </w:rPr>
              <w:t xml:space="preserve">Exécutable autonome (PyInstaller)</w:t>
            </w:r>
          </w:p>
        </w:tc>
        <w:tc>
          <w:tcPr>
            <w:tcW w:w="4130" w:type="dxa"/>
            <w:shd w:val="clear" w:color="auto" w:fill="F4F7FC"/>
          </w:tcPr>
          <w:p>
            <w:pPr>
              <w:pStyle w:val="TableText"/>
            </w:pPr>
            <w:r>
              <w:rPr>
                <w:sz w:val="18"/>
                <w:szCs w:val="18"/>
              </w:rPr>
              <w:t xml:space="preserve">Installé par l'assistant dans C:\HeptagonesLM (non livré à part) ; utilisé par les tâches planifiées</w:t>
            </w:r>
          </w:p>
        </w:tc>
      </w:tr>
      <w:tr>
        <w:trPr>
          <w:cantSplit/>
        </w:trPr>
        <w:tc>
          <w:tcPr>
            <w:tcW w:w="2478" w:type="dxa"/>
          </w:tcPr>
          <w:p>
            <w:pPr>
              <w:pStyle w:val="TableText"/>
            </w:pPr>
            <w:r>
              <w:rPr>
                <w:sz w:val="18"/>
                <w:szCs w:val="18"/>
              </w:rPr>
              <w:t xml:space="preserve">HeptagonesLM-Setup.exe</w:t>
            </w:r>
          </w:p>
        </w:tc>
        <w:tc>
          <w:tcPr>
            <w:tcW w:w="3029" w:type="dxa"/>
          </w:tcPr>
          <w:p>
            <w:pPr>
              <w:pStyle w:val="TableText"/>
            </w:pPr>
            <w:r>
              <w:rPr>
                <w:sz w:val="18"/>
                <w:szCs w:val="18"/>
              </w:rPr>
              <w:t xml:space="preserve">Assistant d'installation (élévation administrateur)</w:t>
            </w:r>
          </w:p>
        </w:tc>
        <w:tc>
          <w:tcPr>
            <w:tcW w:w="4130" w:type="dxa"/>
          </w:tcPr>
          <w:p>
            <w:pPr>
              <w:pStyle w:val="TableText"/>
            </w:pPr>
            <w:r>
              <w:rPr>
                <w:sz w:val="18"/>
                <w:szCs w:val="18"/>
              </w:rPr>
              <w:t xml:space="preserve">Seul fichier livré : installation, configuration d'IIS et vérification ; HeptagonesLM.exe embarqué</w:t>
            </w:r>
          </w:p>
        </w:tc>
      </w:tr>
      <w:tr>
        <w:trPr>
          <w:cantSplit/>
        </w:trPr>
        <w:tc>
          <w:tcPr>
            <w:tcW w:w="2478" w:type="dxa"/>
            <w:shd w:val="clear" w:color="auto" w:fill="F4F7FC"/>
          </w:tcPr>
          <w:p>
            <w:pPr>
              <w:pStyle w:val="TableText"/>
            </w:pPr>
            <w:r>
              <w:rPr>
                <w:sz w:val="18"/>
                <w:szCs w:val="18"/>
              </w:rPr>
              <w:t xml:space="preserve">Python (option)</w:t>
            </w:r>
          </w:p>
        </w:tc>
        <w:tc>
          <w:tcPr>
            <w:tcW w:w="3029" w:type="dxa"/>
            <w:shd w:val="clear" w:color="auto" w:fill="F4F7FC"/>
          </w:tcPr>
          <w:p>
            <w:pPr>
              <w:pStyle w:val="TableText"/>
            </w:pPr>
            <w:r>
              <w:rPr>
                <w:sz w:val="18"/>
                <w:szCs w:val="18"/>
              </w:rPr>
              <w:t xml:space="preserve">3.10 ou supérieur, 64 bits</w:t>
            </w:r>
          </w:p>
        </w:tc>
        <w:tc>
          <w:tcPr>
            <w:tcW w:w="4130" w:type="dxa"/>
            <w:shd w:val="clear" w:color="auto" w:fill="F4F7FC"/>
          </w:tcPr>
          <w:p>
            <w:pPr>
              <w:pStyle w:val="TableText"/>
            </w:pPr>
            <w:r>
              <w:rPr>
                <w:sz w:val="18"/>
                <w:szCs w:val="18"/>
              </w:rPr>
              <w:t xml:space="preserve">Si l'exécutable n'est pas utilisé</w:t>
            </w:r>
          </w:p>
        </w:tc>
      </w:tr>
      <w:tr>
        <w:trPr>
          <w:cantSplit/>
        </w:trPr>
        <w:tc>
          <w:tcPr>
            <w:tcW w:w="2478" w:type="dxa"/>
          </w:tcPr>
          <w:p>
            <w:pPr>
              <w:pStyle w:val="TableText"/>
            </w:pPr>
            <w:r>
              <w:rPr>
                <w:sz w:val="18"/>
                <w:szCs w:val="18"/>
              </w:rPr>
              <w:t xml:space="preserve">Bibliothèques Python</w:t>
            </w:r>
          </w:p>
        </w:tc>
        <w:tc>
          <w:tcPr>
            <w:tcW w:w="3029" w:type="dxa"/>
          </w:tcPr>
          <w:p>
            <w:pPr>
              <w:pStyle w:val="TableText"/>
            </w:pPr>
            <w:r>
              <w:rPr>
                <w:sz w:val="18"/>
                <w:szCs w:val="18"/>
              </w:rPr>
              <w:t xml:space="preserve">pyodbc, PyYAML, openpyxl, ldap3</w:t>
            </w:r>
          </w:p>
        </w:tc>
        <w:tc>
          <w:tcPr>
            <w:tcW w:w="4130" w:type="dxa"/>
          </w:tcPr>
          <w:p>
            <w:pPr>
              <w:pStyle w:val="TableText"/>
            </w:pPr>
            <w:r>
              <w:rPr>
                <w:sz w:val="18"/>
                <w:szCs w:val="18"/>
              </w:rPr>
              <w:t xml:space="preserve">Base de données, configuration, Excel, annuaire</w:t>
            </w:r>
          </w:p>
        </w:tc>
      </w:tr>
      <w:tr>
        <w:trPr>
          <w:cantSplit/>
        </w:trPr>
        <w:tc>
          <w:tcPr>
            <w:tcW w:w="2478" w:type="dxa"/>
            <w:shd w:val="clear" w:color="auto" w:fill="F4F7FC"/>
          </w:tcPr>
          <w:p>
            <w:pPr>
              <w:pStyle w:val="TableText"/>
            </w:pPr>
            <w:r>
              <w:rPr>
                <w:sz w:val="18"/>
                <w:szCs w:val="18"/>
              </w:rPr>
              <w:t xml:space="preserve">lmutil.exe</w:t>
            </w:r>
          </w:p>
        </w:tc>
        <w:tc>
          <w:tcPr>
            <w:tcW w:w="3029" w:type="dxa"/>
            <w:shd w:val="clear" w:color="auto" w:fill="F4F7FC"/>
          </w:tcPr>
          <w:p>
            <w:pPr>
              <w:pStyle w:val="TableText"/>
            </w:pPr>
            <w:r>
              <w:rPr>
                <w:sz w:val="18"/>
                <w:szCs w:val="18"/>
              </w:rPr>
              <w:t xml:space="preserve">Fourni avec FlexLM (11.x)</w:t>
            </w:r>
          </w:p>
        </w:tc>
        <w:tc>
          <w:tcPr>
            <w:tcW w:w="4130" w:type="dxa"/>
            <w:shd w:val="clear" w:color="auto" w:fill="F4F7FC"/>
          </w:tcPr>
          <w:p>
            <w:pPr>
              <w:pStyle w:val="TableText"/>
            </w:pPr>
            <w:r>
              <w:rPr>
                <w:sz w:val="18"/>
                <w:szCs w:val="18"/>
              </w:rPr>
              <w:t xml:space="preserve">Interrogation des serveurs de licences FlexLM</w:t>
            </w:r>
          </w:p>
        </w:tc>
      </w:tr>
      <w:tr>
        <w:trPr>
          <w:cantSplit/>
        </w:trPr>
        <w:tc>
          <w:tcPr>
            <w:tcW w:w="2478" w:type="dxa"/>
          </w:tcPr>
          <w:p>
            <w:pPr>
              <w:pStyle w:val="TableText"/>
            </w:pPr>
            <w:r>
              <w:rPr>
                <w:sz w:val="18"/>
                <w:szCs w:val="18"/>
              </w:rPr>
              <w:t xml:space="preserve">rlmutil.exe (option)</w:t>
            </w:r>
          </w:p>
        </w:tc>
        <w:tc>
          <w:tcPr>
            <w:tcW w:w="3029" w:type="dxa"/>
          </w:tcPr>
          <w:p>
            <w:pPr>
              <w:pStyle w:val="TableText"/>
            </w:pPr>
            <w:r>
              <w:rPr>
                <w:sz w:val="18"/>
                <w:szCs w:val="18"/>
              </w:rPr>
              <w:t xml:space="preserve">Fourni avec RLM (12 ou supérieur)</w:t>
            </w:r>
          </w:p>
        </w:tc>
        <w:tc>
          <w:tcPr>
            <w:tcW w:w="4130" w:type="dxa"/>
          </w:tcPr>
          <w:p>
            <w:pPr>
              <w:pStyle w:val="TableText"/>
            </w:pPr>
            <w:r>
              <w:rPr>
                <w:sz w:val="18"/>
                <w:szCs w:val="18"/>
              </w:rPr>
              <w:t xml:space="preserve">Interrogation des serveurs de licences RLM</w:t>
            </w:r>
          </w:p>
        </w:tc>
      </w:tr>
      <w:tr>
        <w:trPr>
          <w:cantSplit/>
        </w:trPr>
        <w:tc>
          <w:tcPr>
            <w:tcW w:w="2478" w:type="dxa"/>
            <w:shd w:val="clear" w:color="auto" w:fill="F4F7FC"/>
          </w:tcPr>
          <w:p>
            <w:pPr>
              <w:pStyle w:val="TableText"/>
            </w:pPr>
            <w:r>
              <w:rPr>
                <w:sz w:val="18"/>
                <w:szCs w:val="18"/>
              </w:rPr>
              <w:t xml:space="preserve">ODBC Driver for SQL Server</w:t>
            </w:r>
          </w:p>
        </w:tc>
        <w:tc>
          <w:tcPr>
            <w:tcW w:w="3029" w:type="dxa"/>
            <w:shd w:val="clear" w:color="auto" w:fill="F4F7FC"/>
          </w:tcPr>
          <w:p>
            <w:pPr>
              <w:pStyle w:val="TableText"/>
            </w:pPr>
            <w:r>
              <w:rPr>
                <w:sz w:val="18"/>
                <w:szCs w:val="18"/>
              </w:rPr>
              <w:t xml:space="preserve">18</w:t>
            </w:r>
          </w:p>
        </w:tc>
        <w:tc>
          <w:tcPr>
            <w:tcW w:w="4130" w:type="dxa"/>
            <w:shd w:val="clear" w:color="auto" w:fill="F4F7FC"/>
          </w:tcPr>
          <w:p>
            <w:pPr>
              <w:pStyle w:val="TableText"/>
            </w:pPr>
            <w:r>
              <w:rPr>
                <w:sz w:val="18"/>
                <w:szCs w:val="18"/>
              </w:rPr>
              <w:t xml:space="preserve">Connexion à la base</w:t>
            </w:r>
          </w:p>
        </w:tc>
      </w:tr>
      <w:tr>
        <w:trPr>
          <w:cantSplit/>
        </w:trPr>
        <w:tc>
          <w:tcPr>
            <w:tcW w:w="2478" w:type="dxa"/>
          </w:tcPr>
          <w:p>
            <w:pPr>
              <w:pStyle w:val="TableText"/>
            </w:pPr>
            <w:r>
              <w:rPr>
                <w:sz w:val="18"/>
                <w:szCs w:val="18"/>
              </w:rPr>
              <w:t xml:space="preserve">SQL Server</w:t>
            </w:r>
          </w:p>
        </w:tc>
        <w:tc>
          <w:tcPr>
            <w:tcW w:w="3029" w:type="dxa"/>
          </w:tcPr>
          <w:p>
            <w:pPr>
              <w:pStyle w:val="TableText"/>
            </w:pPr>
            <w:r>
              <w:rPr>
                <w:sz w:val="18"/>
                <w:szCs w:val="18"/>
              </w:rPr>
              <w:t xml:space="preserve">2016 ou supérieur (validé 2022)</w:t>
            </w:r>
          </w:p>
        </w:tc>
        <w:tc>
          <w:tcPr>
            <w:tcW w:w="4130" w:type="dxa"/>
          </w:tcPr>
          <w:p>
            <w:pPr>
              <w:pStyle w:val="TableText"/>
            </w:pPr>
            <w:r>
              <w:rPr>
                <w:sz w:val="18"/>
                <w:szCs w:val="18"/>
              </w:rPr>
              <w:t xml:space="preserve">Stockage de l'historique</w:t>
            </w:r>
          </w:p>
        </w:tc>
      </w:tr>
      <w:tr>
        <w:trPr>
          <w:cantSplit/>
        </w:trPr>
        <w:tc>
          <w:tcPr>
            <w:tcW w:w="2478" w:type="dxa"/>
            <w:shd w:val="clear" w:color="auto" w:fill="F4F7FC"/>
          </w:tcPr>
          <w:p>
            <w:pPr>
              <w:pStyle w:val="TableText"/>
            </w:pPr>
            <w:r>
              <w:rPr>
                <w:sz w:val="18"/>
                <w:szCs w:val="18"/>
              </w:rPr>
              <w:t xml:space="preserve">Planificateur de tâches</w:t>
            </w:r>
          </w:p>
        </w:tc>
        <w:tc>
          <w:tcPr>
            <w:tcW w:w="3029" w:type="dxa"/>
            <w:shd w:val="clear" w:color="auto" w:fill="F4F7FC"/>
          </w:tcPr>
          <w:p>
            <w:pPr>
              <w:pStyle w:val="TableText"/>
            </w:pPr>
            <w:r>
              <w:rPr>
                <w:sz w:val="18"/>
                <w:szCs w:val="18"/>
              </w:rPr>
              <w:t xml:space="preserve">Windows Server 2016 ou supérieur</w:t>
            </w:r>
          </w:p>
        </w:tc>
        <w:tc>
          <w:tcPr>
            <w:tcW w:w="4130" w:type="dxa"/>
            <w:shd w:val="clear" w:color="auto" w:fill="F4F7FC"/>
          </w:tcPr>
          <w:p>
            <w:pPr>
              <w:pStyle w:val="TableText"/>
            </w:pPr>
            <w:r>
              <w:rPr>
                <w:sz w:val="18"/>
                <w:szCs w:val="18"/>
              </w:rPr>
              <w:t xml:space="preserve">Ordonnancement</w:t>
            </w:r>
          </w:p>
        </w:tc>
      </w:tr>
      <w:tr>
        <w:trPr>
          <w:cantSplit/>
        </w:trPr>
        <w:tc>
          <w:tcPr>
            <w:tcW w:w="2478" w:type="dxa"/>
          </w:tcPr>
          <w:p>
            <w:pPr>
              <w:pStyle w:val="TableText"/>
            </w:pPr>
            <w:r>
              <w:rPr>
                <w:sz w:val="18"/>
                <w:szCs w:val="18"/>
              </w:rPr>
              <w:t xml:space="preserve">Navigateur</w:t>
            </w:r>
          </w:p>
        </w:tc>
        <w:tc>
          <w:tcPr>
            <w:tcW w:w="3029" w:type="dxa"/>
          </w:tcPr>
          <w:p>
            <w:pPr>
              <w:pStyle w:val="TableText"/>
            </w:pPr>
            <w:r>
              <w:rPr>
                <w:sz w:val="18"/>
                <w:szCs w:val="18"/>
              </w:rPr>
              <w:t xml:space="preserve">Edge, Chrome, Firefox récents</w:t>
            </w:r>
          </w:p>
        </w:tc>
        <w:tc>
          <w:tcPr>
            <w:tcW w:w="4130" w:type="dxa"/>
          </w:tcPr>
          <w:p>
            <w:pPr>
              <w:pStyle w:val="TableText"/>
            </w:pPr>
            <w:r>
              <w:rPr>
                <w:sz w:val="18"/>
                <w:szCs w:val="18"/>
              </w:rPr>
              <w:t xml:space="preserve">Interface utilisateur</w:t>
            </w:r>
          </w:p>
        </w:tc>
      </w:tr>
    </w:tbl>
    <w:p>
      <w:pPr>
        <w:spacing w:after="80"/>
      </w:pPr>
    </w:p>
    <w:p>
      <w:pPr>
        <w:pStyle w:val="Heading2"/>
      </w:pPr>
      <w:bookmarkStart w:id="17" w:name="_Toc00017"/>
      <w:r>
        <w:rPr/>
        <w:t xml:space="preserve">3.3 Matrice des flux réseau</w:t>
      </w:r>
      <w:bookmarkEnd w:id="17"/>
    </w:p>
    <w:p>
      <w:pPr>
        <w:pStyle w:val="Caption"/>
        <w:keepNext/>
      </w:pPr>
      <w:r>
        <w:rPr/>
        <w:t xml:space="preserve">Tableau 6 – Matrice des flux</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573"/>
        <w:gridCol w:w="1835"/>
        <w:gridCol w:w="1835"/>
        <w:gridCol w:w="2409"/>
        <w:gridCol w:w="2983"/>
      </w:tblGrid>
      <w:tr>
        <w:trPr>
          <w:tblHeader/>
          <w:cantSplit/>
        </w:trPr>
        <w:tc>
          <w:tcPr>
            <w:tcW w:w="573" w:type="dxa"/>
            <w:shd w:val="clear" w:color="auto" w:fill="2A78D6"/>
          </w:tcPr>
          <w:p>
            <w:pPr>
              <w:pStyle w:val="TableText"/>
            </w:pPr>
            <w:r>
              <w:rPr>
                <w:b/>
                <w:color w:val="FFFFFF"/>
                <w:sz w:val="18"/>
                <w:szCs w:val="18"/>
              </w:rPr>
              <w:t xml:space="preserve">N°</w:t>
            </w:r>
          </w:p>
        </w:tc>
        <w:tc>
          <w:tcPr>
            <w:tcW w:w="1835" w:type="dxa"/>
            <w:shd w:val="clear" w:color="auto" w:fill="2A78D6"/>
          </w:tcPr>
          <w:p>
            <w:pPr>
              <w:pStyle w:val="TableText"/>
            </w:pPr>
            <w:r>
              <w:rPr>
                <w:b/>
                <w:color w:val="FFFFFF"/>
                <w:sz w:val="18"/>
                <w:szCs w:val="18"/>
              </w:rPr>
              <w:t xml:space="preserve">Source</w:t>
            </w:r>
          </w:p>
        </w:tc>
        <w:tc>
          <w:tcPr>
            <w:tcW w:w="1835" w:type="dxa"/>
            <w:shd w:val="clear" w:color="auto" w:fill="2A78D6"/>
          </w:tcPr>
          <w:p>
            <w:pPr>
              <w:pStyle w:val="TableText"/>
            </w:pPr>
            <w:r>
              <w:rPr>
                <w:b/>
                <w:color w:val="FFFFFF"/>
                <w:sz w:val="18"/>
                <w:szCs w:val="18"/>
              </w:rPr>
              <w:t xml:space="preserve">Destination</w:t>
            </w:r>
          </w:p>
        </w:tc>
        <w:tc>
          <w:tcPr>
            <w:tcW w:w="2409" w:type="dxa"/>
            <w:shd w:val="clear" w:color="auto" w:fill="2A78D6"/>
          </w:tcPr>
          <w:p>
            <w:pPr>
              <w:pStyle w:val="TableText"/>
            </w:pPr>
            <w:r>
              <w:rPr>
                <w:b/>
                <w:color w:val="FFFFFF"/>
                <w:sz w:val="18"/>
                <w:szCs w:val="18"/>
              </w:rPr>
              <w:t xml:space="preserve">Port / protocole</w:t>
            </w:r>
          </w:p>
        </w:tc>
        <w:tc>
          <w:tcPr>
            <w:tcW w:w="2983" w:type="dxa"/>
            <w:shd w:val="clear" w:color="auto" w:fill="2A78D6"/>
          </w:tcPr>
          <w:p>
            <w:pPr>
              <w:pStyle w:val="TableText"/>
            </w:pPr>
            <w:r>
              <w:rPr>
                <w:b/>
                <w:color w:val="FFFFFF"/>
                <w:sz w:val="18"/>
                <w:szCs w:val="18"/>
              </w:rPr>
              <w:t xml:space="preserve">Usage</w:t>
            </w:r>
          </w:p>
        </w:tc>
      </w:tr>
      <w:tr>
        <w:trPr>
          <w:cantSplit/>
        </w:trPr>
        <w:tc>
          <w:tcPr>
            <w:tcW w:w="573" w:type="dxa"/>
          </w:tcPr>
          <w:p>
            <w:pPr>
              <w:pStyle w:val="TableText"/>
            </w:pPr>
            <w:r>
              <w:rPr>
                <w:sz w:val="18"/>
                <w:szCs w:val="18"/>
              </w:rPr>
              <w:t xml:space="preserve">F1</w:t>
            </w:r>
          </w:p>
        </w:tc>
        <w:tc>
          <w:tcPr>
            <w:tcW w:w="1835" w:type="dxa"/>
          </w:tcPr>
          <w:p>
            <w:pPr>
              <w:pStyle w:val="TableText"/>
            </w:pPr>
            <w:r>
              <w:rPr>
                <w:sz w:val="18"/>
                <w:szCs w:val="18"/>
              </w:rPr>
              <w:t xml:space="preserve">Postes utilisateurs</w:t>
            </w:r>
          </w:p>
        </w:tc>
        <w:tc>
          <w:tcPr>
            <w:tcW w:w="1835" w:type="dxa"/>
          </w:tcPr>
          <w:p>
            <w:pPr>
              <w:pStyle w:val="TableText"/>
            </w:pPr>
            <w:r>
              <w:rPr>
                <w:sz w:val="18"/>
                <w:szCs w:val="18"/>
              </w:rPr>
              <w:t xml:space="preserve">Serveur HeptagonesLM</w:t>
            </w:r>
          </w:p>
        </w:tc>
        <w:tc>
          <w:tcPr>
            <w:tcW w:w="2409" w:type="dxa"/>
          </w:tcPr>
          <w:p>
            <w:pPr>
              <w:pStyle w:val="TableText"/>
            </w:pPr>
            <w:r>
              <w:rPr>
                <w:sz w:val="18"/>
                <w:szCs w:val="18"/>
              </w:rPr>
              <w:t xml:space="preserve">TCP 8765 (HTTPS)</w:t>
            </w:r>
          </w:p>
        </w:tc>
        <w:tc>
          <w:tcPr>
            <w:tcW w:w="2983" w:type="dxa"/>
          </w:tcPr>
          <w:p>
            <w:pPr>
              <w:pStyle w:val="TableText"/>
            </w:pPr>
            <w:r>
              <w:rPr>
                <w:sz w:val="18"/>
                <w:szCs w:val="18"/>
              </w:rPr>
              <w:t xml:space="preserve">Interface web (port configurable)</w:t>
            </w:r>
          </w:p>
        </w:tc>
      </w:tr>
      <w:tr>
        <w:trPr>
          <w:cantSplit/>
        </w:trPr>
        <w:tc>
          <w:tcPr>
            <w:tcW w:w="573" w:type="dxa"/>
            <w:shd w:val="clear" w:color="auto" w:fill="F4F7FC"/>
          </w:tcPr>
          <w:p>
            <w:pPr>
              <w:pStyle w:val="TableText"/>
            </w:pPr>
            <w:r>
              <w:rPr>
                <w:sz w:val="18"/>
                <w:szCs w:val="18"/>
              </w:rPr>
              <w:t xml:space="preserve">F2</w:t>
            </w:r>
          </w:p>
        </w:tc>
        <w:tc>
          <w:tcPr>
            <w:tcW w:w="1835" w:type="dxa"/>
            <w:shd w:val="clear" w:color="auto" w:fill="F4F7FC"/>
          </w:tcPr>
          <w:p>
            <w:pPr>
              <w:pStyle w:val="TableText"/>
            </w:pPr>
            <w:r>
              <w:rPr>
                <w:sz w:val="18"/>
                <w:szCs w:val="18"/>
              </w:rPr>
              <w:t xml:space="preserve">Serveur HeptagonesLM</w:t>
            </w:r>
          </w:p>
        </w:tc>
        <w:tc>
          <w:tcPr>
            <w:tcW w:w="1835" w:type="dxa"/>
            <w:shd w:val="clear" w:color="auto" w:fill="F4F7FC"/>
          </w:tcPr>
          <w:p>
            <w:pPr>
              <w:pStyle w:val="TableText"/>
            </w:pPr>
            <w:r>
              <w:rPr>
                <w:sz w:val="18"/>
                <w:szCs w:val="18"/>
              </w:rPr>
              <w:t xml:space="preserve">Serveurs de licences</w:t>
            </w:r>
          </w:p>
        </w:tc>
        <w:tc>
          <w:tcPr>
            <w:tcW w:w="2409" w:type="dxa"/>
            <w:shd w:val="clear" w:color="auto" w:fill="F4F7FC"/>
          </w:tcPr>
          <w:p>
            <w:pPr>
              <w:pStyle w:val="TableText"/>
            </w:pPr>
            <w:r>
              <w:rPr>
                <w:sz w:val="18"/>
                <w:szCs w:val="18"/>
              </w:rPr>
              <w:t xml:space="preserve">TCP port lmgrd (27000-27009, 1055…)</w:t>
            </w:r>
          </w:p>
        </w:tc>
        <w:tc>
          <w:tcPr>
            <w:tcW w:w="2983" w:type="dxa"/>
            <w:shd w:val="clear" w:color="auto" w:fill="F4F7FC"/>
          </w:tcPr>
          <w:p>
            <w:pPr>
              <w:pStyle w:val="TableText"/>
            </w:pPr>
            <w:r>
              <w:rPr>
                <w:sz w:val="18"/>
                <w:szCs w:val="18"/>
              </w:rPr>
              <w:t xml:space="preserve">Sondage lmstat</w:t>
            </w:r>
          </w:p>
        </w:tc>
      </w:tr>
      <w:tr>
        <w:trPr>
          <w:cantSplit/>
        </w:trPr>
        <w:tc>
          <w:tcPr>
            <w:tcW w:w="573" w:type="dxa"/>
          </w:tcPr>
          <w:p>
            <w:pPr>
              <w:pStyle w:val="TableText"/>
            </w:pPr>
            <w:r>
              <w:rPr>
                <w:sz w:val="18"/>
                <w:szCs w:val="18"/>
              </w:rPr>
              <w:t xml:space="preserve">F3</w:t>
            </w:r>
          </w:p>
        </w:tc>
        <w:tc>
          <w:tcPr>
            <w:tcW w:w="1835" w:type="dxa"/>
          </w:tcPr>
          <w:p>
            <w:pPr>
              <w:pStyle w:val="TableText"/>
            </w:pPr>
            <w:r>
              <w:rPr>
                <w:sz w:val="18"/>
                <w:szCs w:val="18"/>
              </w:rPr>
              <w:t xml:space="preserve">Serveur HeptagonesLM</w:t>
            </w:r>
          </w:p>
        </w:tc>
        <w:tc>
          <w:tcPr>
            <w:tcW w:w="1835" w:type="dxa"/>
          </w:tcPr>
          <w:p>
            <w:pPr>
              <w:pStyle w:val="TableText"/>
            </w:pPr>
            <w:r>
              <w:rPr>
                <w:sz w:val="18"/>
                <w:szCs w:val="18"/>
              </w:rPr>
              <w:t xml:space="preserve">Serveurs de licences</w:t>
            </w:r>
          </w:p>
        </w:tc>
        <w:tc>
          <w:tcPr>
            <w:tcW w:w="2409" w:type="dxa"/>
          </w:tcPr>
          <w:p>
            <w:pPr>
              <w:pStyle w:val="TableText"/>
            </w:pPr>
            <w:r>
              <w:rPr>
                <w:sz w:val="18"/>
                <w:szCs w:val="18"/>
              </w:rPr>
              <w:t xml:space="preserve">TCP ports des démons éditeurs</w:t>
            </w:r>
          </w:p>
        </w:tc>
        <w:tc>
          <w:tcPr>
            <w:tcW w:w="2983" w:type="dxa"/>
          </w:tcPr>
          <w:p>
            <w:pPr>
              <w:pStyle w:val="TableText"/>
            </w:pPr>
            <w:r>
              <w:rPr>
                <w:sz w:val="18"/>
                <w:szCs w:val="18"/>
              </w:rPr>
              <w:t xml:space="preserve">Sondage lmstat (fixer le port du démon dans le fichier de licence)</w:t>
            </w:r>
          </w:p>
        </w:tc>
      </w:tr>
      <w:tr>
        <w:trPr>
          <w:cantSplit/>
        </w:trPr>
        <w:tc>
          <w:tcPr>
            <w:tcW w:w="573" w:type="dxa"/>
            <w:shd w:val="clear" w:color="auto" w:fill="F4F7FC"/>
          </w:tcPr>
          <w:p>
            <w:pPr>
              <w:pStyle w:val="TableText"/>
            </w:pPr>
            <w:r>
              <w:rPr>
                <w:sz w:val="18"/>
                <w:szCs w:val="18"/>
              </w:rPr>
              <w:t xml:space="preserve">F4</w:t>
            </w:r>
          </w:p>
        </w:tc>
        <w:tc>
          <w:tcPr>
            <w:tcW w:w="1835" w:type="dxa"/>
            <w:shd w:val="clear" w:color="auto" w:fill="F4F7FC"/>
          </w:tcPr>
          <w:p>
            <w:pPr>
              <w:pStyle w:val="TableText"/>
            </w:pPr>
            <w:r>
              <w:rPr>
                <w:sz w:val="18"/>
                <w:szCs w:val="18"/>
              </w:rPr>
              <w:t xml:space="preserve">Serveur HeptagonesLM</w:t>
            </w:r>
          </w:p>
        </w:tc>
        <w:tc>
          <w:tcPr>
            <w:tcW w:w="1835" w:type="dxa"/>
            <w:shd w:val="clear" w:color="auto" w:fill="F4F7FC"/>
          </w:tcPr>
          <w:p>
            <w:pPr>
              <w:pStyle w:val="TableText"/>
            </w:pPr>
            <w:r>
              <w:rPr>
                <w:sz w:val="18"/>
                <w:szCs w:val="18"/>
              </w:rPr>
              <w:t xml:space="preserve">Serveurs de licences</w:t>
            </w:r>
          </w:p>
        </w:tc>
        <w:tc>
          <w:tcPr>
            <w:tcW w:w="2409" w:type="dxa"/>
            <w:shd w:val="clear" w:color="auto" w:fill="F4F7FC"/>
          </w:tcPr>
          <w:p>
            <w:pPr>
              <w:pStyle w:val="TableText"/>
            </w:pPr>
            <w:r>
              <w:rPr>
                <w:sz w:val="18"/>
                <w:szCs w:val="18"/>
              </w:rPr>
              <w:t xml:space="preserve">TCP 445 (SMB)</w:t>
            </w:r>
          </w:p>
        </w:tc>
        <w:tc>
          <w:tcPr>
            <w:tcW w:w="2983" w:type="dxa"/>
            <w:shd w:val="clear" w:color="auto" w:fill="F4F7FC"/>
          </w:tcPr>
          <w:p>
            <w:pPr>
              <w:pStyle w:val="TableText"/>
            </w:pPr>
            <w:r>
              <w:rPr>
                <w:sz w:val="18"/>
                <w:szCs w:val="18"/>
              </w:rPr>
              <w:t xml:space="preserve">Lecture des logs debug (si collecteur log)</w:t>
            </w:r>
          </w:p>
        </w:tc>
      </w:tr>
      <w:tr>
        <w:trPr>
          <w:cantSplit/>
        </w:trPr>
        <w:tc>
          <w:tcPr>
            <w:tcW w:w="573" w:type="dxa"/>
          </w:tcPr>
          <w:p>
            <w:pPr>
              <w:pStyle w:val="TableText"/>
            </w:pPr>
            <w:r>
              <w:rPr>
                <w:sz w:val="18"/>
                <w:szCs w:val="18"/>
              </w:rPr>
              <w:t xml:space="preserve">F5</w:t>
            </w:r>
          </w:p>
        </w:tc>
        <w:tc>
          <w:tcPr>
            <w:tcW w:w="1835" w:type="dxa"/>
          </w:tcPr>
          <w:p>
            <w:pPr>
              <w:pStyle w:val="TableText"/>
            </w:pPr>
            <w:r>
              <w:rPr>
                <w:sz w:val="18"/>
                <w:szCs w:val="18"/>
              </w:rPr>
              <w:t xml:space="preserve">Serveur HeptagonesLM</w:t>
            </w:r>
          </w:p>
        </w:tc>
        <w:tc>
          <w:tcPr>
            <w:tcW w:w="1835" w:type="dxa"/>
          </w:tcPr>
          <w:p>
            <w:pPr>
              <w:pStyle w:val="TableText"/>
            </w:pPr>
            <w:r>
              <w:rPr>
                <w:sz w:val="18"/>
                <w:szCs w:val="18"/>
              </w:rPr>
              <w:t xml:space="preserve">SQL Server</w:t>
            </w:r>
          </w:p>
        </w:tc>
        <w:tc>
          <w:tcPr>
            <w:tcW w:w="2409" w:type="dxa"/>
          </w:tcPr>
          <w:p>
            <w:pPr>
              <w:pStyle w:val="TableText"/>
            </w:pPr>
            <w:r>
              <w:rPr>
                <w:sz w:val="18"/>
                <w:szCs w:val="18"/>
              </w:rPr>
              <w:t xml:space="preserve">TCP 1433 (TDS chiffré)</w:t>
            </w:r>
          </w:p>
        </w:tc>
        <w:tc>
          <w:tcPr>
            <w:tcW w:w="2983" w:type="dxa"/>
          </w:tcPr>
          <w:p>
            <w:pPr>
              <w:pStyle w:val="TableText"/>
            </w:pPr>
            <w:r>
              <w:rPr>
                <w:sz w:val="18"/>
                <w:szCs w:val="18"/>
              </w:rPr>
              <w:t xml:space="preserve">Base HeptagonesLM</w:t>
            </w:r>
          </w:p>
        </w:tc>
      </w:tr>
      <w:tr>
        <w:trPr>
          <w:cantSplit/>
        </w:trPr>
        <w:tc>
          <w:tcPr>
            <w:tcW w:w="573" w:type="dxa"/>
            <w:shd w:val="clear" w:color="auto" w:fill="F4F7FC"/>
          </w:tcPr>
          <w:p>
            <w:pPr>
              <w:pStyle w:val="TableText"/>
            </w:pPr>
            <w:r>
              <w:rPr>
                <w:sz w:val="18"/>
                <w:szCs w:val="18"/>
              </w:rPr>
              <w:t xml:space="preserve">F6</w:t>
            </w:r>
          </w:p>
        </w:tc>
        <w:tc>
          <w:tcPr>
            <w:tcW w:w="1835" w:type="dxa"/>
            <w:shd w:val="clear" w:color="auto" w:fill="F4F7FC"/>
          </w:tcPr>
          <w:p>
            <w:pPr>
              <w:pStyle w:val="TableText"/>
            </w:pPr>
            <w:r>
              <w:rPr>
                <w:sz w:val="18"/>
                <w:szCs w:val="18"/>
              </w:rPr>
              <w:t xml:space="preserve">Serveur HeptagonesLM</w:t>
            </w:r>
          </w:p>
        </w:tc>
        <w:tc>
          <w:tcPr>
            <w:tcW w:w="1835" w:type="dxa"/>
            <w:shd w:val="clear" w:color="auto" w:fill="F4F7FC"/>
          </w:tcPr>
          <w:p>
            <w:pPr>
              <w:pStyle w:val="TableText"/>
            </w:pPr>
            <w:r>
              <w:rPr>
                <w:sz w:val="18"/>
                <w:szCs w:val="18"/>
              </w:rPr>
              <w:t xml:space="preserve">Contrôleurs de domaine</w:t>
            </w:r>
          </w:p>
        </w:tc>
        <w:tc>
          <w:tcPr>
            <w:tcW w:w="2409" w:type="dxa"/>
            <w:shd w:val="clear" w:color="auto" w:fill="F4F7FC"/>
          </w:tcPr>
          <w:p>
            <w:pPr>
              <w:pStyle w:val="TableText"/>
            </w:pPr>
            <w:r>
              <w:rPr>
                <w:sz w:val="18"/>
                <w:szCs w:val="18"/>
              </w:rPr>
              <w:t xml:space="preserve">TCP 636 (LDAPS) ou 389 + STARTTLS</w:t>
            </w:r>
          </w:p>
        </w:tc>
        <w:tc>
          <w:tcPr>
            <w:tcW w:w="2983" w:type="dxa"/>
            <w:shd w:val="clear" w:color="auto" w:fill="F4F7FC"/>
          </w:tcPr>
          <w:p>
            <w:pPr>
              <w:pStyle w:val="TableText"/>
            </w:pPr>
            <w:r>
              <w:rPr>
                <w:sz w:val="18"/>
                <w:szCs w:val="18"/>
              </w:rPr>
              <w:t xml:space="preserve">Connexion des utilisateurs (mode ldap)</w:t>
            </w:r>
          </w:p>
        </w:tc>
      </w:tr>
      <w:tr>
        <w:trPr>
          <w:cantSplit/>
        </w:trPr>
        <w:tc>
          <w:tcPr>
            <w:tcW w:w="573" w:type="dxa"/>
          </w:tcPr>
          <w:p>
            <w:pPr>
              <w:pStyle w:val="TableText"/>
            </w:pPr>
            <w:r>
              <w:rPr>
                <w:sz w:val="18"/>
                <w:szCs w:val="18"/>
              </w:rPr>
              <w:t xml:space="preserve">F7</w:t>
            </w:r>
          </w:p>
        </w:tc>
        <w:tc>
          <w:tcPr>
            <w:tcW w:w="1835" w:type="dxa"/>
          </w:tcPr>
          <w:p>
            <w:pPr>
              <w:pStyle w:val="TableText"/>
            </w:pPr>
            <w:r>
              <w:rPr>
                <w:sz w:val="18"/>
                <w:szCs w:val="18"/>
              </w:rPr>
              <w:t xml:space="preserve">Serveur HeptagonesLM</w:t>
            </w:r>
          </w:p>
        </w:tc>
        <w:tc>
          <w:tcPr>
            <w:tcW w:w="1835" w:type="dxa"/>
          </w:tcPr>
          <w:p>
            <w:pPr>
              <w:pStyle w:val="TableText"/>
            </w:pPr>
            <w:r>
              <w:rPr>
                <w:sz w:val="18"/>
                <w:szCs w:val="18"/>
              </w:rPr>
              <w:t xml:space="preserve">Relais SMTP</w:t>
            </w:r>
          </w:p>
        </w:tc>
        <w:tc>
          <w:tcPr>
            <w:tcW w:w="2409" w:type="dxa"/>
          </w:tcPr>
          <w:p>
            <w:pPr>
              <w:pStyle w:val="TableText"/>
            </w:pPr>
            <w:r>
              <w:rPr>
                <w:sz w:val="18"/>
                <w:szCs w:val="18"/>
              </w:rPr>
              <w:t xml:space="preserve">TCP 25 / 587 / 465</w:t>
            </w:r>
          </w:p>
        </w:tc>
        <w:tc>
          <w:tcPr>
            <w:tcW w:w="2983" w:type="dxa"/>
          </w:tcPr>
          <w:p>
            <w:pPr>
              <w:pStyle w:val="TableText"/>
            </w:pPr>
            <w:r>
              <w:rPr>
                <w:sz w:val="18"/>
                <w:szCs w:val="18"/>
              </w:rPr>
              <w:t xml:space="preserve">Envoi des rapports par e-mail</w:t>
            </w:r>
          </w:p>
        </w:tc>
      </w:tr>
      <w:tr>
        <w:trPr>
          <w:cantSplit/>
        </w:trPr>
        <w:tc>
          <w:tcPr>
            <w:tcW w:w="573" w:type="dxa"/>
            <w:shd w:val="clear" w:color="auto" w:fill="F4F7FC"/>
          </w:tcPr>
          <w:p>
            <w:pPr>
              <w:pStyle w:val="TableText"/>
            </w:pPr>
            <w:r>
              <w:rPr>
                <w:sz w:val="18"/>
                <w:szCs w:val="18"/>
              </w:rPr>
              <w:t xml:space="preserve">F8</w:t>
            </w:r>
          </w:p>
        </w:tc>
        <w:tc>
          <w:tcPr>
            <w:tcW w:w="1835" w:type="dxa"/>
            <w:shd w:val="clear" w:color="auto" w:fill="F4F7FC"/>
          </w:tcPr>
          <w:p>
            <w:pPr>
              <w:pStyle w:val="TableText"/>
            </w:pPr>
            <w:r>
              <w:rPr>
                <w:sz w:val="18"/>
                <w:szCs w:val="18"/>
              </w:rPr>
              <w:t xml:space="preserve">IIS (option)</w:t>
            </w:r>
          </w:p>
        </w:tc>
        <w:tc>
          <w:tcPr>
            <w:tcW w:w="1835" w:type="dxa"/>
            <w:shd w:val="clear" w:color="auto" w:fill="F4F7FC"/>
          </w:tcPr>
          <w:p>
            <w:pPr>
              <w:pStyle w:val="TableText"/>
            </w:pPr>
            <w:r>
              <w:rPr>
                <w:sz w:val="18"/>
                <w:szCs w:val="18"/>
              </w:rPr>
              <w:t xml:space="preserve">Serveur HeptagonesLM</w:t>
            </w:r>
          </w:p>
        </w:tc>
        <w:tc>
          <w:tcPr>
            <w:tcW w:w="2409" w:type="dxa"/>
            <w:shd w:val="clear" w:color="auto" w:fill="F4F7FC"/>
          </w:tcPr>
          <w:p>
            <w:pPr>
              <w:pStyle w:val="TableText"/>
            </w:pPr>
            <w:r>
              <w:rPr>
                <w:sz w:val="18"/>
                <w:szCs w:val="18"/>
              </w:rPr>
              <w:t xml:space="preserve">TCP 8765 local</w:t>
            </w:r>
          </w:p>
        </w:tc>
        <w:tc>
          <w:tcPr>
            <w:tcW w:w="2983" w:type="dxa"/>
            <w:shd w:val="clear" w:color="auto" w:fill="F4F7FC"/>
          </w:tcPr>
          <w:p>
            <w:pPr>
              <w:pStyle w:val="TableText"/>
            </w:pPr>
            <w:r>
              <w:rPr>
                <w:sz w:val="18"/>
                <w:szCs w:val="18"/>
              </w:rPr>
              <w:t xml:space="preserve">Mode header (SSO) : IIS en frontal</w:t>
            </w:r>
          </w:p>
        </w:tc>
      </w:tr>
    </w:tbl>
    <w:p>
      <w:pPr>
        <w:spacing w:after="80"/>
      </w:pPr>
    </w:p>
    <w:tbl>
      <w:tblPr>
        <w:tblW w:w="9638" w:type="dxa"/>
        <w:tblInd w:w="0" w:type="dxa"/>
        <w:tblBorders>
          <w:left w:val="single" w:sz="24" w:color="E0A100"/>
        </w:tblBorders>
        <w:tblCellMar>
          <w:top w:w="100" w:type="dxa"/>
          <w:left w:w="180" w:type="dxa"/>
          <w:bottom w:w="100" w:type="dxa"/>
          <w:right w:w="180" w:type="dxa"/>
        </w:tblCellMar>
      </w:tblPr>
      <w:tblGrid>
        <w:gridCol w:w="9638"/>
      </w:tblGrid>
      <w:tr>
        <w:tc>
          <w:tcPr>
            <w:tcW w:w="9638" w:type="dxa"/>
            <w:shd w:val="clear" w:color="auto" w:fill="FFF8E6"/>
          </w:tcPr>
          <w:p>
            <w:pPr>
              <w:spacing w:before="0" w:after="0"/>
            </w:pPr>
            <w:r>
              <w:rPr>
                <w:b/>
                <w:color w:val="E0A100"/>
              </w:rPr>
              <w:t xml:space="preserve">Attention — </w:t>
            </w:r>
            <w:r>
              <w:rPr/>
              <w:t xml:space="preserve">Les démons éditeurs utilisent par défaut un port dynamique. Pour ouvrir le pare-feu de façon précise, fixer ce port dans le fichier de licence (ligne </w:t>
            </w:r>
            <w:r>
              <w:rPr>
                <w:rFonts w:ascii="Consolas" w:hAnsi="Consolas" w:cs="Consolas"/>
                <w:color w:val="1C5CAB"/>
                <w:sz w:val="18"/>
                <w:szCs w:val="18"/>
                <w:shd w:val="clear" w:color="auto" w:fill="EEF3FA"/>
              </w:rPr>
              <w:t xml:space="preserve">VENDOR adskflex port=2080</w:t>
            </w:r>
            <w:r>
              <w:rPr/>
              <w:t xml:space="preserve">, par exemple).</w:t>
            </w:r>
          </w:p>
        </w:tc>
      </w:tr>
    </w:tbl>
    <w:p>
      <w:pPr>
        <w:spacing w:after="60"/>
      </w:pPr>
    </w:p>
    <w:p>
      <w:pPr>
        <w:pStyle w:val="Heading2"/>
      </w:pPr>
      <w:bookmarkStart w:id="18" w:name="_Toc00018"/>
      <w:r>
        <w:rPr/>
        <w:t xml:space="preserve">3.4 Flux de collecte</w:t>
      </w:r>
      <w:bookmarkEnd w:id="18"/>
    </w:p>
    <w:p>
      <w:pPr/>
      <w:r>
        <w:rPr/>
        <w:t xml:space="preserve">Chaque exécution de </w:t>
      </w:r>
      <w:r>
        <w:rPr>
          <w:rFonts w:ascii="Consolas" w:hAnsi="Consolas" w:cs="Consolas"/>
          <w:color w:val="1C5CAB"/>
          <w:sz w:val="18"/>
          <w:szCs w:val="18"/>
          <w:shd w:val="clear" w:color="auto" w:fill="EEF3FA"/>
        </w:rPr>
        <w:t xml:space="preserve">heptagoneslm collect</w:t>
      </w:r>
      <w:r>
        <w:rPr/>
        <w:t xml:space="preserve"> traite les serveurs l'un après l'autre, avec une transaction par serveur et par collecteur. Deux sources sont possibles et peuvent être combinées :</w:t>
      </w:r>
    </w:p>
    <w:p>
      <w:pPr>
        <w:pStyle w:val="Figure"/>
        <w:keepNext/>
      </w:pPr>
      <w:r>
        <w:drawing>
          <wp:inline distT="0" distB="0" distL="0" distR="0">
            <wp:extent cx="6120000" cy="1879714"/>
            <wp:docPr id="4" name="Image 4" descr="Flux de collecte"/>
            <wp:cNvGraphicFramePr>
              <a:graphicFrameLocks noChangeAspect="1"/>
            </wp:cNvGraphicFramePr>
            <a:graphic>
              <a:graphicData uri="http://schemas.openxmlformats.org/drawingml/2006/picture">
                <pic:pic>
                  <pic:nvPicPr>
                    <pic:cNvPr id="4" name="diag_flux_collecte.png"/>
                    <pic:cNvPicPr/>
                  </pic:nvPicPr>
                  <pic:blipFill>
                    <a:blip r:embed="rIdImg4"/>
                    <a:stretch>
                      <a:fillRect/>
                    </a:stretch>
                  </pic:blipFill>
                  <pic:spPr>
                    <a:xfrm>
                      <a:off x="0" y="0"/>
                      <a:ext cx="6120000" cy="1879714"/>
                    </a:xfrm>
                    <a:prstGeom prst="rect">
                      <a:avLst/>
                    </a:prstGeom>
                    <a:ln w="9525">
                      <a:solidFill>
                        <a:srgbClr val="D9D8D2"/>
                      </a:solidFill>
                    </a:ln>
                  </pic:spPr>
                </pic:pic>
              </a:graphicData>
            </a:graphic>
          </wp:inline>
        </w:drawing>
      </w:r>
    </w:p>
    <w:p>
      <w:pPr>
        <w:pStyle w:val="Caption"/>
      </w:pPr>
      <w:bookmarkStart w:id="19" w:name="_Fig00019"/>
      <w:r>
        <w:rPr/>
        <w:t xml:space="preserve">Figure </w:t>
      </w:r>
      <w:fldSimple w:instr=" SEQ Figure \* ARABIC ">
        <w:r>
          <w:t>3</w:t>
        </w:r>
      </w:fldSimple>
      <w:r>
        <w:rPr/>
        <w:t xml:space="preserve"> – Flux de collecte</w:t>
      </w:r>
      <w:bookmarkEnd w:id="19"/>
    </w:p>
    <w:p>
      <w:pPr>
        <w:pStyle w:val="Caption"/>
        <w:keepNext/>
      </w:pPr>
      <w:r>
        <w:rPr/>
        <w:t xml:space="preserve">Tableau 7 – Comparaison des deux sources de collecte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267"/>
        <w:gridCol w:w="3685"/>
        <w:gridCol w:w="3685"/>
      </w:tblGrid>
      <w:tr>
        <w:trPr>
          <w:tblHeader/>
          <w:cantSplit/>
        </w:trPr>
        <w:tc>
          <w:tcPr>
            <w:tcW w:w="2267" w:type="dxa"/>
            <w:shd w:val="clear" w:color="auto" w:fill="2A78D6"/>
          </w:tcPr>
          <w:p>
            <w:pPr>
              <w:pStyle w:val="TableText"/>
            </w:pPr>
          </w:p>
        </w:tc>
        <w:tc>
          <w:tcPr>
            <w:tcW w:w="3685" w:type="dxa"/>
            <w:shd w:val="clear" w:color="auto" w:fill="2A78D6"/>
          </w:tcPr>
          <w:p>
            <w:pPr>
              <w:pStyle w:val="TableText"/>
            </w:pPr>
            <w:r>
              <w:rPr>
                <w:b/>
                <w:color w:val="FFFFFF"/>
                <w:sz w:val="18"/>
                <w:szCs w:val="18"/>
              </w:rPr>
              <w:t xml:space="preserve">Collecteur lmstat (sondage)</w:t>
            </w:r>
          </w:p>
        </w:tc>
        <w:tc>
          <w:tcPr>
            <w:tcW w:w="3685" w:type="dxa"/>
            <w:shd w:val="clear" w:color="auto" w:fill="2A78D6"/>
          </w:tcPr>
          <w:p>
            <w:pPr>
              <w:pStyle w:val="TableText"/>
            </w:pPr>
            <w:r>
              <w:rPr>
                <w:b/>
                <w:color w:val="FFFFFF"/>
                <w:sz w:val="18"/>
                <w:szCs w:val="18"/>
              </w:rPr>
              <w:t xml:space="preserve">Collecteur log (fichier debug)</w:t>
            </w:r>
          </w:p>
        </w:tc>
      </w:tr>
      <w:tr>
        <w:trPr>
          <w:cantSplit/>
        </w:trPr>
        <w:tc>
          <w:tcPr>
            <w:tcW w:w="2267" w:type="dxa"/>
          </w:tcPr>
          <w:p>
            <w:pPr>
              <w:pStyle w:val="TableText"/>
            </w:pPr>
            <w:r>
              <w:rPr>
                <w:sz w:val="18"/>
                <w:szCs w:val="18"/>
              </w:rPr>
              <w:t xml:space="preserve">Accès requis</w:t>
            </w:r>
          </w:p>
        </w:tc>
        <w:tc>
          <w:tcPr>
            <w:tcW w:w="3685" w:type="dxa"/>
          </w:tcPr>
          <w:p>
            <w:pPr>
              <w:pStyle w:val="TableText"/>
            </w:pPr>
            <w:r>
              <w:rPr>
                <w:sz w:val="18"/>
                <w:szCs w:val="18"/>
              </w:rPr>
              <w:t xml:space="preserve">Réseau vers lmgrd + lmutil.exe</w:t>
            </w:r>
          </w:p>
        </w:tc>
        <w:tc>
          <w:tcPr>
            <w:tcW w:w="3685" w:type="dxa"/>
          </w:tcPr>
          <w:p>
            <w:pPr>
              <w:pStyle w:val="TableText"/>
            </w:pPr>
            <w:r>
              <w:rPr>
                <w:sz w:val="18"/>
                <w:szCs w:val="18"/>
              </w:rPr>
              <w:t xml:space="preserve">Lecture du fichier log (partage SMB)</w:t>
            </w:r>
          </w:p>
        </w:tc>
      </w:tr>
      <w:tr>
        <w:trPr>
          <w:cantSplit/>
        </w:trPr>
        <w:tc>
          <w:tcPr>
            <w:tcW w:w="2267" w:type="dxa"/>
            <w:shd w:val="clear" w:color="auto" w:fill="F4F7FC"/>
          </w:tcPr>
          <w:p>
            <w:pPr>
              <w:pStyle w:val="TableText"/>
            </w:pPr>
            <w:r>
              <w:rPr>
                <w:sz w:val="18"/>
                <w:szCs w:val="18"/>
              </w:rPr>
              <w:t xml:space="preserve">Jetons émis / utilisés</w:t>
            </w:r>
          </w:p>
        </w:tc>
        <w:tc>
          <w:tcPr>
            <w:tcW w:w="3685" w:type="dxa"/>
            <w:shd w:val="clear" w:color="auto" w:fill="F4F7FC"/>
          </w:tcPr>
          <w:p>
            <w:pPr>
              <w:pStyle w:val="TableText"/>
            </w:pPr>
            <w:r>
              <w:rPr>
                <w:sz w:val="18"/>
                <w:szCs w:val="18"/>
              </w:rPr>
              <w:t xml:space="preserve">Oui</w:t>
            </w:r>
          </w:p>
        </w:tc>
        <w:tc>
          <w:tcPr>
            <w:tcW w:w="3685" w:type="dxa"/>
            <w:shd w:val="clear" w:color="auto" w:fill="F4F7FC"/>
          </w:tcPr>
          <w:p>
            <w:pPr>
              <w:pStyle w:val="TableText"/>
            </w:pPr>
            <w:r>
              <w:rPr>
                <w:sz w:val="18"/>
                <w:szCs w:val="18"/>
              </w:rPr>
              <w:t xml:space="preserve">Non</w:t>
            </w:r>
          </w:p>
        </w:tc>
      </w:tr>
      <w:tr>
        <w:trPr>
          <w:cantSplit/>
        </w:trPr>
        <w:tc>
          <w:tcPr>
            <w:tcW w:w="2267" w:type="dxa"/>
          </w:tcPr>
          <w:p>
            <w:pPr>
              <w:pStyle w:val="TableText"/>
            </w:pPr>
            <w:r>
              <w:rPr>
                <w:sz w:val="18"/>
                <w:szCs w:val="18"/>
              </w:rPr>
              <w:t xml:space="preserve">Sessions</w:t>
            </w:r>
          </w:p>
        </w:tc>
        <w:tc>
          <w:tcPr>
            <w:tcW w:w="3685" w:type="dxa"/>
          </w:tcPr>
          <w:p>
            <w:pPr>
              <w:pStyle w:val="TableText"/>
            </w:pPr>
            <w:r>
              <w:rPr>
                <w:sz w:val="18"/>
                <w:szCs w:val="18"/>
              </w:rPr>
              <w:t xml:space="preserve">Oui, précision = intervalle de sondage (5 min)</w:t>
            </w:r>
          </w:p>
        </w:tc>
        <w:tc>
          <w:tcPr>
            <w:tcW w:w="3685" w:type="dxa"/>
          </w:tcPr>
          <w:p>
            <w:pPr>
              <w:pStyle w:val="TableText"/>
            </w:pPr>
            <w:r>
              <w:rPr>
                <w:sz w:val="18"/>
                <w:szCs w:val="18"/>
              </w:rPr>
              <w:t xml:space="preserve">Oui, à la seconde</w:t>
            </w:r>
          </w:p>
        </w:tc>
      </w:tr>
      <w:tr>
        <w:trPr>
          <w:cantSplit/>
        </w:trPr>
        <w:tc>
          <w:tcPr>
            <w:tcW w:w="2267" w:type="dxa"/>
            <w:shd w:val="clear" w:color="auto" w:fill="F4F7FC"/>
          </w:tcPr>
          <w:p>
            <w:pPr>
              <w:pStyle w:val="TableText"/>
            </w:pPr>
            <w:r>
              <w:rPr>
                <w:sz w:val="18"/>
                <w:szCs w:val="18"/>
              </w:rPr>
              <w:t xml:space="preserve">Refus / files d'attente</w:t>
            </w:r>
          </w:p>
        </w:tc>
        <w:tc>
          <w:tcPr>
            <w:tcW w:w="3685" w:type="dxa"/>
            <w:shd w:val="clear" w:color="auto" w:fill="F4F7FC"/>
          </w:tcPr>
          <w:p>
            <w:pPr>
              <w:pStyle w:val="TableText"/>
            </w:pPr>
            <w:r>
              <w:rPr>
                <w:sz w:val="18"/>
                <w:szCs w:val="18"/>
              </w:rPr>
              <w:t xml:space="preserve">File courante seulement</w:t>
            </w:r>
          </w:p>
        </w:tc>
        <w:tc>
          <w:tcPr>
            <w:tcW w:w="3685" w:type="dxa"/>
            <w:shd w:val="clear" w:color="auto" w:fill="F4F7FC"/>
          </w:tcPr>
          <w:p>
            <w:pPr>
              <w:pStyle w:val="TableText"/>
            </w:pPr>
            <w:r>
              <w:rPr>
                <w:sz w:val="18"/>
                <w:szCs w:val="18"/>
              </w:rPr>
              <w:t xml:space="preserve">Oui (DENIED, QUEUED)</w:t>
            </w:r>
          </w:p>
        </w:tc>
      </w:tr>
      <w:tr>
        <w:trPr>
          <w:cantSplit/>
        </w:trPr>
        <w:tc>
          <w:tcPr>
            <w:tcW w:w="2267" w:type="dxa"/>
          </w:tcPr>
          <w:p>
            <w:pPr>
              <w:pStyle w:val="TableText"/>
            </w:pPr>
            <w:r>
              <w:rPr>
                <w:sz w:val="18"/>
                <w:szCs w:val="18"/>
              </w:rPr>
              <w:t xml:space="preserve">Dates d'expiration</w:t>
            </w:r>
          </w:p>
        </w:tc>
        <w:tc>
          <w:tcPr>
            <w:tcW w:w="3685" w:type="dxa"/>
          </w:tcPr>
          <w:p>
            <w:pPr>
              <w:pStyle w:val="TableText"/>
            </w:pPr>
            <w:r>
              <w:rPr>
                <w:sz w:val="18"/>
                <w:szCs w:val="18"/>
              </w:rPr>
              <w:t xml:space="preserve">Oui</w:t>
            </w:r>
          </w:p>
        </w:tc>
        <w:tc>
          <w:tcPr>
            <w:tcW w:w="3685" w:type="dxa"/>
          </w:tcPr>
          <w:p>
            <w:pPr>
              <w:pStyle w:val="TableText"/>
            </w:pPr>
            <w:r>
              <w:rPr>
                <w:sz w:val="18"/>
                <w:szCs w:val="18"/>
              </w:rPr>
              <w:t xml:space="preserve">Non</w:t>
            </w:r>
          </w:p>
        </w:tc>
      </w:tr>
      <w:tr>
        <w:trPr>
          <w:cantSplit/>
        </w:trPr>
        <w:tc>
          <w:tcPr>
            <w:tcW w:w="2267" w:type="dxa"/>
            <w:shd w:val="clear" w:color="auto" w:fill="F4F7FC"/>
          </w:tcPr>
          <w:p>
            <w:pPr>
              <w:pStyle w:val="TableText"/>
            </w:pPr>
            <w:r>
              <w:rPr>
                <w:sz w:val="18"/>
                <w:szCs w:val="18"/>
              </w:rPr>
              <w:t xml:space="preserve">Reprise d'historique</w:t>
            </w:r>
          </w:p>
        </w:tc>
        <w:tc>
          <w:tcPr>
            <w:tcW w:w="3685" w:type="dxa"/>
            <w:shd w:val="clear" w:color="auto" w:fill="F4F7FC"/>
          </w:tcPr>
          <w:p>
            <w:pPr>
              <w:pStyle w:val="TableText"/>
            </w:pPr>
            <w:r>
              <w:rPr>
                <w:sz w:val="18"/>
                <w:szCs w:val="18"/>
              </w:rPr>
              <w:t xml:space="preserve">Non</w:t>
            </w:r>
          </w:p>
        </w:tc>
        <w:tc>
          <w:tcPr>
            <w:tcW w:w="3685" w:type="dxa"/>
            <w:shd w:val="clear" w:color="auto" w:fill="F4F7FC"/>
          </w:tcPr>
          <w:p>
            <w:pPr>
              <w:pStyle w:val="TableText"/>
            </w:pPr>
            <w:r>
              <w:rPr>
                <w:sz w:val="18"/>
                <w:szCs w:val="18"/>
              </w:rPr>
              <w:t xml:space="preserve">Oui (</w:t>
            </w:r>
            <w:r>
              <w:rPr>
                <w:rFonts w:ascii="Consolas" w:hAnsi="Consolas" w:cs="Consolas"/>
                <w:color w:val="1C5CAB"/>
                <w:sz w:val="18"/>
                <w:szCs w:val="18"/>
                <w:shd w:val="clear" w:color="auto" w:fill="EEF3FA"/>
              </w:rPr>
              <w:t xml:space="preserve">heptagoneslm import-log</w:t>
            </w:r>
            <w:r>
              <w:rPr>
                <w:sz w:val="18"/>
                <w:szCs w:val="18"/>
              </w:rPr>
              <w:t xml:space="preserve">)</w:t>
            </w:r>
          </w:p>
        </w:tc>
      </w:tr>
    </w:tbl>
    <w:p>
      <w:pPr>
        <w:spacing w:after="80"/>
      </w:pPr>
    </w:p>
    <w:p>
      <w:pPr/>
      <w:r>
        <w:rPr/>
        <w:t xml:space="preserve">Reconstitution des sessions par lmstat : chaque emprunt est identifié par (feature, utilisateur, poste, handle). Un emprunt nouveau ouvre une session ; un emprunt disparu la ferme, avec une fin estimée au milieu de l'intervalle entre deux sondages (plafonnée à 30 minutes si la collecte a été interrompue). Si un démon éditeur est arrêté, ses sessions restent ouvertes ; si le serveur est injoignable, rien n'est modifié.</w:t>
      </w:r>
    </w:p>
    <w:p>
      <w:pPr>
        <w:pStyle w:val="Heading2"/>
      </w:pPr>
      <w:bookmarkStart w:id="20" w:name="_Toc00020"/>
      <w:r>
        <w:rPr/>
        <w:t xml:space="preserve">3.5 Modèle de données</w:t>
      </w:r>
      <w:bookmarkEnd w:id="20"/>
    </w:p>
    <w:p>
      <w:pPr>
        <w:pStyle w:val="Figure"/>
        <w:keepNext/>
      </w:pPr>
      <w:r>
        <w:drawing>
          <wp:inline distT="0" distB="0" distL="0" distR="0">
            <wp:extent cx="6120000" cy="2824615"/>
            <wp:docPr id="5" name="Image 5" descr="Modèle de données (schéma v3)"/>
            <wp:cNvGraphicFramePr>
              <a:graphicFrameLocks noChangeAspect="1"/>
            </wp:cNvGraphicFramePr>
            <a:graphic>
              <a:graphicData uri="http://schemas.openxmlformats.org/drawingml/2006/picture">
                <pic:pic>
                  <pic:nvPicPr>
                    <pic:cNvPr id="5" name="diag_modele_donnees.png"/>
                    <pic:cNvPicPr/>
                  </pic:nvPicPr>
                  <pic:blipFill>
                    <a:blip r:embed="rIdImg5"/>
                    <a:stretch>
                      <a:fillRect/>
                    </a:stretch>
                  </pic:blipFill>
                  <pic:spPr>
                    <a:xfrm>
                      <a:off x="0" y="0"/>
                      <a:ext cx="6120000" cy="2824615"/>
                    </a:xfrm>
                    <a:prstGeom prst="rect">
                      <a:avLst/>
                    </a:prstGeom>
                    <a:ln w="9525">
                      <a:solidFill>
                        <a:srgbClr val="D9D8D2"/>
                      </a:solidFill>
                    </a:ln>
                  </pic:spPr>
                </pic:pic>
              </a:graphicData>
            </a:graphic>
          </wp:inline>
        </w:drawing>
      </w:r>
    </w:p>
    <w:p>
      <w:pPr>
        <w:pStyle w:val="Caption"/>
      </w:pPr>
      <w:bookmarkStart w:id="21" w:name="_Fig00021"/>
      <w:r>
        <w:rPr/>
        <w:t xml:space="preserve">Figure </w:t>
      </w:r>
      <w:fldSimple w:instr=" SEQ Figure \* ARABIC ">
        <w:r>
          <w:t>4</w:t>
        </w:r>
      </w:fldSimple>
      <w:r>
        <w:rPr/>
        <w:t xml:space="preserve"> – Modèle de données (schéma v3)</w:t>
      </w:r>
      <w:bookmarkEnd w:id="21"/>
    </w:p>
    <w:p>
      <w:pPr>
        <w:pStyle w:val="Caption"/>
        <w:keepNext/>
      </w:pPr>
      <w:r>
        <w:rPr/>
        <w:t xml:space="preserve">Tableau 8 – Tables de la base HeptagonesLM</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977"/>
        <w:gridCol w:w="3583"/>
        <w:gridCol w:w="2224"/>
        <w:gridCol w:w="1853"/>
      </w:tblGrid>
      <w:tr>
        <w:trPr>
          <w:tblHeader/>
          <w:cantSplit/>
        </w:trPr>
        <w:tc>
          <w:tcPr>
            <w:tcW w:w="1977" w:type="dxa"/>
            <w:shd w:val="clear" w:color="auto" w:fill="2A78D6"/>
          </w:tcPr>
          <w:p>
            <w:pPr>
              <w:pStyle w:val="TableText"/>
            </w:pPr>
            <w:r>
              <w:rPr>
                <w:b/>
                <w:color w:val="FFFFFF"/>
                <w:sz w:val="18"/>
                <w:szCs w:val="18"/>
              </w:rPr>
              <w:t xml:space="preserve">Table</w:t>
            </w:r>
          </w:p>
        </w:tc>
        <w:tc>
          <w:tcPr>
            <w:tcW w:w="3583" w:type="dxa"/>
            <w:shd w:val="clear" w:color="auto" w:fill="2A78D6"/>
          </w:tcPr>
          <w:p>
            <w:pPr>
              <w:pStyle w:val="TableText"/>
            </w:pPr>
            <w:r>
              <w:rPr>
                <w:b/>
                <w:color w:val="FFFFFF"/>
                <w:sz w:val="18"/>
                <w:szCs w:val="18"/>
              </w:rPr>
              <w:t xml:space="preserve">Contenu</w:t>
            </w:r>
          </w:p>
        </w:tc>
        <w:tc>
          <w:tcPr>
            <w:tcW w:w="2224" w:type="dxa"/>
            <w:shd w:val="clear" w:color="auto" w:fill="2A78D6"/>
          </w:tcPr>
          <w:p>
            <w:pPr>
              <w:pStyle w:val="TableText"/>
            </w:pPr>
            <w:r>
              <w:rPr>
                <w:b/>
                <w:color w:val="FFFFFF"/>
                <w:sz w:val="18"/>
                <w:szCs w:val="18"/>
              </w:rPr>
              <w:t xml:space="preserve">Volumétrie indicative</w:t>
            </w:r>
          </w:p>
        </w:tc>
        <w:tc>
          <w:tcPr>
            <w:tcW w:w="1853" w:type="dxa"/>
            <w:shd w:val="clear" w:color="auto" w:fill="2A78D6"/>
          </w:tcPr>
          <w:p>
            <w:pPr>
              <w:pStyle w:val="TableText"/>
            </w:pPr>
            <w:r>
              <w:rPr>
                <w:b/>
                <w:color w:val="FFFFFF"/>
                <w:sz w:val="18"/>
                <w:szCs w:val="18"/>
              </w:rPr>
              <w:t xml:space="preserve">Conservation</w:t>
            </w:r>
          </w:p>
        </w:tc>
      </w:tr>
      <w:tr>
        <w:trPr>
          <w:cantSplit/>
        </w:trPr>
        <w:tc>
          <w:tcPr>
            <w:tcW w:w="1977" w:type="dxa"/>
          </w:tcPr>
          <w:p>
            <w:pPr>
              <w:pStyle w:val="TableText"/>
            </w:pPr>
            <w:r>
              <w:rPr>
                <w:sz w:val="18"/>
                <w:szCs w:val="18"/>
              </w:rPr>
              <w:t xml:space="preserve">license_server</w:t>
            </w:r>
          </w:p>
        </w:tc>
        <w:tc>
          <w:tcPr>
            <w:tcW w:w="3583" w:type="dxa"/>
          </w:tcPr>
          <w:p>
            <w:pPr>
              <w:pStyle w:val="TableText"/>
            </w:pPr>
            <w:r>
              <w:rPr>
                <w:sz w:val="18"/>
                <w:szCs w:val="18"/>
              </w:rPr>
              <w:t xml:space="preserve">Serveurs déclarés dans la configuration</w:t>
            </w:r>
          </w:p>
        </w:tc>
        <w:tc>
          <w:tcPr>
            <w:tcW w:w="2224" w:type="dxa"/>
          </w:tcPr>
          <w:p>
            <w:pPr>
              <w:pStyle w:val="TableText"/>
            </w:pPr>
            <w:r>
              <w:rPr>
                <w:sz w:val="18"/>
                <w:szCs w:val="18"/>
              </w:rPr>
              <w:t xml:space="preserve">Quelques lignes</w:t>
            </w:r>
          </w:p>
        </w:tc>
        <w:tc>
          <w:tcPr>
            <w:tcW w:w="1853" w:type="dxa"/>
          </w:tcPr>
          <w:p>
            <w:pPr>
              <w:pStyle w:val="TableText"/>
            </w:pPr>
            <w:r>
              <w:rPr>
                <w:sz w:val="18"/>
                <w:szCs w:val="18"/>
              </w:rPr>
              <w:t xml:space="preserve">Permanente</w:t>
            </w:r>
          </w:p>
        </w:tc>
      </w:tr>
      <w:tr>
        <w:trPr>
          <w:cantSplit/>
        </w:trPr>
        <w:tc>
          <w:tcPr>
            <w:tcW w:w="1977" w:type="dxa"/>
            <w:shd w:val="clear" w:color="auto" w:fill="F4F7FC"/>
          </w:tcPr>
          <w:p>
            <w:pPr>
              <w:pStyle w:val="TableText"/>
            </w:pPr>
            <w:r>
              <w:rPr>
                <w:sz w:val="18"/>
                <w:szCs w:val="18"/>
              </w:rPr>
              <w:t xml:space="preserve">feature</w:t>
            </w:r>
          </w:p>
        </w:tc>
        <w:tc>
          <w:tcPr>
            <w:tcW w:w="3583" w:type="dxa"/>
            <w:shd w:val="clear" w:color="auto" w:fill="F4F7FC"/>
          </w:tcPr>
          <w:p>
            <w:pPr>
              <w:pStyle w:val="TableText"/>
            </w:pPr>
            <w:r>
              <w:rPr>
                <w:sz w:val="18"/>
                <w:szCs w:val="18"/>
              </w:rPr>
              <w:t xml:space="preserve">Features FlexLM, produit, éditeur, date d'expiration</w:t>
            </w:r>
          </w:p>
        </w:tc>
        <w:tc>
          <w:tcPr>
            <w:tcW w:w="2224" w:type="dxa"/>
            <w:shd w:val="clear" w:color="auto" w:fill="F4F7FC"/>
          </w:tcPr>
          <w:p>
            <w:pPr>
              <w:pStyle w:val="TableText"/>
            </w:pPr>
            <w:r>
              <w:rPr>
                <w:sz w:val="18"/>
                <w:szCs w:val="18"/>
              </w:rPr>
              <w:t xml:space="preserve">Dizaines à centaines</w:t>
            </w:r>
          </w:p>
        </w:tc>
        <w:tc>
          <w:tcPr>
            <w:tcW w:w="1853" w:type="dxa"/>
            <w:shd w:val="clear" w:color="auto" w:fill="F4F7FC"/>
          </w:tcPr>
          <w:p>
            <w:pPr>
              <w:pStyle w:val="TableText"/>
            </w:pPr>
            <w:r>
              <w:rPr>
                <w:sz w:val="18"/>
                <w:szCs w:val="18"/>
              </w:rPr>
              <w:t xml:space="preserve">Permanente</w:t>
            </w:r>
          </w:p>
        </w:tc>
      </w:tr>
      <w:tr>
        <w:trPr>
          <w:cantSplit/>
        </w:trPr>
        <w:tc>
          <w:tcPr>
            <w:tcW w:w="1977" w:type="dxa"/>
          </w:tcPr>
          <w:p>
            <w:pPr>
              <w:pStyle w:val="TableText"/>
            </w:pPr>
            <w:r>
              <w:rPr>
                <w:sz w:val="18"/>
                <w:szCs w:val="18"/>
              </w:rPr>
              <w:t xml:space="preserve">usage_snapshot</w:t>
            </w:r>
          </w:p>
        </w:tc>
        <w:tc>
          <w:tcPr>
            <w:tcW w:w="3583" w:type="dxa"/>
          </w:tcPr>
          <w:p>
            <w:pPr>
              <w:pStyle w:val="TableText"/>
            </w:pPr>
            <w:r>
              <w:rPr>
                <w:sz w:val="18"/>
                <w:szCs w:val="18"/>
              </w:rPr>
              <w:t xml:space="preserve">Sondages bruts (jetons émis / utilisés / en attente)</w:t>
            </w:r>
          </w:p>
        </w:tc>
        <w:tc>
          <w:tcPr>
            <w:tcW w:w="2224" w:type="dxa"/>
          </w:tcPr>
          <w:p>
            <w:pPr>
              <w:pStyle w:val="TableText"/>
            </w:pPr>
            <w:r>
              <w:rPr>
                <w:sz w:val="18"/>
                <w:szCs w:val="18"/>
              </w:rPr>
              <w:t xml:space="preserve">≈ 290 lignes / feature / jour</w:t>
            </w:r>
          </w:p>
        </w:tc>
        <w:tc>
          <w:tcPr>
            <w:tcW w:w="1853" w:type="dxa"/>
          </w:tcPr>
          <w:p>
            <w:pPr>
              <w:pStyle w:val="TableText"/>
            </w:pPr>
            <w:r>
              <w:rPr>
                <w:sz w:val="18"/>
                <w:szCs w:val="18"/>
              </w:rPr>
              <w:t xml:space="preserve">90 jours (</w:t>
            </w:r>
            <w:r>
              <w:rPr>
                <w:rFonts w:ascii="Consolas" w:hAnsi="Consolas" w:cs="Consolas"/>
                <w:color w:val="1C5CAB"/>
                <w:sz w:val="18"/>
                <w:szCs w:val="18"/>
                <w:shd w:val="clear" w:color="auto" w:fill="EEF3FA"/>
              </w:rPr>
              <w:t xml:space="preserve">snapshots_days</w:t>
            </w:r>
            <w:r>
              <w:rPr>
                <w:sz w:val="18"/>
                <w:szCs w:val="18"/>
              </w:rPr>
              <w:t xml:space="preserve">)</w:t>
            </w:r>
          </w:p>
        </w:tc>
      </w:tr>
      <w:tr>
        <w:trPr>
          <w:cantSplit/>
        </w:trPr>
        <w:tc>
          <w:tcPr>
            <w:tcW w:w="1977" w:type="dxa"/>
            <w:shd w:val="clear" w:color="auto" w:fill="F4F7FC"/>
          </w:tcPr>
          <w:p>
            <w:pPr>
              <w:pStyle w:val="TableText"/>
            </w:pPr>
            <w:r>
              <w:rPr>
                <w:sz w:val="18"/>
                <w:szCs w:val="18"/>
              </w:rPr>
              <w:t xml:space="preserve">usage_hourly</w:t>
            </w:r>
          </w:p>
        </w:tc>
        <w:tc>
          <w:tcPr>
            <w:tcW w:w="3583" w:type="dxa"/>
            <w:shd w:val="clear" w:color="auto" w:fill="F4F7FC"/>
          </w:tcPr>
          <w:p>
            <w:pPr>
              <w:pStyle w:val="TableText"/>
            </w:pPr>
            <w:r>
              <w:rPr>
                <w:sz w:val="18"/>
                <w:szCs w:val="18"/>
              </w:rPr>
              <w:t xml:space="preserve">Agrégats horaires (somme, min, max, échantillons)</w:t>
            </w:r>
          </w:p>
        </w:tc>
        <w:tc>
          <w:tcPr>
            <w:tcW w:w="2224" w:type="dxa"/>
            <w:shd w:val="clear" w:color="auto" w:fill="F4F7FC"/>
          </w:tcPr>
          <w:p>
            <w:pPr>
              <w:pStyle w:val="TableText"/>
            </w:pPr>
            <w:r>
              <w:rPr>
                <w:sz w:val="18"/>
                <w:szCs w:val="18"/>
              </w:rPr>
              <w:t xml:space="preserve">24 lignes / feature / jour</w:t>
            </w:r>
          </w:p>
        </w:tc>
        <w:tc>
          <w:tcPr>
            <w:tcW w:w="1853" w:type="dxa"/>
            <w:shd w:val="clear" w:color="auto" w:fill="F4F7FC"/>
          </w:tcPr>
          <w:p>
            <w:pPr>
              <w:pStyle w:val="TableText"/>
            </w:pPr>
            <w:r>
              <w:rPr>
                <w:sz w:val="18"/>
                <w:szCs w:val="18"/>
              </w:rPr>
              <w:t xml:space="preserve">Permanente</w:t>
            </w:r>
          </w:p>
        </w:tc>
      </w:tr>
      <w:tr>
        <w:trPr>
          <w:cantSplit/>
        </w:trPr>
        <w:tc>
          <w:tcPr>
            <w:tcW w:w="1977" w:type="dxa"/>
          </w:tcPr>
          <w:p>
            <w:pPr>
              <w:pStyle w:val="TableText"/>
            </w:pPr>
            <w:r>
              <w:rPr>
                <w:sz w:val="18"/>
                <w:szCs w:val="18"/>
              </w:rPr>
              <w:t xml:space="preserve">license_session</w:t>
            </w:r>
          </w:p>
        </w:tc>
        <w:tc>
          <w:tcPr>
            <w:tcW w:w="3583" w:type="dxa"/>
          </w:tcPr>
          <w:p>
            <w:pPr>
              <w:pStyle w:val="TableText"/>
            </w:pPr>
            <w:r>
              <w:rPr>
                <w:sz w:val="18"/>
                <w:szCs w:val="18"/>
              </w:rPr>
              <w:t xml:space="preserve">Sessions d'utilisation reconstituées</w:t>
            </w:r>
          </w:p>
        </w:tc>
        <w:tc>
          <w:tcPr>
            <w:tcW w:w="2224" w:type="dxa"/>
          </w:tcPr>
          <w:p>
            <w:pPr>
              <w:pStyle w:val="TableText"/>
            </w:pPr>
            <w:r>
              <w:rPr>
                <w:sz w:val="18"/>
                <w:szCs w:val="18"/>
              </w:rPr>
              <w:t xml:space="preserve">Selon l'activité (milliers / mois)</w:t>
            </w:r>
          </w:p>
        </w:tc>
        <w:tc>
          <w:tcPr>
            <w:tcW w:w="1853" w:type="dxa"/>
          </w:tcPr>
          <w:p>
            <w:pPr>
              <w:pStyle w:val="TableText"/>
            </w:pPr>
            <w:r>
              <w:rPr>
                <w:sz w:val="18"/>
                <w:szCs w:val="18"/>
              </w:rPr>
              <w:t xml:space="preserve">Permanente</w:t>
            </w:r>
          </w:p>
        </w:tc>
      </w:tr>
      <w:tr>
        <w:trPr>
          <w:cantSplit/>
        </w:trPr>
        <w:tc>
          <w:tcPr>
            <w:tcW w:w="1977" w:type="dxa"/>
            <w:shd w:val="clear" w:color="auto" w:fill="F4F7FC"/>
          </w:tcPr>
          <w:p>
            <w:pPr>
              <w:pStyle w:val="TableText"/>
            </w:pPr>
            <w:r>
              <w:rPr>
                <w:sz w:val="18"/>
                <w:szCs w:val="18"/>
              </w:rPr>
              <w:t xml:space="preserve">license_event</w:t>
            </w:r>
          </w:p>
        </w:tc>
        <w:tc>
          <w:tcPr>
            <w:tcW w:w="3583" w:type="dxa"/>
            <w:shd w:val="clear" w:color="auto" w:fill="F4F7FC"/>
          </w:tcPr>
          <w:p>
            <w:pPr>
              <w:pStyle w:val="TableText"/>
            </w:pPr>
            <w:r>
              <w:rPr>
                <w:sz w:val="18"/>
                <w:szCs w:val="18"/>
              </w:rPr>
              <w:t xml:space="preserve">Refus, files d'attente, arrêts de démon</w:t>
            </w:r>
          </w:p>
        </w:tc>
        <w:tc>
          <w:tcPr>
            <w:tcW w:w="2224" w:type="dxa"/>
            <w:shd w:val="clear" w:color="auto" w:fill="F4F7FC"/>
          </w:tcPr>
          <w:p>
            <w:pPr>
              <w:pStyle w:val="TableText"/>
            </w:pPr>
            <w:r>
              <w:rPr>
                <w:sz w:val="18"/>
                <w:szCs w:val="18"/>
              </w:rPr>
              <w:t xml:space="preserve">Selon l'activité</w:t>
            </w:r>
          </w:p>
        </w:tc>
        <w:tc>
          <w:tcPr>
            <w:tcW w:w="1853" w:type="dxa"/>
            <w:shd w:val="clear" w:color="auto" w:fill="F4F7FC"/>
          </w:tcPr>
          <w:p>
            <w:pPr>
              <w:pStyle w:val="TableText"/>
            </w:pPr>
            <w:r>
              <w:rPr>
                <w:sz w:val="18"/>
                <w:szCs w:val="18"/>
              </w:rPr>
              <w:t xml:space="preserve">730 jours (</w:t>
            </w:r>
            <w:r>
              <w:rPr>
                <w:rFonts w:ascii="Consolas" w:hAnsi="Consolas" w:cs="Consolas"/>
                <w:color w:val="1C5CAB"/>
                <w:sz w:val="18"/>
                <w:szCs w:val="18"/>
                <w:shd w:val="clear" w:color="auto" w:fill="EEF3FA"/>
              </w:rPr>
              <w:t xml:space="preserve">events_days</w:t>
            </w:r>
            <w:r>
              <w:rPr>
                <w:sz w:val="18"/>
                <w:szCs w:val="18"/>
              </w:rPr>
              <w:t xml:space="preserve">)</w:t>
            </w:r>
          </w:p>
        </w:tc>
      </w:tr>
      <w:tr>
        <w:trPr>
          <w:cantSplit/>
        </w:trPr>
        <w:tc>
          <w:tcPr>
            <w:tcW w:w="1977" w:type="dxa"/>
          </w:tcPr>
          <w:p>
            <w:pPr>
              <w:pStyle w:val="TableText"/>
            </w:pPr>
            <w:r>
              <w:rPr>
                <w:sz w:val="18"/>
                <w:szCs w:val="18"/>
              </w:rPr>
              <w:t xml:space="preserve">collection_run</w:t>
            </w:r>
          </w:p>
        </w:tc>
        <w:tc>
          <w:tcPr>
            <w:tcW w:w="3583" w:type="dxa"/>
          </w:tcPr>
          <w:p>
            <w:pPr>
              <w:pStyle w:val="TableText"/>
            </w:pPr>
            <w:r>
              <w:rPr>
                <w:sz w:val="18"/>
                <w:szCs w:val="18"/>
              </w:rPr>
              <w:t xml:space="preserve">Journal des collectes (OK / ERROR, message)</w:t>
            </w:r>
          </w:p>
        </w:tc>
        <w:tc>
          <w:tcPr>
            <w:tcW w:w="2224" w:type="dxa"/>
          </w:tcPr>
          <w:p>
            <w:pPr>
              <w:pStyle w:val="TableText"/>
            </w:pPr>
            <w:r>
              <w:rPr>
                <w:sz w:val="18"/>
                <w:szCs w:val="18"/>
              </w:rPr>
              <w:t xml:space="preserve">≈ 290 lignes / serveur / jour</w:t>
            </w:r>
          </w:p>
        </w:tc>
        <w:tc>
          <w:tcPr>
            <w:tcW w:w="1853" w:type="dxa"/>
          </w:tcPr>
          <w:p>
            <w:pPr>
              <w:pStyle w:val="TableText"/>
            </w:pPr>
            <w:r>
              <w:rPr>
                <w:sz w:val="18"/>
                <w:szCs w:val="18"/>
              </w:rPr>
              <w:t xml:space="preserve">730 jours</w:t>
            </w:r>
          </w:p>
        </w:tc>
      </w:tr>
      <w:tr>
        <w:trPr>
          <w:cantSplit/>
        </w:trPr>
        <w:tc>
          <w:tcPr>
            <w:tcW w:w="1977" w:type="dxa"/>
            <w:shd w:val="clear" w:color="auto" w:fill="F4F7FC"/>
          </w:tcPr>
          <w:p>
            <w:pPr>
              <w:pStyle w:val="TableText"/>
            </w:pPr>
            <w:r>
              <w:rPr>
                <w:sz w:val="18"/>
                <w:szCs w:val="18"/>
              </w:rPr>
              <w:t xml:space="preserve">collector_state</w:t>
            </w:r>
          </w:p>
        </w:tc>
        <w:tc>
          <w:tcPr>
            <w:tcW w:w="3583" w:type="dxa"/>
            <w:shd w:val="clear" w:color="auto" w:fill="F4F7FC"/>
          </w:tcPr>
          <w:p>
            <w:pPr>
              <w:pStyle w:val="TableText"/>
            </w:pPr>
            <w:r>
              <w:rPr>
                <w:sz w:val="18"/>
                <w:szCs w:val="18"/>
              </w:rPr>
              <w:t xml:space="preserve">État de lecture des logs (offset, rotation)</w:t>
            </w:r>
          </w:p>
        </w:tc>
        <w:tc>
          <w:tcPr>
            <w:tcW w:w="2224" w:type="dxa"/>
            <w:shd w:val="clear" w:color="auto" w:fill="F4F7FC"/>
          </w:tcPr>
          <w:p>
            <w:pPr>
              <w:pStyle w:val="TableText"/>
            </w:pPr>
            <w:r>
              <w:rPr>
                <w:sz w:val="18"/>
                <w:szCs w:val="18"/>
              </w:rPr>
              <w:t xml:space="preserve">1 ligne / collecteur</w:t>
            </w:r>
          </w:p>
        </w:tc>
        <w:tc>
          <w:tcPr>
            <w:tcW w:w="1853" w:type="dxa"/>
            <w:shd w:val="clear" w:color="auto" w:fill="F4F7FC"/>
          </w:tcPr>
          <w:p>
            <w:pPr>
              <w:pStyle w:val="TableText"/>
            </w:pPr>
            <w:r>
              <w:rPr>
                <w:sz w:val="18"/>
                <w:szCs w:val="18"/>
              </w:rPr>
              <w:t xml:space="preserve">Permanente</w:t>
            </w:r>
          </w:p>
        </w:tc>
      </w:tr>
      <w:tr>
        <w:trPr>
          <w:cantSplit/>
        </w:trPr>
        <w:tc>
          <w:tcPr>
            <w:tcW w:w="1977" w:type="dxa"/>
          </w:tcPr>
          <w:p>
            <w:pPr>
              <w:pStyle w:val="TableText"/>
            </w:pPr>
            <w:r>
              <w:rPr>
                <w:sz w:val="18"/>
                <w:szCs w:val="18"/>
              </w:rPr>
              <w:t xml:space="preserve">app_user, workstation</w:t>
            </w:r>
          </w:p>
        </w:tc>
        <w:tc>
          <w:tcPr>
            <w:tcW w:w="3583" w:type="dxa"/>
          </w:tcPr>
          <w:p>
            <w:pPr>
              <w:pStyle w:val="TableText"/>
            </w:pPr>
            <w:r>
              <w:rPr>
                <w:sz w:val="18"/>
                <w:szCs w:val="18"/>
              </w:rPr>
              <w:t xml:space="preserve">Utilisateurs (nom, service) et postes</w:t>
            </w:r>
          </w:p>
        </w:tc>
        <w:tc>
          <w:tcPr>
            <w:tcW w:w="2224" w:type="dxa"/>
          </w:tcPr>
          <w:p>
            <w:pPr>
              <w:pStyle w:val="TableText"/>
            </w:pPr>
            <w:r>
              <w:rPr>
                <w:sz w:val="18"/>
                <w:szCs w:val="18"/>
              </w:rPr>
              <w:t xml:space="preserve">Centaines</w:t>
            </w:r>
          </w:p>
        </w:tc>
        <w:tc>
          <w:tcPr>
            <w:tcW w:w="1853" w:type="dxa"/>
          </w:tcPr>
          <w:p>
            <w:pPr>
              <w:pStyle w:val="TableText"/>
            </w:pPr>
            <w:r>
              <w:rPr>
                <w:sz w:val="18"/>
                <w:szCs w:val="18"/>
              </w:rPr>
              <w:t xml:space="preserve">Permanente</w:t>
            </w:r>
          </w:p>
        </w:tc>
      </w:tr>
      <w:tr>
        <w:trPr>
          <w:cantSplit/>
        </w:trPr>
        <w:tc>
          <w:tcPr>
            <w:tcW w:w="1977" w:type="dxa"/>
            <w:shd w:val="clear" w:color="auto" w:fill="F4F7FC"/>
          </w:tcPr>
          <w:p>
            <w:pPr>
              <w:pStyle w:val="TableText"/>
            </w:pPr>
            <w:r>
              <w:rPr>
                <w:sz w:val="18"/>
                <w:szCs w:val="18"/>
              </w:rPr>
              <w:t xml:space="preserve">report_delivery</w:t>
            </w:r>
          </w:p>
        </w:tc>
        <w:tc>
          <w:tcPr>
            <w:tcW w:w="3583" w:type="dxa"/>
            <w:shd w:val="clear" w:color="auto" w:fill="F4F7FC"/>
          </w:tcPr>
          <w:p>
            <w:pPr>
              <w:pStyle w:val="TableText"/>
            </w:pPr>
            <w:r>
              <w:rPr>
                <w:sz w:val="18"/>
                <w:szCs w:val="18"/>
              </w:rPr>
              <w:t xml:space="preserve">Traçabilité des envois d'e-mails</w:t>
            </w:r>
          </w:p>
        </w:tc>
        <w:tc>
          <w:tcPr>
            <w:tcW w:w="2224" w:type="dxa"/>
            <w:shd w:val="clear" w:color="auto" w:fill="F4F7FC"/>
          </w:tcPr>
          <w:p>
            <w:pPr>
              <w:pStyle w:val="TableText"/>
            </w:pPr>
            <w:r>
              <w:rPr>
                <w:sz w:val="18"/>
                <w:szCs w:val="18"/>
              </w:rPr>
              <w:t xml:space="preserve">Quelques lignes / mois</w:t>
            </w:r>
          </w:p>
        </w:tc>
        <w:tc>
          <w:tcPr>
            <w:tcW w:w="1853" w:type="dxa"/>
            <w:shd w:val="clear" w:color="auto" w:fill="F4F7FC"/>
          </w:tcPr>
          <w:p>
            <w:pPr>
              <w:pStyle w:val="TableText"/>
            </w:pPr>
            <w:r>
              <w:rPr>
                <w:sz w:val="18"/>
                <w:szCs w:val="18"/>
              </w:rPr>
              <w:t xml:space="preserve">Permanente</w:t>
            </w:r>
          </w:p>
        </w:tc>
      </w:tr>
      <w:tr>
        <w:trPr>
          <w:cantSplit/>
        </w:trPr>
        <w:tc>
          <w:tcPr>
            <w:tcW w:w="1977" w:type="dxa"/>
          </w:tcPr>
          <w:p>
            <w:pPr>
              <w:pStyle w:val="TableText"/>
            </w:pPr>
            <w:r>
              <w:rPr>
                <w:sz w:val="18"/>
                <w:szCs w:val="18"/>
              </w:rPr>
              <w:t xml:space="preserve">schema_info</w:t>
            </w:r>
          </w:p>
        </w:tc>
        <w:tc>
          <w:tcPr>
            <w:tcW w:w="3583" w:type="dxa"/>
          </w:tcPr>
          <w:p>
            <w:pPr>
              <w:pStyle w:val="TableText"/>
            </w:pPr>
            <w:r>
              <w:rPr>
                <w:sz w:val="18"/>
                <w:szCs w:val="18"/>
              </w:rPr>
              <w:t xml:space="preserve">Version du schéma (3)</w:t>
            </w:r>
          </w:p>
        </w:tc>
        <w:tc>
          <w:tcPr>
            <w:tcW w:w="2224" w:type="dxa"/>
          </w:tcPr>
          <w:p>
            <w:pPr>
              <w:pStyle w:val="TableText"/>
            </w:pPr>
            <w:r>
              <w:rPr>
                <w:sz w:val="18"/>
                <w:szCs w:val="18"/>
              </w:rPr>
              <w:t xml:space="preserve">1 ligne</w:t>
            </w:r>
          </w:p>
        </w:tc>
        <w:tc>
          <w:tcPr>
            <w:tcW w:w="1853" w:type="dxa"/>
          </w:tcPr>
          <w:p>
            <w:pPr>
              <w:pStyle w:val="TableText"/>
            </w:pPr>
            <w:r>
              <w:rPr>
                <w:sz w:val="18"/>
                <w:szCs w:val="18"/>
              </w:rPr>
              <w:t xml:space="preserve">Permanente</w:t>
            </w:r>
          </w:p>
        </w:tc>
      </w:tr>
    </w:tbl>
    <w:p>
      <w:pPr>
        <w:spacing w:after="80"/>
      </w:pPr>
    </w:p>
    <w:p>
      <w:pPr/>
      <w:r>
        <w:rPr/>
        <w:t xml:space="preserve">Ordre de grandeur : pour 50 features sondées toutes les 5 minutes, la base atteint environ 1 à 2 Go après un an (sondages bruts purgés à 90 jours). Les vues </w:t>
      </w:r>
      <w:r>
        <w:rPr>
          <w:rFonts w:ascii="Consolas" w:hAnsi="Consolas" w:cs="Consolas"/>
          <w:color w:val="1C5CAB"/>
          <w:sz w:val="18"/>
          <w:szCs w:val="18"/>
          <w:shd w:val="clear" w:color="auto" w:fill="EEF3FA"/>
        </w:rPr>
        <w:t xml:space="preserve">v_session_detail</w:t>
      </w:r>
      <w:r>
        <w:rPr/>
        <w:t xml:space="preserve">, </w:t>
      </w:r>
      <w:r>
        <w:rPr>
          <w:rFonts w:ascii="Consolas" w:hAnsi="Consolas" w:cs="Consolas"/>
          <w:color w:val="1C5CAB"/>
          <w:sz w:val="18"/>
          <w:szCs w:val="18"/>
          <w:shd w:val="clear" w:color="auto" w:fill="EEF3FA"/>
        </w:rPr>
        <w:t xml:space="preserve">v_usage_hourly</w:t>
      </w:r>
      <w:r>
        <w:rPr/>
        <w:t xml:space="preserve"> et </w:t>
      </w:r>
      <w:r>
        <w:rPr>
          <w:rFonts w:ascii="Consolas" w:hAnsi="Consolas" w:cs="Consolas"/>
          <w:color w:val="1C5CAB"/>
          <w:sz w:val="18"/>
          <w:szCs w:val="18"/>
          <w:shd w:val="clear" w:color="auto" w:fill="EEF3FA"/>
        </w:rPr>
        <w:t xml:space="preserve">v_denial</w:t>
      </w:r>
      <w:r>
        <w:rPr/>
        <w:t xml:space="preserve"> permettent des requêtes ad hoc depuis Excel ou Power BI.</w:t>
      </w:r>
    </w:p>
    <w:p>
      <w:pPr>
        <w:pStyle w:val="Heading2"/>
      </w:pPr>
      <w:bookmarkStart w:id="22" w:name="_Toc00022"/>
      <w:r>
        <w:rPr/>
        <w:t xml:space="preserve">3.6 Arborescence d'installation</w:t>
      </w:r>
      <w:bookmarkEnd w:id="22"/>
    </w:p>
    <w:p>
      <w:pPr>
        <w:pStyle w:val="Caption"/>
        <w:keepNext/>
      </w:pPr>
      <w:r>
        <w:rPr/>
        <w:t xml:space="preserve">Tableau 9 – Arborescence de référence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753"/>
        <w:gridCol w:w="3579"/>
        <w:gridCol w:w="3304"/>
      </w:tblGrid>
      <w:tr>
        <w:trPr>
          <w:tblHeader/>
          <w:cantSplit/>
        </w:trPr>
        <w:tc>
          <w:tcPr>
            <w:tcW w:w="2753" w:type="dxa"/>
            <w:shd w:val="clear" w:color="auto" w:fill="2A78D6"/>
          </w:tcPr>
          <w:p>
            <w:pPr>
              <w:pStyle w:val="TableText"/>
            </w:pPr>
            <w:r>
              <w:rPr>
                <w:b/>
                <w:color w:val="FFFFFF"/>
                <w:sz w:val="18"/>
                <w:szCs w:val="18"/>
              </w:rPr>
              <w:t xml:space="preserve">Chemin</w:t>
            </w:r>
          </w:p>
        </w:tc>
        <w:tc>
          <w:tcPr>
            <w:tcW w:w="3579" w:type="dxa"/>
            <w:shd w:val="clear" w:color="auto" w:fill="2A78D6"/>
          </w:tcPr>
          <w:p>
            <w:pPr>
              <w:pStyle w:val="TableText"/>
            </w:pPr>
            <w:r>
              <w:rPr>
                <w:b/>
                <w:color w:val="FFFFFF"/>
                <w:sz w:val="18"/>
                <w:szCs w:val="18"/>
              </w:rPr>
              <w:t xml:space="preserve">Contenu</w:t>
            </w:r>
          </w:p>
        </w:tc>
        <w:tc>
          <w:tcPr>
            <w:tcW w:w="3304" w:type="dxa"/>
            <w:shd w:val="clear" w:color="auto" w:fill="2A78D6"/>
          </w:tcPr>
          <w:p>
            <w:pPr>
              <w:pStyle w:val="TableText"/>
            </w:pPr>
            <w:r>
              <w:rPr>
                <w:b/>
                <w:color w:val="FFFFFF"/>
                <w:sz w:val="18"/>
                <w:szCs w:val="18"/>
              </w:rPr>
              <w:t xml:space="preserve">Droits NTFS</w:t>
            </w:r>
          </w:p>
        </w:tc>
      </w:tr>
      <w:tr>
        <w:trPr>
          <w:cantSplit/>
        </w:trPr>
        <w:tc>
          <w:tcPr>
            <w:tcW w:w="2753" w:type="dxa"/>
          </w:tcPr>
          <w:p>
            <w:pPr>
              <w:pStyle w:val="TableText"/>
            </w:pPr>
            <w:r>
              <w:rPr>
                <w:sz w:val="18"/>
                <w:szCs w:val="18"/>
              </w:rPr>
              <w:t xml:space="preserve">C:\HeptagonesLM\HeptagonesLM.exe</w:t>
            </w:r>
          </w:p>
        </w:tc>
        <w:tc>
          <w:tcPr>
            <w:tcW w:w="3579" w:type="dxa"/>
          </w:tcPr>
          <w:p>
            <w:pPr>
              <w:pStyle w:val="TableText"/>
            </w:pPr>
            <w:r>
              <w:rPr>
                <w:sz w:val="18"/>
                <w:szCs w:val="18"/>
              </w:rPr>
              <w:t xml:space="preserve">Exécutable (ou venv\ si installation Python)</w:t>
            </w:r>
          </w:p>
        </w:tc>
        <w:tc>
          <w:tcPr>
            <w:tcW w:w="3304" w:type="dxa"/>
          </w:tcPr>
          <w:p>
            <w:pPr>
              <w:pStyle w:val="TableText"/>
            </w:pPr>
            <w:r>
              <w:rPr>
                <w:sz w:val="18"/>
                <w:szCs w:val="18"/>
              </w:rPr>
              <w:t xml:space="preserve">Lecture : compte de service ; modification : administrateurs</w:t>
            </w:r>
          </w:p>
        </w:tc>
      </w:tr>
      <w:tr>
        <w:trPr>
          <w:cantSplit/>
        </w:trPr>
        <w:tc>
          <w:tcPr>
            <w:tcW w:w="2753" w:type="dxa"/>
            <w:shd w:val="clear" w:color="auto" w:fill="F4F7FC"/>
          </w:tcPr>
          <w:p>
            <w:pPr>
              <w:pStyle w:val="TableText"/>
            </w:pPr>
            <w:r>
              <w:rPr>
                <w:sz w:val="18"/>
                <w:szCs w:val="18"/>
              </w:rPr>
              <w:t xml:space="preserve">C:\HeptagonesLM\heptagoneslm.yaml</w:t>
            </w:r>
          </w:p>
        </w:tc>
        <w:tc>
          <w:tcPr>
            <w:tcW w:w="3579" w:type="dxa"/>
            <w:shd w:val="clear" w:color="auto" w:fill="F4F7FC"/>
          </w:tcPr>
          <w:p>
            <w:pPr>
              <w:pStyle w:val="TableText"/>
            </w:pPr>
            <w:r>
              <w:rPr>
                <w:sz w:val="18"/>
                <w:szCs w:val="18"/>
              </w:rPr>
              <w:t xml:space="preserve">Configuration</w:t>
            </w:r>
          </w:p>
        </w:tc>
        <w:tc>
          <w:tcPr>
            <w:tcW w:w="3304" w:type="dxa"/>
            <w:shd w:val="clear" w:color="auto" w:fill="F4F7FC"/>
          </w:tcPr>
          <w:p>
            <w:pPr>
              <w:pStyle w:val="TableText"/>
            </w:pPr>
            <w:r>
              <w:rPr>
                <w:sz w:val="18"/>
                <w:szCs w:val="18"/>
              </w:rPr>
              <w:t xml:space="preserve">Lecture : compte de service ; modification : administrateurs</w:t>
            </w:r>
          </w:p>
        </w:tc>
      </w:tr>
      <w:tr>
        <w:trPr>
          <w:cantSplit/>
        </w:trPr>
        <w:tc>
          <w:tcPr>
            <w:tcW w:w="2753" w:type="dxa"/>
          </w:tcPr>
          <w:p>
            <w:pPr>
              <w:pStyle w:val="TableText"/>
            </w:pPr>
            <w:r>
              <w:rPr>
                <w:sz w:val="18"/>
                <w:szCs w:val="18"/>
              </w:rPr>
              <w:t xml:space="preserve">C:\HeptagonesLM\bin\lmutil.exe</w:t>
            </w:r>
          </w:p>
        </w:tc>
        <w:tc>
          <w:tcPr>
            <w:tcW w:w="3579" w:type="dxa"/>
          </w:tcPr>
          <w:p>
            <w:pPr>
              <w:pStyle w:val="TableText"/>
            </w:pPr>
            <w:r>
              <w:rPr>
                <w:sz w:val="18"/>
                <w:szCs w:val="18"/>
              </w:rPr>
              <w:t xml:space="preserve">Outil FlexLM</w:t>
            </w:r>
          </w:p>
        </w:tc>
        <w:tc>
          <w:tcPr>
            <w:tcW w:w="3304" w:type="dxa"/>
          </w:tcPr>
          <w:p>
            <w:pPr>
              <w:pStyle w:val="TableText"/>
            </w:pPr>
            <w:r>
              <w:rPr>
                <w:sz w:val="18"/>
                <w:szCs w:val="18"/>
              </w:rPr>
              <w:t xml:space="preserve">Lecture / exécution : compte de service</w:t>
            </w:r>
          </w:p>
        </w:tc>
      </w:tr>
      <w:tr>
        <w:trPr>
          <w:cantSplit/>
        </w:trPr>
        <w:tc>
          <w:tcPr>
            <w:tcW w:w="2753" w:type="dxa"/>
            <w:shd w:val="clear" w:color="auto" w:fill="F4F7FC"/>
          </w:tcPr>
          <w:p>
            <w:pPr>
              <w:pStyle w:val="TableText"/>
            </w:pPr>
            <w:r>
              <w:rPr>
                <w:sz w:val="18"/>
                <w:szCs w:val="18"/>
              </w:rPr>
              <w:t xml:space="preserve">C:\HeptagonesLM\certs\</w:t>
            </w:r>
          </w:p>
        </w:tc>
        <w:tc>
          <w:tcPr>
            <w:tcW w:w="3579" w:type="dxa"/>
            <w:shd w:val="clear" w:color="auto" w:fill="F4F7FC"/>
          </w:tcPr>
          <w:p>
            <w:pPr>
              <w:pStyle w:val="TableText"/>
            </w:pPr>
            <w:r>
              <w:rPr>
                <w:sz w:val="18"/>
                <w:szCs w:val="18"/>
              </w:rPr>
              <w:t xml:space="preserve">Certificat et clé HTTPS, AC interne</w:t>
            </w:r>
          </w:p>
        </w:tc>
        <w:tc>
          <w:tcPr>
            <w:tcW w:w="3304" w:type="dxa"/>
            <w:shd w:val="clear" w:color="auto" w:fill="F4F7FC"/>
          </w:tcPr>
          <w:p>
            <w:pPr>
              <w:pStyle w:val="TableText"/>
            </w:pPr>
            <w:r>
              <w:rPr>
                <w:sz w:val="18"/>
                <w:szCs w:val="18"/>
              </w:rPr>
              <w:t xml:space="preserve">Lecture : compte de service uniquement</w:t>
            </w:r>
          </w:p>
        </w:tc>
      </w:tr>
      <w:tr>
        <w:trPr>
          <w:cantSplit/>
        </w:trPr>
        <w:tc>
          <w:tcPr>
            <w:tcW w:w="2753" w:type="dxa"/>
          </w:tcPr>
          <w:p>
            <w:pPr>
              <w:pStyle w:val="TableText"/>
            </w:pPr>
            <w:r>
              <w:rPr>
                <w:sz w:val="18"/>
                <w:szCs w:val="18"/>
              </w:rPr>
              <w:t xml:space="preserve">C:\HeptagonesLM\logs\</w:t>
            </w:r>
          </w:p>
        </w:tc>
        <w:tc>
          <w:tcPr>
            <w:tcW w:w="3579" w:type="dxa"/>
          </w:tcPr>
          <w:p>
            <w:pPr>
              <w:pStyle w:val="TableText"/>
            </w:pPr>
            <w:r>
              <w:rPr>
                <w:sz w:val="18"/>
                <w:szCs w:val="18"/>
              </w:rPr>
              <w:t xml:space="preserve">heptagoneslm.log (journal technique et d'audit, rotation 5 × 5 Mo)</w:t>
            </w:r>
          </w:p>
        </w:tc>
        <w:tc>
          <w:tcPr>
            <w:tcW w:w="3304" w:type="dxa"/>
          </w:tcPr>
          <w:p>
            <w:pPr>
              <w:pStyle w:val="TableText"/>
            </w:pPr>
            <w:r>
              <w:rPr>
                <w:sz w:val="18"/>
                <w:szCs w:val="18"/>
              </w:rPr>
              <w:t xml:space="preserve">Écriture : compte de service</w:t>
            </w:r>
          </w:p>
        </w:tc>
      </w:tr>
      <w:tr>
        <w:trPr>
          <w:cantSplit/>
        </w:trPr>
        <w:tc>
          <w:tcPr>
            <w:tcW w:w="2753" w:type="dxa"/>
            <w:shd w:val="clear" w:color="auto" w:fill="F4F7FC"/>
          </w:tcPr>
          <w:p>
            <w:pPr>
              <w:pStyle w:val="TableText"/>
            </w:pPr>
            <w:r>
              <w:rPr>
                <w:sz w:val="18"/>
                <w:szCs w:val="18"/>
              </w:rPr>
              <w:t xml:space="preserve">C:\HeptagonesLM\reports\</w:t>
            </w:r>
          </w:p>
        </w:tc>
        <w:tc>
          <w:tcPr>
            <w:tcW w:w="3579" w:type="dxa"/>
            <w:shd w:val="clear" w:color="auto" w:fill="F4F7FC"/>
          </w:tcPr>
          <w:p>
            <w:pPr>
              <w:pStyle w:val="TableText"/>
            </w:pPr>
            <w:r>
              <w:rPr>
                <w:sz w:val="18"/>
                <w:szCs w:val="18"/>
              </w:rPr>
              <w:t xml:space="preserve">Rapports Excel mensuels</w:t>
            </w:r>
          </w:p>
        </w:tc>
        <w:tc>
          <w:tcPr>
            <w:tcW w:w="3304" w:type="dxa"/>
            <w:shd w:val="clear" w:color="auto" w:fill="F4F7FC"/>
          </w:tcPr>
          <w:p>
            <w:pPr>
              <w:pStyle w:val="TableText"/>
            </w:pPr>
            <w:r>
              <w:rPr>
                <w:sz w:val="18"/>
                <w:szCs w:val="18"/>
              </w:rPr>
              <w:t xml:space="preserve">Écriture : compte de service ; lecture : destinataires</w:t>
            </w:r>
          </w:p>
        </w:tc>
      </w:tr>
      <w:tr>
        <w:trPr>
          <w:cantSplit/>
        </w:trPr>
        <w:tc>
          <w:tcPr>
            <w:tcW w:w="2753" w:type="dxa"/>
          </w:tcPr>
          <w:p>
            <w:pPr>
              <w:pStyle w:val="TableText"/>
            </w:pPr>
            <w:r>
              <w:rPr>
                <w:sz w:val="18"/>
                <w:szCs w:val="18"/>
              </w:rPr>
              <w:t xml:space="preserve">C:\HeptagonesLM\scripts\</w:t>
            </w:r>
          </w:p>
        </w:tc>
        <w:tc>
          <w:tcPr>
            <w:tcW w:w="3579" w:type="dxa"/>
          </w:tcPr>
          <w:p>
            <w:pPr>
              <w:pStyle w:val="TableText"/>
            </w:pPr>
            <w:r>
              <w:rPr>
                <w:sz w:val="18"/>
                <w:szCs w:val="18"/>
              </w:rPr>
              <w:t xml:space="preserve">register_tasks.ps1, heptagoneslm_collect.bat, heptagoneslm_report.bat</w:t>
            </w:r>
          </w:p>
        </w:tc>
        <w:tc>
          <w:tcPr>
            <w:tcW w:w="3304" w:type="dxa"/>
          </w:tcPr>
          <w:p>
            <w:pPr>
              <w:pStyle w:val="TableText"/>
            </w:pPr>
            <w:r>
              <w:rPr>
                <w:sz w:val="18"/>
                <w:szCs w:val="18"/>
              </w:rPr>
              <w:t xml:space="preserve">Administrateurs</w:t>
            </w:r>
          </w:p>
        </w:tc>
      </w:tr>
      <w:tr>
        <w:trPr>
          <w:cantSplit/>
        </w:trPr>
        <w:tc>
          <w:tcPr>
            <w:tcW w:w="2753" w:type="dxa"/>
            <w:shd w:val="clear" w:color="auto" w:fill="F4F7FC"/>
          </w:tcPr>
          <w:p>
            <w:pPr>
              <w:pStyle w:val="TableText"/>
            </w:pPr>
            <w:r>
              <w:rPr>
                <w:sz w:val="18"/>
                <w:szCs w:val="18"/>
              </w:rPr>
              <w:t xml:space="preserve">C:\HeptagonesLM\sql\sqlserver\</w:t>
            </w:r>
          </w:p>
        </w:tc>
        <w:tc>
          <w:tcPr>
            <w:tcW w:w="3579" w:type="dxa"/>
            <w:shd w:val="clear" w:color="auto" w:fill="F4F7FC"/>
          </w:tcPr>
          <w:p>
            <w:pPr>
              <w:pStyle w:val="TableText"/>
            </w:pPr>
            <w:r>
              <w:rPr>
                <w:sz w:val="18"/>
                <w:szCs w:val="18"/>
              </w:rPr>
              <w:t xml:space="preserve">00_create_database.sql, 01_schema.sql</w:t>
            </w:r>
          </w:p>
        </w:tc>
        <w:tc>
          <w:tcPr>
            <w:tcW w:w="3304" w:type="dxa"/>
            <w:shd w:val="clear" w:color="auto" w:fill="F4F7FC"/>
          </w:tcPr>
          <w:p>
            <w:pPr>
              <w:pStyle w:val="TableText"/>
            </w:pPr>
            <w:r>
              <w:rPr>
                <w:sz w:val="18"/>
                <w:szCs w:val="18"/>
              </w:rPr>
              <w:t xml:space="preserve">Administrateurs</w:t>
            </w:r>
          </w:p>
        </w:tc>
      </w:tr>
    </w:tbl>
    <w:p>
      <w:pPr>
        <w:spacing w:after="80"/>
      </w:pPr>
    </w:p>
    <w:p>
      <w:pPr>
        <w:pStyle w:val="Heading1"/>
      </w:pPr>
      <w:bookmarkStart w:id="23" w:name="_Toc00023"/>
      <w:r>
        <w:rPr/>
        <w:t xml:space="preserve">4. Prérequis</w:t>
      </w:r>
      <w:bookmarkEnd w:id="23"/>
    </w:p>
    <w:p>
      <w:pPr>
        <w:pStyle w:val="Heading2"/>
      </w:pPr>
      <w:bookmarkStart w:id="24" w:name="_Toc00024"/>
      <w:r>
        <w:rPr/>
        <w:t xml:space="preserve">4.1 Serveur HeptagonesLM</w:t>
      </w:r>
      <w:bookmarkEnd w:id="24"/>
    </w:p>
    <w:p>
      <w:pPr>
        <w:pStyle w:val="Caption"/>
        <w:keepNext/>
      </w:pPr>
      <w:r>
        <w:rPr/>
        <w:t xml:space="preserve">Tableau 10 – Dimensionnement du serveur HeptagonesLM</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044"/>
        <w:gridCol w:w="3796"/>
        <w:gridCol w:w="3796"/>
      </w:tblGrid>
      <w:tr>
        <w:trPr>
          <w:tblHeader/>
          <w:cantSplit/>
        </w:trPr>
        <w:tc>
          <w:tcPr>
            <w:tcW w:w="2044" w:type="dxa"/>
            <w:shd w:val="clear" w:color="auto" w:fill="2A78D6"/>
          </w:tcPr>
          <w:p>
            <w:pPr>
              <w:pStyle w:val="TableText"/>
            </w:pPr>
            <w:r>
              <w:rPr>
                <w:b/>
                <w:color w:val="FFFFFF"/>
                <w:sz w:val="18"/>
                <w:szCs w:val="18"/>
              </w:rPr>
              <w:t xml:space="preserve">Élément</w:t>
            </w:r>
          </w:p>
        </w:tc>
        <w:tc>
          <w:tcPr>
            <w:tcW w:w="3796" w:type="dxa"/>
            <w:shd w:val="clear" w:color="auto" w:fill="2A78D6"/>
          </w:tcPr>
          <w:p>
            <w:pPr>
              <w:pStyle w:val="TableText"/>
            </w:pPr>
            <w:r>
              <w:rPr>
                <w:b/>
                <w:color w:val="FFFFFF"/>
                <w:sz w:val="18"/>
                <w:szCs w:val="18"/>
              </w:rPr>
              <w:t xml:space="preserve">Minimum</w:t>
            </w:r>
          </w:p>
        </w:tc>
        <w:tc>
          <w:tcPr>
            <w:tcW w:w="3796" w:type="dxa"/>
            <w:shd w:val="clear" w:color="auto" w:fill="2A78D6"/>
          </w:tcPr>
          <w:p>
            <w:pPr>
              <w:pStyle w:val="TableText"/>
            </w:pPr>
            <w:r>
              <w:rPr>
                <w:b/>
                <w:color w:val="FFFFFF"/>
                <w:sz w:val="18"/>
                <w:szCs w:val="18"/>
              </w:rPr>
              <w:t xml:space="preserve">Recommandé</w:t>
            </w:r>
          </w:p>
        </w:tc>
      </w:tr>
      <w:tr>
        <w:trPr>
          <w:cantSplit/>
        </w:trPr>
        <w:tc>
          <w:tcPr>
            <w:tcW w:w="2044" w:type="dxa"/>
          </w:tcPr>
          <w:p>
            <w:pPr>
              <w:pStyle w:val="TableText"/>
            </w:pPr>
            <w:r>
              <w:rPr>
                <w:sz w:val="18"/>
                <w:szCs w:val="18"/>
              </w:rPr>
              <w:t xml:space="preserve">Système</w:t>
            </w:r>
          </w:p>
        </w:tc>
        <w:tc>
          <w:tcPr>
            <w:tcW w:w="3796" w:type="dxa"/>
          </w:tcPr>
          <w:p>
            <w:pPr>
              <w:pStyle w:val="TableText"/>
            </w:pPr>
            <w:r>
              <w:rPr>
                <w:sz w:val="18"/>
                <w:szCs w:val="18"/>
              </w:rPr>
              <w:t xml:space="preserve">Windows Server 2016</w:t>
            </w:r>
          </w:p>
        </w:tc>
        <w:tc>
          <w:tcPr>
            <w:tcW w:w="3796" w:type="dxa"/>
          </w:tcPr>
          <w:p>
            <w:pPr>
              <w:pStyle w:val="TableText"/>
            </w:pPr>
            <w:r>
              <w:rPr>
                <w:sz w:val="18"/>
                <w:szCs w:val="18"/>
              </w:rPr>
              <w:t xml:space="preserve">Windows Server 2022, membre du domaine</w:t>
            </w:r>
          </w:p>
        </w:tc>
      </w:tr>
      <w:tr>
        <w:trPr>
          <w:cantSplit/>
        </w:trPr>
        <w:tc>
          <w:tcPr>
            <w:tcW w:w="2044" w:type="dxa"/>
            <w:shd w:val="clear" w:color="auto" w:fill="F4F7FC"/>
          </w:tcPr>
          <w:p>
            <w:pPr>
              <w:pStyle w:val="TableText"/>
            </w:pPr>
            <w:r>
              <w:rPr>
                <w:sz w:val="18"/>
                <w:szCs w:val="18"/>
              </w:rPr>
              <w:t xml:space="preserve">Processeur</w:t>
            </w:r>
          </w:p>
        </w:tc>
        <w:tc>
          <w:tcPr>
            <w:tcW w:w="3796" w:type="dxa"/>
            <w:shd w:val="clear" w:color="auto" w:fill="F4F7FC"/>
          </w:tcPr>
          <w:p>
            <w:pPr>
              <w:pStyle w:val="TableText"/>
            </w:pPr>
            <w:r>
              <w:rPr>
                <w:sz w:val="18"/>
                <w:szCs w:val="18"/>
              </w:rPr>
              <w:t xml:space="preserve">2 vCPU</w:t>
            </w:r>
          </w:p>
        </w:tc>
        <w:tc>
          <w:tcPr>
            <w:tcW w:w="3796" w:type="dxa"/>
            <w:shd w:val="clear" w:color="auto" w:fill="F4F7FC"/>
          </w:tcPr>
          <w:p>
            <w:pPr>
              <w:pStyle w:val="TableText"/>
            </w:pPr>
            <w:r>
              <w:rPr>
                <w:sz w:val="18"/>
                <w:szCs w:val="18"/>
              </w:rPr>
              <w:t xml:space="preserve">2 vCPU</w:t>
            </w:r>
          </w:p>
        </w:tc>
      </w:tr>
      <w:tr>
        <w:trPr>
          <w:cantSplit/>
        </w:trPr>
        <w:tc>
          <w:tcPr>
            <w:tcW w:w="2044" w:type="dxa"/>
          </w:tcPr>
          <w:p>
            <w:pPr>
              <w:pStyle w:val="TableText"/>
            </w:pPr>
            <w:r>
              <w:rPr>
                <w:sz w:val="18"/>
                <w:szCs w:val="18"/>
              </w:rPr>
              <w:t xml:space="preserve">Mémoire</w:t>
            </w:r>
          </w:p>
        </w:tc>
        <w:tc>
          <w:tcPr>
            <w:tcW w:w="3796" w:type="dxa"/>
          </w:tcPr>
          <w:p>
            <w:pPr>
              <w:pStyle w:val="TableText"/>
            </w:pPr>
            <w:r>
              <w:rPr>
                <w:sz w:val="18"/>
                <w:szCs w:val="18"/>
              </w:rPr>
              <w:t xml:space="preserve">2 Go</w:t>
            </w:r>
          </w:p>
        </w:tc>
        <w:tc>
          <w:tcPr>
            <w:tcW w:w="3796" w:type="dxa"/>
          </w:tcPr>
          <w:p>
            <w:pPr>
              <w:pStyle w:val="TableText"/>
            </w:pPr>
            <w:r>
              <w:rPr>
                <w:sz w:val="18"/>
                <w:szCs w:val="18"/>
              </w:rPr>
              <w:t xml:space="preserve">4 Go</w:t>
            </w:r>
          </w:p>
        </w:tc>
      </w:tr>
      <w:tr>
        <w:trPr>
          <w:cantSplit/>
        </w:trPr>
        <w:tc>
          <w:tcPr>
            <w:tcW w:w="2044" w:type="dxa"/>
            <w:shd w:val="clear" w:color="auto" w:fill="F4F7FC"/>
          </w:tcPr>
          <w:p>
            <w:pPr>
              <w:pStyle w:val="TableText"/>
            </w:pPr>
            <w:r>
              <w:rPr>
                <w:sz w:val="18"/>
                <w:szCs w:val="18"/>
              </w:rPr>
              <w:t xml:space="preserve">Disque</w:t>
            </w:r>
          </w:p>
        </w:tc>
        <w:tc>
          <w:tcPr>
            <w:tcW w:w="3796" w:type="dxa"/>
            <w:shd w:val="clear" w:color="auto" w:fill="F4F7FC"/>
          </w:tcPr>
          <w:p>
            <w:pPr>
              <w:pStyle w:val="TableText"/>
            </w:pPr>
            <w:r>
              <w:rPr>
                <w:sz w:val="18"/>
                <w:szCs w:val="18"/>
              </w:rPr>
              <w:t xml:space="preserve">2 Go libres (application, journaux, rapports)</w:t>
            </w:r>
          </w:p>
        </w:tc>
        <w:tc>
          <w:tcPr>
            <w:tcW w:w="3796" w:type="dxa"/>
            <w:shd w:val="clear" w:color="auto" w:fill="F4F7FC"/>
          </w:tcPr>
          <w:p>
            <w:pPr>
              <w:pStyle w:val="TableText"/>
            </w:pPr>
            <w:r>
              <w:rPr>
                <w:sz w:val="18"/>
                <w:szCs w:val="18"/>
              </w:rPr>
              <w:t xml:space="preserve">10 Go</w:t>
            </w:r>
          </w:p>
        </w:tc>
      </w:tr>
      <w:tr>
        <w:trPr>
          <w:cantSplit/>
        </w:trPr>
        <w:tc>
          <w:tcPr>
            <w:tcW w:w="2044" w:type="dxa"/>
          </w:tcPr>
          <w:p>
            <w:pPr>
              <w:pStyle w:val="TableText"/>
            </w:pPr>
            <w:r>
              <w:rPr>
                <w:sz w:val="18"/>
                <w:szCs w:val="18"/>
              </w:rPr>
              <w:t xml:space="preserve">Logiciels</w:t>
            </w:r>
          </w:p>
        </w:tc>
        <w:tc>
          <w:tcPr>
            <w:tcW w:w="3796" w:type="dxa"/>
          </w:tcPr>
          <w:p>
            <w:pPr>
              <w:pStyle w:val="TableText"/>
            </w:pPr>
            <w:r>
              <w:rPr>
                <w:sz w:val="18"/>
                <w:szCs w:val="18"/>
              </w:rPr>
              <w:t xml:space="preserve">ODBC Driver 18 for SQL Server, lmutil.exe</w:t>
            </w:r>
          </w:p>
        </w:tc>
        <w:tc>
          <w:tcPr>
            <w:tcW w:w="3796" w:type="dxa"/>
          </w:tcPr>
          <w:p>
            <w:pPr>
              <w:pStyle w:val="TableText"/>
            </w:pPr>
            <w:r>
              <w:rPr>
                <w:sz w:val="18"/>
                <w:szCs w:val="18"/>
              </w:rPr>
              <w:t xml:space="preserve">Idem</w:t>
            </w:r>
          </w:p>
        </w:tc>
      </w:tr>
      <w:tr>
        <w:trPr>
          <w:cantSplit/>
        </w:trPr>
        <w:tc>
          <w:tcPr>
            <w:tcW w:w="2044" w:type="dxa"/>
            <w:shd w:val="clear" w:color="auto" w:fill="F4F7FC"/>
          </w:tcPr>
          <w:p>
            <w:pPr>
              <w:pStyle w:val="TableText"/>
            </w:pPr>
            <w:r>
              <w:rPr>
                <w:sz w:val="18"/>
                <w:szCs w:val="18"/>
              </w:rPr>
              <w:t xml:space="preserve">Réseau</w:t>
            </w:r>
          </w:p>
        </w:tc>
        <w:tc>
          <w:tcPr>
            <w:tcW w:w="3796" w:type="dxa"/>
            <w:shd w:val="clear" w:color="auto" w:fill="F4F7FC"/>
          </w:tcPr>
          <w:p>
            <w:pPr>
              <w:pStyle w:val="TableText"/>
            </w:pPr>
            <w:r>
              <w:rPr>
                <w:sz w:val="18"/>
                <w:szCs w:val="18"/>
              </w:rPr>
              <w:t xml:space="preserve">Flux F2 à F7 ouverts (§ 3.3)</w:t>
            </w:r>
          </w:p>
        </w:tc>
        <w:tc>
          <w:tcPr>
            <w:tcW w:w="3796" w:type="dxa"/>
            <w:shd w:val="clear" w:color="auto" w:fill="F4F7FC"/>
          </w:tcPr>
          <w:p>
            <w:pPr>
              <w:pStyle w:val="TableText"/>
            </w:pPr>
            <w:r>
              <w:rPr>
                <w:sz w:val="18"/>
                <w:szCs w:val="18"/>
              </w:rPr>
              <w:t xml:space="preserve">Nom DNS dédié (ex. heptagoneslm.entreprise.local)</w:t>
            </w:r>
          </w:p>
        </w:tc>
      </w:tr>
    </w:tbl>
    <w:p>
      <w:pPr>
        <w:spacing w:after="80"/>
      </w:pPr>
    </w:p>
    <w:p>
      <w:pPr/>
      <w:r>
        <w:rPr/>
        <w:t xml:space="preserve">HeptagonesLM peut cohabiter avec un autre service (serveur d'outils, serveur de licences). La charge est très faible : une collecte dure quelques secondes par serveur de licences.</w:t>
      </w:r>
    </w:p>
    <w:p>
      <w:pPr>
        <w:pStyle w:val="Heading2"/>
      </w:pPr>
      <w:bookmarkStart w:id="25" w:name="_Toc00025"/>
      <w:r>
        <w:rPr/>
        <w:t xml:space="preserve">4.2 Base de données</w:t>
      </w:r>
      <w:bookmarkEnd w:id="25"/>
    </w:p>
    <w:p>
      <w:pPr>
        <w:pStyle w:val="ListParagraph"/>
        <w:numPr>
          <w:ilvl w:val="0"/>
          <w:numId w:val="4"/>
        </w:numPr>
      </w:pPr>
      <w:r>
        <w:rPr/>
        <w:t xml:space="preserve">Instance SQL Server 2016 ou supérieure (édition Express possible pour un petit parc : limite de 10 Go).</w:t>
      </w:r>
    </w:p>
    <w:p>
      <w:pPr>
        <w:pStyle w:val="ListParagraph"/>
        <w:numPr>
          <w:ilvl w:val="0"/>
          <w:numId w:val="4"/>
        </w:numPr>
      </w:pPr>
      <w:r>
        <w:rPr/>
        <w:t xml:space="preserve">Base </w:t>
      </w:r>
      <w:r>
        <w:rPr>
          <w:rFonts w:ascii="Consolas" w:hAnsi="Consolas" w:cs="Consolas"/>
          <w:color w:val="1C5CAB"/>
          <w:sz w:val="18"/>
          <w:szCs w:val="18"/>
          <w:shd w:val="clear" w:color="auto" w:fill="EEF3FA"/>
        </w:rPr>
        <w:t xml:space="preserve">HeptagonesLM</w:t>
      </w:r>
      <w:r>
        <w:rPr/>
        <w:t xml:space="preserve"> en modèle de récupération SIMPLE (données de reporting, reconstructibles partiellement).</w:t>
      </w:r>
    </w:p>
    <w:p>
      <w:pPr>
        <w:pStyle w:val="ListParagraph"/>
        <w:numPr>
          <w:ilvl w:val="0"/>
          <w:numId w:val="4"/>
        </w:numPr>
      </w:pPr>
      <w:r>
        <w:rPr/>
        <w:t xml:space="preserve">Classement (collation) insensible à la casse, par exemple </w:t>
      </w:r>
      <w:r>
        <w:rPr>
          <w:rFonts w:ascii="Consolas" w:hAnsi="Consolas" w:cs="Consolas"/>
          <w:color w:val="1C5CAB"/>
          <w:sz w:val="18"/>
          <w:szCs w:val="18"/>
          <w:shd w:val="clear" w:color="auto" w:fill="EEF3FA"/>
        </w:rPr>
        <w:t xml:space="preserve">French_CI_AS</w:t>
      </w:r>
      <w:r>
        <w:rPr/>
        <w:t xml:space="preserve">.</w:t>
      </w:r>
    </w:p>
    <w:p>
      <w:pPr>
        <w:pStyle w:val="ListParagraph"/>
        <w:numPr>
          <w:ilvl w:val="0"/>
          <w:numId w:val="4"/>
        </w:numPr>
      </w:pPr>
      <w:r>
        <w:rPr/>
        <w:t xml:space="preserve">Chiffrement des connexions : certificat valide sur l'instance (option </w:t>
      </w:r>
      <w:r>
        <w:rPr>
          <w:rFonts w:ascii="Consolas" w:hAnsi="Consolas" w:cs="Consolas"/>
          <w:color w:val="1C5CAB"/>
          <w:sz w:val="18"/>
          <w:szCs w:val="18"/>
          <w:shd w:val="clear" w:color="auto" w:fill="EEF3FA"/>
        </w:rPr>
        <w:t xml:space="preserve">Encrypt=yes</w:t>
      </w:r>
      <w:r>
        <w:rPr/>
        <w:t xml:space="preserve">).</w:t>
      </w:r>
    </w:p>
    <w:p>
      <w:pPr>
        <w:pStyle w:val="Heading2"/>
      </w:pPr>
      <w:bookmarkStart w:id="26" w:name="_Toc00026"/>
      <w:r>
        <w:rPr/>
        <w:t xml:space="preserve">4.3 Comptes et droits</w:t>
      </w:r>
      <w:bookmarkEnd w:id="26"/>
    </w:p>
    <w:p>
      <w:pPr>
        <w:pStyle w:val="Caption"/>
        <w:keepNext/>
      </w:pPr>
      <w:r>
        <w:rPr/>
        <w:t xml:space="preserve">Tableau 11 – Comptes et droits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244"/>
        <w:gridCol w:w="2112"/>
        <w:gridCol w:w="3168"/>
        <w:gridCol w:w="2112"/>
      </w:tblGrid>
      <w:tr>
        <w:trPr>
          <w:tblHeader/>
          <w:cantSplit/>
        </w:trPr>
        <w:tc>
          <w:tcPr>
            <w:tcW w:w="2244" w:type="dxa"/>
            <w:shd w:val="clear" w:color="auto" w:fill="2A78D6"/>
          </w:tcPr>
          <w:p>
            <w:pPr>
              <w:pStyle w:val="TableText"/>
            </w:pPr>
            <w:r>
              <w:rPr>
                <w:b/>
                <w:color w:val="FFFFFF"/>
                <w:sz w:val="18"/>
                <w:szCs w:val="18"/>
              </w:rPr>
              <w:t xml:space="preserve">Compte</w:t>
            </w:r>
          </w:p>
        </w:tc>
        <w:tc>
          <w:tcPr>
            <w:tcW w:w="2112" w:type="dxa"/>
            <w:shd w:val="clear" w:color="auto" w:fill="2A78D6"/>
          </w:tcPr>
          <w:p>
            <w:pPr>
              <w:pStyle w:val="TableText"/>
            </w:pPr>
            <w:r>
              <w:rPr>
                <w:b/>
                <w:color w:val="FFFFFF"/>
                <w:sz w:val="18"/>
                <w:szCs w:val="18"/>
              </w:rPr>
              <w:t xml:space="preserve">Type</w:t>
            </w:r>
          </w:p>
        </w:tc>
        <w:tc>
          <w:tcPr>
            <w:tcW w:w="3168" w:type="dxa"/>
            <w:shd w:val="clear" w:color="auto" w:fill="2A78D6"/>
          </w:tcPr>
          <w:p>
            <w:pPr>
              <w:pStyle w:val="TableText"/>
            </w:pPr>
            <w:r>
              <w:rPr>
                <w:b/>
                <w:color w:val="FFFFFF"/>
                <w:sz w:val="18"/>
                <w:szCs w:val="18"/>
              </w:rPr>
              <w:t xml:space="preserve">Droits</w:t>
            </w:r>
          </w:p>
        </w:tc>
        <w:tc>
          <w:tcPr>
            <w:tcW w:w="2112" w:type="dxa"/>
            <w:shd w:val="clear" w:color="auto" w:fill="2A78D6"/>
          </w:tcPr>
          <w:p>
            <w:pPr>
              <w:pStyle w:val="TableText"/>
            </w:pPr>
            <w:r>
              <w:rPr>
                <w:b/>
                <w:color w:val="FFFFFF"/>
                <w:sz w:val="18"/>
                <w:szCs w:val="18"/>
              </w:rPr>
              <w:t xml:space="preserve">Usage</w:t>
            </w:r>
          </w:p>
        </w:tc>
      </w:tr>
      <w:tr>
        <w:trPr>
          <w:cantSplit/>
        </w:trPr>
        <w:tc>
          <w:tcPr>
            <w:tcW w:w="2244" w:type="dxa"/>
          </w:tcPr>
          <w:p>
            <w:pPr>
              <w:pStyle w:val="TableText"/>
            </w:pPr>
            <w:r>
              <w:rPr>
                <w:sz w:val="18"/>
                <w:szCs w:val="18"/>
              </w:rPr>
              <w:t xml:space="preserve">DOMAINE\gmsa_heptagoneslm$</w:t>
            </w:r>
          </w:p>
        </w:tc>
        <w:tc>
          <w:tcPr>
            <w:tcW w:w="2112" w:type="dxa"/>
          </w:tcPr>
          <w:p>
            <w:pPr>
              <w:pStyle w:val="TableText"/>
            </w:pPr>
            <w:r>
              <w:rPr>
                <w:sz w:val="18"/>
                <w:szCs w:val="18"/>
              </w:rPr>
              <w:t xml:space="preserve">gMSA (recommandé) ou compte de service dédié</w:t>
            </w:r>
          </w:p>
        </w:tc>
        <w:tc>
          <w:tcPr>
            <w:tcW w:w="3168" w:type="dxa"/>
          </w:tcPr>
          <w:p>
            <w:pPr>
              <w:pStyle w:val="TableText"/>
            </w:pPr>
            <w:r>
              <w:rPr>
                <w:sz w:val="18"/>
                <w:szCs w:val="18"/>
              </w:rPr>
              <w:t xml:space="preserve">Ouverture de session en tant que tâche ; lecture de C:\HeptagonesLM ; écriture logs\ et reports\ ; lecture des partages de logs FlexLM</w:t>
            </w:r>
          </w:p>
        </w:tc>
        <w:tc>
          <w:tcPr>
            <w:tcW w:w="2112" w:type="dxa"/>
          </w:tcPr>
          <w:p>
            <w:pPr>
              <w:pStyle w:val="TableText"/>
            </w:pPr>
            <w:r>
              <w:rPr>
                <w:sz w:val="18"/>
                <w:szCs w:val="18"/>
              </w:rPr>
              <w:t xml:space="preserve">Exécution de toutes les tâches planifiées</w:t>
            </w:r>
          </w:p>
        </w:tc>
      </w:tr>
      <w:tr>
        <w:trPr>
          <w:cantSplit/>
        </w:trPr>
        <w:tc>
          <w:tcPr>
            <w:tcW w:w="2244" w:type="dxa"/>
            <w:shd w:val="clear" w:color="auto" w:fill="F4F7FC"/>
          </w:tcPr>
          <w:p>
            <w:pPr>
              <w:pStyle w:val="TableText"/>
            </w:pPr>
            <w:r>
              <w:rPr>
                <w:sz w:val="18"/>
                <w:szCs w:val="18"/>
              </w:rPr>
              <w:t xml:space="preserve">Même compte (base)</w:t>
            </w:r>
          </w:p>
        </w:tc>
        <w:tc>
          <w:tcPr>
            <w:tcW w:w="2112" w:type="dxa"/>
            <w:shd w:val="clear" w:color="auto" w:fill="F4F7FC"/>
          </w:tcPr>
          <w:p>
            <w:pPr>
              <w:pStyle w:val="TableText"/>
            </w:pPr>
            <w:r>
              <w:rPr>
                <w:sz w:val="18"/>
                <w:szCs w:val="18"/>
              </w:rPr>
              <w:t xml:space="preserve">Connexion Windows SQL Server</w:t>
            </w:r>
          </w:p>
        </w:tc>
        <w:tc>
          <w:tcPr>
            <w:tcW w:w="3168" w:type="dxa"/>
            <w:shd w:val="clear" w:color="auto" w:fill="F4F7FC"/>
          </w:tcPr>
          <w:p>
            <w:pPr>
              <w:pStyle w:val="TableText"/>
            </w:pPr>
            <w:r>
              <w:rPr>
                <w:sz w:val="18"/>
                <w:szCs w:val="18"/>
              </w:rPr>
              <w:t xml:space="preserve">db_datareader, db_datawriter ; db_ddladmin </w:t>
            </w:r>
            <w:r>
              <w:rPr>
                <w:b/>
                <w:sz w:val="18"/>
                <w:szCs w:val="18"/>
              </w:rPr>
              <w:t xml:space="preserve">temporaire</w:t>
            </w:r>
            <w:r>
              <w:rPr>
                <w:sz w:val="18"/>
                <w:szCs w:val="18"/>
              </w:rPr>
              <w:t xml:space="preserve"> (init-db, mises à jour)</w:t>
            </w:r>
          </w:p>
        </w:tc>
        <w:tc>
          <w:tcPr>
            <w:tcW w:w="2112" w:type="dxa"/>
            <w:shd w:val="clear" w:color="auto" w:fill="F4F7FC"/>
          </w:tcPr>
          <w:p>
            <w:pPr>
              <w:pStyle w:val="TableText"/>
            </w:pPr>
            <w:r>
              <w:rPr>
                <w:sz w:val="18"/>
                <w:szCs w:val="18"/>
              </w:rPr>
              <w:t xml:space="preserve">Accès à la base</w:t>
            </w:r>
          </w:p>
        </w:tc>
      </w:tr>
      <w:tr>
        <w:trPr>
          <w:cantSplit/>
        </w:trPr>
        <w:tc>
          <w:tcPr>
            <w:tcW w:w="2244" w:type="dxa"/>
          </w:tcPr>
          <w:p>
            <w:pPr>
              <w:pStyle w:val="TableText"/>
            </w:pPr>
            <w:r>
              <w:rPr>
                <w:sz w:val="18"/>
                <w:szCs w:val="18"/>
              </w:rPr>
              <w:t xml:space="preserve">GG_HeptagonesLM_Lecteurs</w:t>
            </w:r>
          </w:p>
        </w:tc>
        <w:tc>
          <w:tcPr>
            <w:tcW w:w="2112" w:type="dxa"/>
          </w:tcPr>
          <w:p>
            <w:pPr>
              <w:pStyle w:val="TableText"/>
            </w:pPr>
            <w:r>
              <w:rPr>
                <w:sz w:val="18"/>
                <w:szCs w:val="18"/>
              </w:rPr>
              <w:t xml:space="preserve">Groupe AD</w:t>
            </w:r>
          </w:p>
        </w:tc>
        <w:tc>
          <w:tcPr>
            <w:tcW w:w="3168" w:type="dxa"/>
          </w:tcPr>
          <w:p>
            <w:pPr>
              <w:pStyle w:val="TableText"/>
            </w:pPr>
            <w:r>
              <w:rPr>
                <w:sz w:val="18"/>
                <w:szCs w:val="18"/>
              </w:rPr>
              <w:t xml:space="preserve">Accès à l'interface web (</w:t>
            </w:r>
            <w:r>
              <w:rPr>
                <w:rFonts w:ascii="Consolas" w:hAnsi="Consolas" w:cs="Consolas"/>
                <w:color w:val="1C5CAB"/>
                <w:sz w:val="18"/>
                <w:szCs w:val="18"/>
                <w:shd w:val="clear" w:color="auto" w:fill="EEF3FA"/>
              </w:rPr>
              <w:t xml:space="preserve">allowed_groups</w:t>
            </w:r>
            <w:r>
              <w:rPr>
                <w:sz w:val="18"/>
                <w:szCs w:val="18"/>
              </w:rPr>
              <w:t xml:space="preserve">)</w:t>
            </w:r>
          </w:p>
        </w:tc>
        <w:tc>
          <w:tcPr>
            <w:tcW w:w="2112" w:type="dxa"/>
          </w:tcPr>
          <w:p>
            <w:pPr>
              <w:pStyle w:val="TableText"/>
            </w:pPr>
            <w:r>
              <w:rPr>
                <w:sz w:val="18"/>
                <w:szCs w:val="18"/>
              </w:rPr>
              <w:t xml:space="preserve">Utilisateurs de l'interface</w:t>
            </w:r>
          </w:p>
        </w:tc>
      </w:tr>
      <w:tr>
        <w:trPr>
          <w:cantSplit/>
        </w:trPr>
        <w:tc>
          <w:tcPr>
            <w:tcW w:w="2244" w:type="dxa"/>
            <w:shd w:val="clear" w:color="auto" w:fill="F4F7FC"/>
          </w:tcPr>
          <w:p>
            <w:pPr>
              <w:pStyle w:val="TableText"/>
            </w:pPr>
            <w:r>
              <w:rPr>
                <w:sz w:val="18"/>
                <w:szCs w:val="18"/>
              </w:rPr>
              <w:t xml:space="preserve">svc_heptagoneslm_ldap (option)</w:t>
            </w:r>
          </w:p>
        </w:tc>
        <w:tc>
          <w:tcPr>
            <w:tcW w:w="2112" w:type="dxa"/>
            <w:shd w:val="clear" w:color="auto" w:fill="F4F7FC"/>
          </w:tcPr>
          <w:p>
            <w:pPr>
              <w:pStyle w:val="TableText"/>
            </w:pPr>
            <w:r>
              <w:rPr>
                <w:sz w:val="18"/>
                <w:szCs w:val="18"/>
              </w:rPr>
              <w:t xml:space="preserve">Compte AD en lecture</w:t>
            </w:r>
          </w:p>
        </w:tc>
        <w:tc>
          <w:tcPr>
            <w:tcW w:w="3168" w:type="dxa"/>
            <w:shd w:val="clear" w:color="auto" w:fill="F4F7FC"/>
          </w:tcPr>
          <w:p>
            <w:pPr>
              <w:pStyle w:val="TableText"/>
            </w:pPr>
            <w:r>
              <w:rPr>
                <w:sz w:val="18"/>
                <w:szCs w:val="18"/>
              </w:rPr>
              <w:t xml:space="preserve">Recherche d'utilisateurs dans l'annuaire</w:t>
            </w:r>
          </w:p>
        </w:tc>
        <w:tc>
          <w:tcPr>
            <w:tcW w:w="2112" w:type="dxa"/>
            <w:shd w:val="clear" w:color="auto" w:fill="F4F7FC"/>
          </w:tcPr>
          <w:p>
            <w:pPr>
              <w:pStyle w:val="TableText"/>
            </w:pPr>
            <w:r>
              <w:rPr>
                <w:sz w:val="18"/>
                <w:szCs w:val="18"/>
              </w:rPr>
              <w:t xml:space="preserve">Seulement sans </w:t>
            </w:r>
            <w:r>
              <w:rPr>
                <w:rFonts w:ascii="Consolas" w:hAnsi="Consolas" w:cs="Consolas"/>
                <w:color w:val="1C5CAB"/>
                <w:sz w:val="18"/>
                <w:szCs w:val="18"/>
                <w:shd w:val="clear" w:color="auto" w:fill="EEF3FA"/>
              </w:rPr>
              <w:t xml:space="preserve">upn_suffix</w:t>
            </w:r>
          </w:p>
        </w:tc>
      </w:tr>
      <w:tr>
        <w:trPr>
          <w:cantSplit/>
        </w:trPr>
        <w:tc>
          <w:tcPr>
            <w:tcW w:w="2244" w:type="dxa"/>
          </w:tcPr>
          <w:p>
            <w:pPr>
              <w:pStyle w:val="TableText"/>
            </w:pPr>
            <w:r>
              <w:rPr>
                <w:sz w:val="18"/>
                <w:szCs w:val="18"/>
              </w:rPr>
              <w:t xml:space="preserve">Compte SMTP (option)</w:t>
            </w:r>
          </w:p>
        </w:tc>
        <w:tc>
          <w:tcPr>
            <w:tcW w:w="2112" w:type="dxa"/>
          </w:tcPr>
          <w:p>
            <w:pPr>
              <w:pStyle w:val="TableText"/>
            </w:pPr>
            <w:r>
              <w:rPr>
                <w:sz w:val="18"/>
                <w:szCs w:val="18"/>
              </w:rPr>
              <w:t xml:space="preserve">Compte de messagerie</w:t>
            </w:r>
          </w:p>
        </w:tc>
        <w:tc>
          <w:tcPr>
            <w:tcW w:w="3168" w:type="dxa"/>
          </w:tcPr>
          <w:p>
            <w:pPr>
              <w:pStyle w:val="TableText"/>
            </w:pPr>
            <w:r>
              <w:rPr>
                <w:sz w:val="18"/>
                <w:szCs w:val="18"/>
              </w:rPr>
              <w:t xml:space="preserve">Envoi authentifié</w:t>
            </w:r>
          </w:p>
        </w:tc>
        <w:tc>
          <w:tcPr>
            <w:tcW w:w="2112" w:type="dxa"/>
          </w:tcPr>
          <w:p>
            <w:pPr>
              <w:pStyle w:val="TableText"/>
            </w:pPr>
            <w:r>
              <w:rPr>
                <w:sz w:val="18"/>
                <w:szCs w:val="18"/>
              </w:rPr>
              <w:t xml:space="preserve">Si le relais exige une authentification</w:t>
            </w:r>
          </w:p>
        </w:tc>
      </w:tr>
      <w:tr>
        <w:trPr>
          <w:cantSplit/>
        </w:trPr>
        <w:tc>
          <w:tcPr>
            <w:tcW w:w="2244" w:type="dxa"/>
            <w:shd w:val="clear" w:color="auto" w:fill="F4F7FC"/>
          </w:tcPr>
          <w:p>
            <w:pPr>
              <w:pStyle w:val="TableText"/>
            </w:pPr>
            <w:r>
              <w:rPr>
                <w:sz w:val="18"/>
                <w:szCs w:val="18"/>
              </w:rPr>
              <w:t xml:space="preserve">Administrateur HeptagonesLM</w:t>
            </w:r>
          </w:p>
        </w:tc>
        <w:tc>
          <w:tcPr>
            <w:tcW w:w="2112" w:type="dxa"/>
            <w:shd w:val="clear" w:color="auto" w:fill="F4F7FC"/>
          </w:tcPr>
          <w:p>
            <w:pPr>
              <w:pStyle w:val="TableText"/>
            </w:pPr>
            <w:r>
              <w:rPr>
                <w:sz w:val="18"/>
                <w:szCs w:val="18"/>
              </w:rPr>
              <w:t xml:space="preserve">Compte nominatif administrateur du serveur</w:t>
            </w:r>
          </w:p>
        </w:tc>
        <w:tc>
          <w:tcPr>
            <w:tcW w:w="3168" w:type="dxa"/>
            <w:shd w:val="clear" w:color="auto" w:fill="F4F7FC"/>
          </w:tcPr>
          <w:p>
            <w:pPr>
              <w:pStyle w:val="TableText"/>
            </w:pPr>
            <w:r>
              <w:rPr>
                <w:sz w:val="18"/>
                <w:szCs w:val="18"/>
              </w:rPr>
              <w:t xml:space="preserve">Modification de la configuration, des tâches</w:t>
            </w:r>
          </w:p>
        </w:tc>
        <w:tc>
          <w:tcPr>
            <w:tcW w:w="2112" w:type="dxa"/>
            <w:shd w:val="clear" w:color="auto" w:fill="F4F7FC"/>
          </w:tcPr>
          <w:p>
            <w:pPr>
              <w:pStyle w:val="TableText"/>
            </w:pPr>
            <w:r>
              <w:rPr>
                <w:sz w:val="18"/>
                <w:szCs w:val="18"/>
              </w:rPr>
              <w:t xml:space="preserve">Exploitation N2</w:t>
            </w:r>
          </w:p>
        </w:tc>
      </w:tr>
    </w:tbl>
    <w:p>
      <w:pPr>
        <w:spacing w:after="80"/>
      </w:pPr>
    </w:p>
    <w:tbl>
      <w:tblPr>
        <w:tblW w:w="9638" w:type="dxa"/>
        <w:tblInd w:w="0" w:type="dxa"/>
        <w:tblBorders>
          <w:left w:val="single" w:sz="24" w:color="D03B3B"/>
        </w:tblBorders>
        <w:tblCellMar>
          <w:top w:w="100" w:type="dxa"/>
          <w:left w:w="180" w:type="dxa"/>
          <w:bottom w:w="100" w:type="dxa"/>
          <w:right w:w="180" w:type="dxa"/>
        </w:tblCellMar>
      </w:tblPr>
      <w:tblGrid>
        <w:gridCol w:w="9638"/>
      </w:tblGrid>
      <w:tr>
        <w:tc>
          <w:tcPr>
            <w:tcW w:w="9638" w:type="dxa"/>
            <w:shd w:val="clear" w:color="auto" w:fill="FDEEEE"/>
          </w:tcPr>
          <w:p>
            <w:pPr>
              <w:spacing w:before="0" w:after="0"/>
            </w:pPr>
            <w:r>
              <w:rPr>
                <w:b/>
                <w:color w:val="D03B3B"/>
              </w:rPr>
              <w:t xml:space="preserve">Important — </w:t>
            </w:r>
            <w:r>
              <w:rPr/>
              <w:t xml:space="preserve">Le compte SYSTEM est refusé par le script de planification pour l'interface web et, sauf option explicite </w:t>
            </w:r>
            <w:r>
              <w:rPr>
                <w:rFonts w:ascii="Consolas" w:hAnsi="Consolas" w:cs="Consolas"/>
                <w:color w:val="1C5CAB"/>
                <w:sz w:val="18"/>
                <w:szCs w:val="18"/>
                <w:shd w:val="clear" w:color="auto" w:fill="EEF3FA"/>
              </w:rPr>
              <w:t xml:space="preserve">-AllowSystem</w:t>
            </w:r>
            <w:r>
              <w:rPr/>
              <w:t xml:space="preserve">, pour les autres tâches (moindre privilège).</w:t>
            </w:r>
          </w:p>
        </w:tc>
      </w:tr>
    </w:tbl>
    <w:p>
      <w:pPr>
        <w:spacing w:after="60"/>
      </w:pPr>
    </w:p>
    <w:p>
      <w:pPr>
        <w:pStyle w:val="Heading2"/>
      </w:pPr>
      <w:bookmarkStart w:id="27" w:name="_Toc00027"/>
      <w:r>
        <w:rPr/>
        <w:t xml:space="preserve">4.4 Certificats</w:t>
      </w:r>
      <w:bookmarkEnd w:id="27"/>
    </w:p>
    <w:p>
      <w:pPr>
        <w:pStyle w:val="ListParagraph"/>
        <w:numPr>
          <w:ilvl w:val="0"/>
          <w:numId w:val="5"/>
        </w:numPr>
      </w:pPr>
      <w:r>
        <w:rPr/>
        <w:t xml:space="preserve">Certificat HTTPS du serveur HeptagonesLM (PEM : certificat + clé), délivré par l'AC d'entreprise, dont le nom correspond à l'adresse utilisée par les navigateurs. </w:t>
      </w:r>
      <w:r>
        <w:rPr>
          <w:b/>
        </w:rPr>
        <w:t xml:space="preserve">Obligatoire</w:t>
      </w:r>
      <w:r>
        <w:rPr/>
        <w:t xml:space="preserve"> dès que l'interface est ouverte sur le réseau avec la connexion AD.</w:t>
      </w:r>
    </w:p>
    <w:p>
      <w:pPr>
        <w:pStyle w:val="ListParagraph"/>
        <w:numPr>
          <w:ilvl w:val="0"/>
          <w:numId w:val="5"/>
        </w:numPr>
      </w:pPr>
      <w:r>
        <w:rPr/>
        <w:t xml:space="preserve">Certificat LDAPS des contrôleurs de domaine (fourni par l'AD CS) ; si l'AC n'est pas reconnue, fournir son certificat via </w:t>
      </w:r>
      <w:r>
        <w:rPr>
          <w:rFonts w:ascii="Consolas" w:hAnsi="Consolas" w:cs="Consolas"/>
          <w:color w:val="1C5CAB"/>
          <w:sz w:val="18"/>
          <w:szCs w:val="18"/>
          <w:shd w:val="clear" w:color="auto" w:fill="EEF3FA"/>
        </w:rPr>
        <w:t xml:space="preserve">ldap_ca_file</w:t>
      </w:r>
      <w:r>
        <w:rPr/>
        <w:t xml:space="preserve">.</w:t>
      </w:r>
    </w:p>
    <w:p>
      <w:pPr>
        <w:pStyle w:val="ListParagraph"/>
        <w:numPr>
          <w:ilvl w:val="0"/>
          <w:numId w:val="5"/>
        </w:numPr>
      </w:pPr>
      <w:r>
        <w:rPr/>
        <w:t xml:space="preserve">Certificat de l'instance SQL Server (pour </w:t>
      </w:r>
      <w:r>
        <w:rPr>
          <w:rFonts w:ascii="Consolas" w:hAnsi="Consolas" w:cs="Consolas"/>
          <w:color w:val="1C5CAB"/>
          <w:sz w:val="18"/>
          <w:szCs w:val="18"/>
          <w:shd w:val="clear" w:color="auto" w:fill="EEF3FA"/>
        </w:rPr>
        <w:t xml:space="preserve">Encrypt=yes</w:t>
      </w:r>
      <w:r>
        <w:rPr/>
        <w:t xml:space="preserve">).</w:t>
      </w:r>
    </w:p>
    <w:p>
      <w:pPr>
        <w:pStyle w:val="Heading1"/>
      </w:pPr>
      <w:bookmarkStart w:id="28" w:name="_Toc00028"/>
      <w:r>
        <w:rPr/>
        <w:t xml:space="preserve">5. Installation et mise en service</w:t>
      </w:r>
      <w:bookmarkEnd w:id="28"/>
    </w:p>
    <w:p>
      <w:pPr/>
      <w:r>
        <w:rPr/>
        <w:t xml:space="preserve">Deux méthodes : l'</w:t>
      </w:r>
      <w:r>
        <w:rPr>
          <w:b/>
        </w:rPr>
        <w:t xml:space="preserve">assistant d'installation</w:t>
      </w:r>
      <w:r>
        <w:rPr/>
        <w:t xml:space="preserve"> </w:t>
      </w:r>
      <w:r>
        <w:rPr>
          <w:rFonts w:ascii="Consolas" w:hAnsi="Consolas" w:cs="Consolas"/>
          <w:color w:val="1C5CAB"/>
          <w:sz w:val="18"/>
          <w:szCs w:val="18"/>
          <w:shd w:val="clear" w:color="auto" w:fill="EEF3FA"/>
        </w:rPr>
        <w:t xml:space="preserve">HeptagonesLM-Setup.exe</w:t>
      </w:r>
      <w:r>
        <w:rPr/>
        <w:t xml:space="preserve"> (recommandé), qui réalise et vérifie toutes les opérations, ou l'installation manuelle décrite au § 5.2 (compréhension détaillée, cas particuliers). Dans les deux cas, dérouler ensuite la recette du § 5.3. Durée indicative : une heure avec l'assistant, une demi-journée en manuel, hors délais d'ouverture de flux et de création des comptes.</w:t>
      </w:r>
    </w:p>
    <w:p>
      <w:pPr>
        <w:pStyle w:val="Heading2"/>
      </w:pPr>
      <w:bookmarkStart w:id="29" w:name="_Toc00029"/>
      <w:r>
        <w:rPr/>
        <w:t xml:space="preserve">5.1 Installation assistée (recommandée)</w:t>
      </w:r>
      <w:bookmarkEnd w:id="29"/>
    </w:p>
    <w:p>
      <w:pPr/>
      <w:r>
        <w:rPr>
          <w:rFonts w:ascii="Consolas" w:hAnsi="Consolas" w:cs="Consolas"/>
          <w:color w:val="1C5CAB"/>
          <w:sz w:val="18"/>
          <w:szCs w:val="18"/>
          <w:shd w:val="clear" w:color="auto" w:fill="EEF3FA"/>
        </w:rPr>
        <w:t xml:space="preserve">HeptagonesLM-Setup.exe</w:t>
      </w:r>
      <w:r>
        <w:rPr/>
        <w:t xml:space="preserve"> demande l'élévation administrateur puis ouvre un assistant dans le navigateur (la console qui affiche son adresse doit rester ouverte). L'assistant n'écoute que sur le serveur lui-même et est protégé par un jeton de session.</w:t>
      </w:r>
    </w:p>
    <w:p>
      <w:pPr>
        <w:pStyle w:val="Caption"/>
        <w:keepNext/>
      </w:pPr>
      <w:r>
        <w:rPr/>
        <w:t xml:space="preserve">Tableau 12 – Étapes de l'assistant d'installation</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202"/>
        <w:gridCol w:w="4405"/>
        <w:gridCol w:w="3029"/>
      </w:tblGrid>
      <w:tr>
        <w:trPr>
          <w:tblHeader/>
          <w:cantSplit/>
        </w:trPr>
        <w:tc>
          <w:tcPr>
            <w:tcW w:w="2202" w:type="dxa"/>
            <w:shd w:val="clear" w:color="auto" w:fill="2A78D6"/>
          </w:tcPr>
          <w:p>
            <w:pPr>
              <w:pStyle w:val="TableText"/>
            </w:pPr>
            <w:r>
              <w:rPr>
                <w:b/>
                <w:color w:val="FFFFFF"/>
                <w:sz w:val="18"/>
                <w:szCs w:val="18"/>
              </w:rPr>
              <w:t xml:space="preserve">Étape</w:t>
            </w:r>
          </w:p>
        </w:tc>
        <w:tc>
          <w:tcPr>
            <w:tcW w:w="4405" w:type="dxa"/>
            <w:shd w:val="clear" w:color="auto" w:fill="2A78D6"/>
          </w:tcPr>
          <w:p>
            <w:pPr>
              <w:pStyle w:val="TableText"/>
            </w:pPr>
            <w:r>
              <w:rPr>
                <w:b/>
                <w:color w:val="FFFFFF"/>
                <w:sz w:val="18"/>
                <w:szCs w:val="18"/>
              </w:rPr>
              <w:t xml:space="preserve">Contenu</w:t>
            </w:r>
          </w:p>
        </w:tc>
        <w:tc>
          <w:tcPr>
            <w:tcW w:w="3029" w:type="dxa"/>
            <w:shd w:val="clear" w:color="auto" w:fill="2A78D6"/>
          </w:tcPr>
          <w:p>
            <w:pPr>
              <w:pStyle w:val="TableText"/>
            </w:pPr>
            <w:r>
              <w:rPr>
                <w:b/>
                <w:color w:val="FFFFFF"/>
                <w:sz w:val="18"/>
                <w:szCs w:val="18"/>
              </w:rPr>
              <w:t xml:space="preserve">Contrôles et tests</w:t>
            </w:r>
          </w:p>
        </w:tc>
      </w:tr>
      <w:tr>
        <w:trPr>
          <w:cantSplit/>
        </w:trPr>
        <w:tc>
          <w:tcPr>
            <w:tcW w:w="2202" w:type="dxa"/>
          </w:tcPr>
          <w:p>
            <w:pPr>
              <w:pStyle w:val="TableText"/>
            </w:pPr>
            <w:r>
              <w:rPr>
                <w:sz w:val="18"/>
                <w:szCs w:val="18"/>
              </w:rPr>
              <w:t xml:space="preserve">1. Bienvenue</w:t>
            </w:r>
          </w:p>
        </w:tc>
        <w:tc>
          <w:tcPr>
            <w:tcW w:w="4405" w:type="dxa"/>
          </w:tcPr>
          <w:p>
            <w:pPr>
              <w:pStyle w:val="TableText"/>
            </w:pPr>
            <w:r>
              <w:rPr>
                <w:sz w:val="18"/>
                <w:szCs w:val="18"/>
              </w:rPr>
              <w:t xml:space="preserve">Informations sur le serveur, éléments à préparer</w:t>
            </w:r>
          </w:p>
        </w:tc>
        <w:tc>
          <w:tcPr>
            <w:tcW w:w="3029" w:type="dxa"/>
          </w:tcPr>
          <w:p>
            <w:pPr>
              <w:pStyle w:val="TableText"/>
            </w:pPr>
            <w:r>
              <w:rPr>
                <w:sz w:val="18"/>
                <w:szCs w:val="18"/>
              </w:rPr>
              <w:t xml:space="preserve">Droits d'administrateur</w:t>
            </w:r>
          </w:p>
        </w:tc>
      </w:tr>
      <w:tr>
        <w:trPr>
          <w:cantSplit/>
        </w:trPr>
        <w:tc>
          <w:tcPr>
            <w:tcW w:w="2202" w:type="dxa"/>
            <w:shd w:val="clear" w:color="auto" w:fill="F4F7FC"/>
          </w:tcPr>
          <w:p>
            <w:pPr>
              <w:pStyle w:val="TableText"/>
            </w:pPr>
            <w:r>
              <w:rPr>
                <w:sz w:val="18"/>
                <w:szCs w:val="18"/>
              </w:rPr>
              <w:t xml:space="preserve">2. Vérification du serveur</w:t>
            </w:r>
          </w:p>
        </w:tc>
        <w:tc>
          <w:tcPr>
            <w:tcW w:w="4405" w:type="dxa"/>
            <w:shd w:val="clear" w:color="auto" w:fill="F4F7FC"/>
          </w:tcPr>
          <w:p>
            <w:pPr>
              <w:pStyle w:val="TableText"/>
            </w:pPr>
            <w:r>
              <w:rPr>
                <w:sz w:val="18"/>
                <w:szCs w:val="18"/>
              </w:rPr>
              <w:t xml:space="preserve">Système, disque, domaine, pilote ODBC, lmutil, port, rôles et modules IIS, certificats</w:t>
            </w:r>
          </w:p>
        </w:tc>
        <w:tc>
          <w:tcPr>
            <w:tcW w:w="3029" w:type="dxa"/>
            <w:shd w:val="clear" w:color="auto" w:fill="F4F7FC"/>
          </w:tcPr>
          <w:p>
            <w:pPr>
              <w:pStyle w:val="TableText"/>
            </w:pPr>
            <w:r>
              <w:rPr>
                <w:sz w:val="18"/>
                <w:szCs w:val="18"/>
              </w:rPr>
              <w:t xml:space="preserve">Installation automatique des rôles IIS, d'URL Rewrite et d'ARR</w:t>
            </w:r>
          </w:p>
        </w:tc>
      </w:tr>
      <w:tr>
        <w:trPr>
          <w:cantSplit/>
        </w:trPr>
        <w:tc>
          <w:tcPr>
            <w:tcW w:w="2202" w:type="dxa"/>
          </w:tcPr>
          <w:p>
            <w:pPr>
              <w:pStyle w:val="TableText"/>
            </w:pPr>
            <w:r>
              <w:rPr>
                <w:sz w:val="18"/>
                <w:szCs w:val="18"/>
              </w:rPr>
              <w:t xml:space="preserve">3. Emplacement et compte</w:t>
            </w:r>
          </w:p>
        </w:tc>
        <w:tc>
          <w:tcPr>
            <w:tcW w:w="4405" w:type="dxa"/>
          </w:tcPr>
          <w:p>
            <w:pPr>
              <w:pStyle w:val="TableText"/>
            </w:pPr>
            <w:r>
              <w:rPr>
                <w:sz w:val="18"/>
                <w:szCs w:val="18"/>
              </w:rPr>
              <w:t xml:space="preserve">Dossier, compte de service (gMSA ou compte + mot de passe), intervalle de collecte</w:t>
            </w:r>
          </w:p>
        </w:tc>
        <w:tc>
          <w:tcPr>
            <w:tcW w:w="3029" w:type="dxa"/>
          </w:tcPr>
          <w:p>
            <w:pPr>
              <w:pStyle w:val="TableText"/>
            </w:pPr>
            <w:r>
              <w:rPr>
                <w:sz w:val="18"/>
                <w:szCs w:val="18"/>
              </w:rPr>
              <w:t xml:space="preserve">Compte trouvé, mot de passe valide</w:t>
            </w:r>
          </w:p>
        </w:tc>
      </w:tr>
      <w:tr>
        <w:trPr>
          <w:cantSplit/>
        </w:trPr>
        <w:tc>
          <w:tcPr>
            <w:tcW w:w="2202" w:type="dxa"/>
            <w:shd w:val="clear" w:color="auto" w:fill="F4F7FC"/>
          </w:tcPr>
          <w:p>
            <w:pPr>
              <w:pStyle w:val="TableText"/>
            </w:pPr>
            <w:r>
              <w:rPr>
                <w:sz w:val="18"/>
                <w:szCs w:val="18"/>
              </w:rPr>
              <w:t xml:space="preserve">4. Base de données</w:t>
            </w:r>
          </w:p>
        </w:tc>
        <w:tc>
          <w:tcPr>
            <w:tcW w:w="4405" w:type="dxa"/>
            <w:shd w:val="clear" w:color="auto" w:fill="F4F7FC"/>
          </w:tcPr>
          <w:p>
            <w:pPr>
              <w:pStyle w:val="TableText"/>
            </w:pPr>
            <w:r>
              <w:rPr>
                <w:sz w:val="18"/>
                <w:szCs w:val="18"/>
              </w:rPr>
              <w:t xml:space="preserve">SQL Server (instance, base, authentification, chiffrement, création) ou SQLite</w:t>
            </w:r>
          </w:p>
        </w:tc>
        <w:tc>
          <w:tcPr>
            <w:tcW w:w="3029" w:type="dxa"/>
            <w:shd w:val="clear" w:color="auto" w:fill="F4F7FC"/>
          </w:tcPr>
          <w:p>
            <w:pPr>
              <w:pStyle w:val="TableText"/>
            </w:pPr>
            <w:r>
              <w:rPr>
                <w:sz w:val="18"/>
                <w:szCs w:val="18"/>
              </w:rPr>
              <w:t xml:space="preserve">Connexion, base existante, droits de création</w:t>
            </w:r>
          </w:p>
        </w:tc>
      </w:tr>
      <w:tr>
        <w:trPr>
          <w:cantSplit/>
        </w:trPr>
        <w:tc>
          <w:tcPr>
            <w:tcW w:w="2202" w:type="dxa"/>
          </w:tcPr>
          <w:p>
            <w:pPr>
              <w:pStyle w:val="TableText"/>
            </w:pPr>
            <w:r>
              <w:rPr>
                <w:sz w:val="18"/>
                <w:szCs w:val="18"/>
              </w:rPr>
              <w:t xml:space="preserve">5. Serveurs de licences</w:t>
            </w:r>
          </w:p>
        </w:tc>
        <w:tc>
          <w:tcPr>
            <w:tcW w:w="4405" w:type="dxa"/>
          </w:tcPr>
          <w:p>
            <w:pPr>
              <w:pStyle w:val="TableText"/>
            </w:pPr>
            <w:r>
              <w:rPr>
                <w:sz w:val="18"/>
                <w:szCs w:val="18"/>
              </w:rPr>
              <w:t xml:space="preserve">Serveurs (type FlexLM ou RLM, triades, log debug) ; lmutil / rlmutil : chemin, dossier ou bouton « Rechercher l'outil » (ce serveur et les serveurs de licences, copie dans bin)</w:t>
            </w:r>
          </w:p>
        </w:tc>
        <w:tc>
          <w:tcPr>
            <w:tcW w:w="3029" w:type="dxa"/>
          </w:tcPr>
          <w:p>
            <w:pPr>
              <w:pStyle w:val="TableText"/>
            </w:pPr>
            <w:r>
              <w:rPr>
                <w:sz w:val="18"/>
                <w:szCs w:val="18"/>
              </w:rPr>
              <w:t xml:space="preserve">lmstat / rlmstat en direct pour chaque serveur</w:t>
            </w:r>
          </w:p>
        </w:tc>
      </w:tr>
      <w:tr>
        <w:trPr>
          <w:cantSplit/>
        </w:trPr>
        <w:tc>
          <w:tcPr>
            <w:tcW w:w="2202" w:type="dxa"/>
            <w:shd w:val="clear" w:color="auto" w:fill="F4F7FC"/>
          </w:tcPr>
          <w:p>
            <w:pPr>
              <w:pStyle w:val="TableText"/>
            </w:pPr>
            <w:r>
              <w:rPr>
                <w:sz w:val="18"/>
                <w:szCs w:val="18"/>
              </w:rPr>
              <w:t xml:space="preserve">6. Interface web et IIS</w:t>
            </w:r>
          </w:p>
        </w:tc>
        <w:tc>
          <w:tcPr>
            <w:tcW w:w="4405" w:type="dxa"/>
            <w:shd w:val="clear" w:color="auto" w:fill="F4F7FC"/>
          </w:tcPr>
          <w:p>
            <w:pPr>
              <w:pStyle w:val="TableText"/>
            </w:pPr>
            <w:r>
              <w:rPr>
                <w:sz w:val="18"/>
                <w:szCs w:val="18"/>
              </w:rPr>
              <w:t xml:space="preserve">IIS avec connexion Windows (recommandé), HTTPS intégré avec identifiants AD, ou poste local</w:t>
            </w:r>
          </w:p>
        </w:tc>
        <w:tc>
          <w:tcPr>
            <w:tcW w:w="3029" w:type="dxa"/>
            <w:shd w:val="clear" w:color="auto" w:fill="F4F7FC"/>
          </w:tcPr>
          <w:p>
            <w:pPr>
              <w:pStyle w:val="TableText"/>
            </w:pPr>
            <w:r>
              <w:rPr>
                <w:sz w:val="18"/>
                <w:szCs w:val="18"/>
              </w:rPr>
              <w:t xml:space="preserve">Certificat, groupe AD, connexion LDAP</w:t>
            </w:r>
          </w:p>
        </w:tc>
      </w:tr>
      <w:tr>
        <w:trPr>
          <w:cantSplit/>
        </w:trPr>
        <w:tc>
          <w:tcPr>
            <w:tcW w:w="2202" w:type="dxa"/>
          </w:tcPr>
          <w:p>
            <w:pPr>
              <w:pStyle w:val="TableText"/>
            </w:pPr>
            <w:r>
              <w:rPr>
                <w:sz w:val="18"/>
                <w:szCs w:val="18"/>
              </w:rPr>
              <w:t xml:space="preserve">7. Rapport par e-mail</w:t>
            </w:r>
          </w:p>
        </w:tc>
        <w:tc>
          <w:tcPr>
            <w:tcW w:w="4405" w:type="dxa"/>
          </w:tcPr>
          <w:p>
            <w:pPr>
              <w:pStyle w:val="TableText"/>
            </w:pPr>
            <w:r>
              <w:rPr>
                <w:sz w:val="18"/>
                <w:szCs w:val="18"/>
              </w:rPr>
              <w:t xml:space="preserve">Relais SMTP, expéditeur, destinataires, alertes immédiates</w:t>
            </w:r>
          </w:p>
        </w:tc>
        <w:tc>
          <w:tcPr>
            <w:tcW w:w="3029" w:type="dxa"/>
          </w:tcPr>
          <w:p>
            <w:pPr>
              <w:pStyle w:val="TableText"/>
            </w:pPr>
            <w:r>
              <w:rPr>
                <w:sz w:val="18"/>
                <w:szCs w:val="18"/>
              </w:rPr>
              <w:t xml:space="preserve">Message de test</w:t>
            </w:r>
          </w:p>
        </w:tc>
      </w:tr>
      <w:tr>
        <w:trPr>
          <w:cantSplit/>
        </w:trPr>
        <w:tc>
          <w:tcPr>
            <w:tcW w:w="2202" w:type="dxa"/>
            <w:shd w:val="clear" w:color="auto" w:fill="F4F7FC"/>
          </w:tcPr>
          <w:p>
            <w:pPr>
              <w:pStyle w:val="TableText"/>
            </w:pPr>
            <w:r>
              <w:rPr>
                <w:sz w:val="18"/>
                <w:szCs w:val="18"/>
              </w:rPr>
              <w:t xml:space="preserve">8. Tickets ITSM</w:t>
            </w:r>
          </w:p>
        </w:tc>
        <w:tc>
          <w:tcPr>
            <w:tcW w:w="4405" w:type="dxa"/>
            <w:shd w:val="clear" w:color="auto" w:fill="F4F7FC"/>
          </w:tcPr>
          <w:p>
            <w:pPr>
              <w:pStyle w:val="TableText"/>
            </w:pPr>
            <w:r>
              <w:rPr>
                <w:sz w:val="18"/>
                <w:szCs w:val="18"/>
              </w:rPr>
              <w:t xml:space="preserve">Optionnel : ServiceNow, Jira, GLPI ou Teams / Slack ; adresse, compte technique, mot de passe ou jetons (chiffrés par DPAPI), gravité minimale</w:t>
            </w:r>
          </w:p>
        </w:tc>
        <w:tc>
          <w:tcPr>
            <w:tcW w:w="3029" w:type="dxa"/>
            <w:shd w:val="clear" w:color="auto" w:fill="F4F7FC"/>
          </w:tcPr>
          <w:p>
            <w:pPr>
              <w:pStyle w:val="TableText"/>
            </w:pPr>
            <w:r>
              <w:rPr>
                <w:sz w:val="18"/>
                <w:szCs w:val="18"/>
              </w:rPr>
              <w:t xml:space="preserve">Ticket de test ouvert, commenté puis résolu</w:t>
            </w:r>
          </w:p>
        </w:tc>
      </w:tr>
      <w:tr>
        <w:trPr>
          <w:cantSplit/>
        </w:trPr>
        <w:tc>
          <w:tcPr>
            <w:tcW w:w="2202" w:type="dxa"/>
          </w:tcPr>
          <w:p>
            <w:pPr>
              <w:pStyle w:val="TableText"/>
            </w:pPr>
            <w:r>
              <w:rPr>
                <w:sz w:val="18"/>
                <w:szCs w:val="18"/>
              </w:rPr>
              <w:t xml:space="preserve">9. Récapitulatif</w:t>
            </w:r>
          </w:p>
        </w:tc>
        <w:tc>
          <w:tcPr>
            <w:tcW w:w="4405" w:type="dxa"/>
          </w:tcPr>
          <w:p>
            <w:pPr>
              <w:pStyle w:val="TableText"/>
            </w:pPr>
            <w:r>
              <w:rPr>
                <w:sz w:val="18"/>
                <w:szCs w:val="18"/>
              </w:rPr>
              <w:t xml:space="preserve">Configuration, prérequis, tâches, étapes, heptagoneslm.yaml généré</w:t>
            </w:r>
          </w:p>
        </w:tc>
        <w:tc>
          <w:tcPr>
            <w:tcW w:w="3029" w:type="dxa"/>
          </w:tcPr>
          <w:p>
            <w:pPr>
              <w:pStyle w:val="TableText"/>
            </w:pPr>
            <w:r>
              <w:rPr>
                <w:sz w:val="18"/>
                <w:szCs w:val="18"/>
              </w:rPr>
              <w:t xml:space="preserve">Prérequis bloquants</w:t>
            </w:r>
          </w:p>
        </w:tc>
      </w:tr>
      <w:tr>
        <w:trPr>
          <w:cantSplit/>
        </w:trPr>
        <w:tc>
          <w:tcPr>
            <w:tcW w:w="2202" w:type="dxa"/>
            <w:shd w:val="clear" w:color="auto" w:fill="F4F7FC"/>
          </w:tcPr>
          <w:p>
            <w:pPr>
              <w:pStyle w:val="TableText"/>
            </w:pPr>
            <w:r>
              <w:rPr>
                <w:sz w:val="18"/>
                <w:szCs w:val="18"/>
              </w:rPr>
              <w:t xml:space="preserve">10. Installation</w:t>
            </w:r>
          </w:p>
        </w:tc>
        <w:tc>
          <w:tcPr>
            <w:tcW w:w="4405" w:type="dxa"/>
            <w:shd w:val="clear" w:color="auto" w:fill="F4F7FC"/>
          </w:tcPr>
          <w:p>
            <w:pPr>
              <w:pStyle w:val="TableText"/>
            </w:pPr>
            <w:r>
              <w:rPr>
                <w:sz w:val="18"/>
                <w:szCs w:val="18"/>
              </w:rPr>
              <w:t xml:space="preserve">Barre de progression, étapes, journal détaillé ; reprise à l'étape en échec</w:t>
            </w:r>
          </w:p>
        </w:tc>
        <w:tc>
          <w:tcPr>
            <w:tcW w:w="3029" w:type="dxa"/>
            <w:shd w:val="clear" w:color="auto" w:fill="F4F7FC"/>
          </w:tcPr>
          <w:p>
            <w:pPr>
              <w:pStyle w:val="TableText"/>
            </w:pPr>
            <w:r>
              <w:rPr>
                <w:sz w:val="18"/>
                <w:szCs w:val="18"/>
              </w:rPr>
              <w:t xml:space="preserve">—</w:t>
            </w:r>
          </w:p>
        </w:tc>
      </w:tr>
      <w:tr>
        <w:trPr>
          <w:cantSplit/>
        </w:trPr>
        <w:tc>
          <w:tcPr>
            <w:tcW w:w="2202" w:type="dxa"/>
          </w:tcPr>
          <w:p>
            <w:pPr>
              <w:pStyle w:val="TableText"/>
            </w:pPr>
            <w:r>
              <w:rPr>
                <w:sz w:val="18"/>
                <w:szCs w:val="18"/>
              </w:rPr>
              <w:t xml:space="preserve">11. Vérification</w:t>
            </w:r>
          </w:p>
        </w:tc>
        <w:tc>
          <w:tcPr>
            <w:tcW w:w="4405" w:type="dxa"/>
          </w:tcPr>
          <w:p>
            <w:pPr>
              <w:pStyle w:val="TableText"/>
            </w:pPr>
            <w:r>
              <w:rPr>
                <w:sz w:val="18"/>
                <w:szCs w:val="18"/>
              </w:rPr>
              <w:t xml:space="preserve">Contrôle de bout en bout (dont le secret ITSM) et rapport d'installation</w:t>
            </w:r>
          </w:p>
        </w:tc>
        <w:tc>
          <w:tcPr>
            <w:tcW w:w="3029" w:type="dxa"/>
          </w:tcPr>
          <w:p>
            <w:pPr>
              <w:pStyle w:val="TableText"/>
            </w:pPr>
            <w:r>
              <w:rPr>
                <w:sz w:val="18"/>
                <w:szCs w:val="18"/>
              </w:rPr>
              <w:t xml:space="preserve">Voir ci-dessous</w:t>
            </w:r>
          </w:p>
        </w:tc>
      </w:tr>
      <w:tr>
        <w:trPr>
          <w:cantSplit/>
        </w:trPr>
        <w:tc>
          <w:tcPr>
            <w:tcW w:w="2202" w:type="dxa"/>
            <w:shd w:val="clear" w:color="auto" w:fill="F4F7FC"/>
          </w:tcPr>
          <w:p>
            <w:pPr>
              <w:pStyle w:val="TableText"/>
            </w:pPr>
            <w:r>
              <w:rPr>
                <w:sz w:val="18"/>
                <w:szCs w:val="18"/>
              </w:rPr>
              <w:t xml:space="preserve">12. Recette</w:t>
            </w:r>
          </w:p>
        </w:tc>
        <w:tc>
          <w:tcPr>
            <w:tcW w:w="4405" w:type="dxa"/>
            <w:shd w:val="clear" w:color="auto" w:fill="F4F7FC"/>
          </w:tcPr>
          <w:p>
            <w:pPr>
              <w:pStyle w:val="TableText"/>
            </w:pPr>
            <w:r>
              <w:rPr>
                <w:sz w:val="18"/>
                <w:szCs w:val="18"/>
              </w:rPr>
              <w:t xml:space="preserve">Comparaison avec les serveurs de licences, collecte sur N heures, accès et refus, notifications, rapport ; PV Word</w:t>
            </w:r>
          </w:p>
        </w:tc>
        <w:tc>
          <w:tcPr>
            <w:tcW w:w="3029" w:type="dxa"/>
            <w:shd w:val="clear" w:color="auto" w:fill="F4F7FC"/>
          </w:tcPr>
          <w:p>
            <w:pPr>
              <w:pStyle w:val="TableText"/>
            </w:pPr>
            <w:r>
              <w:rPr>
                <w:sz w:val="18"/>
                <w:szCs w:val="18"/>
              </w:rPr>
              <w:t xml:space="preserve">Voir § 5.3</w:t>
            </w:r>
          </w:p>
        </w:tc>
      </w:tr>
    </w:tbl>
    <w:p>
      <w:pPr>
        <w:spacing w:after="80"/>
      </w:pPr>
    </w:p>
    <w:p>
      <w:pPr>
        <w:pStyle w:val="Figure"/>
        <w:keepNext/>
      </w:pPr>
      <w:r>
        <w:drawing>
          <wp:inline distT="0" distB="0" distL="0" distR="0">
            <wp:extent cx="5580000" cy="3749062"/>
            <wp:docPr id="6" name="Image 6" descr="Assistant : vérification du serveur et corrections automatiques"/>
            <wp:cNvGraphicFramePr>
              <a:graphicFrameLocks noChangeAspect="1"/>
            </wp:cNvGraphicFramePr>
            <a:graphic>
              <a:graphicData uri="http://schemas.openxmlformats.org/drawingml/2006/picture">
                <pic:pic>
                  <pic:nvPicPr>
                    <pic:cNvPr id="6" name="installation-prerequis.png"/>
                    <pic:cNvPicPr/>
                  </pic:nvPicPr>
                  <pic:blipFill>
                    <a:blip r:embed="rIdImg6"/>
                    <a:stretch>
                      <a:fillRect/>
                    </a:stretch>
                  </pic:blipFill>
                  <pic:spPr>
                    <a:xfrm>
                      <a:off x="0" y="0"/>
                      <a:ext cx="5580000" cy="3749062"/>
                    </a:xfrm>
                    <a:prstGeom prst="rect">
                      <a:avLst/>
                    </a:prstGeom>
                    <a:ln w="9525">
                      <a:solidFill>
                        <a:srgbClr val="D9D8D2"/>
                      </a:solidFill>
                    </a:ln>
                  </pic:spPr>
                </pic:pic>
              </a:graphicData>
            </a:graphic>
          </wp:inline>
        </w:drawing>
      </w:r>
    </w:p>
    <w:p>
      <w:pPr>
        <w:pStyle w:val="Caption"/>
      </w:pPr>
      <w:bookmarkStart w:id="30" w:name="_Fig00030"/>
      <w:r>
        <w:rPr/>
        <w:t xml:space="preserve">Figure </w:t>
      </w:r>
      <w:fldSimple w:instr=" SEQ Figure \* ARABIC ">
        <w:r>
          <w:t>5</w:t>
        </w:r>
      </w:fldSimple>
      <w:r>
        <w:rPr/>
        <w:t xml:space="preserve"> – Assistant : vérification du serveur et corrections automatiques</w:t>
      </w:r>
      <w:bookmarkEnd w:id="30"/>
    </w:p>
    <w:p>
      <w:pPr>
        <w:pStyle w:val="Figure"/>
        <w:keepNext/>
      </w:pPr>
      <w:r>
        <w:drawing>
          <wp:inline distT="0" distB="0" distL="0" distR="0">
            <wp:extent cx="5580000" cy="3749062"/>
            <wp:docPr id="7" name="Image 7" descr="Assistant : IIS, certificat et groupe autorisé"/>
            <wp:cNvGraphicFramePr>
              <a:graphicFrameLocks noChangeAspect="1"/>
            </wp:cNvGraphicFramePr>
            <a:graphic>
              <a:graphicData uri="http://schemas.openxmlformats.org/drawingml/2006/picture">
                <pic:pic>
                  <pic:nvPicPr>
                    <pic:cNvPr id="7" name="installation-iis.png"/>
                    <pic:cNvPicPr/>
                  </pic:nvPicPr>
                  <pic:blipFill>
                    <a:blip r:embed="rIdImg7"/>
                    <a:stretch>
                      <a:fillRect/>
                    </a:stretch>
                  </pic:blipFill>
                  <pic:spPr>
                    <a:xfrm>
                      <a:off x="0" y="0"/>
                      <a:ext cx="5580000" cy="3749062"/>
                    </a:xfrm>
                    <a:prstGeom prst="rect">
                      <a:avLst/>
                    </a:prstGeom>
                    <a:ln w="9525">
                      <a:solidFill>
                        <a:srgbClr val="D9D8D2"/>
                      </a:solidFill>
                    </a:ln>
                  </pic:spPr>
                </pic:pic>
              </a:graphicData>
            </a:graphic>
          </wp:inline>
        </w:drawing>
      </w:r>
    </w:p>
    <w:p>
      <w:pPr>
        <w:pStyle w:val="Caption"/>
      </w:pPr>
      <w:bookmarkStart w:id="31" w:name="_Fig00031"/>
      <w:r>
        <w:rPr/>
        <w:t xml:space="preserve">Figure </w:t>
      </w:r>
      <w:fldSimple w:instr=" SEQ Figure \* ARABIC ">
        <w:r>
          <w:t>6</w:t>
        </w:r>
      </w:fldSimple>
      <w:r>
        <w:rPr/>
        <w:t xml:space="preserve"> – Assistant : IIS, certificat et groupe autorisé</w:t>
      </w:r>
      <w:bookmarkEnd w:id="31"/>
    </w:p>
    <w:p>
      <w:pPr>
        <w:pStyle w:val="Figure"/>
        <w:keepNext/>
      </w:pPr>
      <w:r>
        <w:drawing>
          <wp:inline distT="0" distB="0" distL="0" distR="0">
            <wp:extent cx="5580000" cy="3749062"/>
            <wp:docPr id="8" name="Image 8" descr="Assistant : tickets ITSM et ticket de test (ServiceNow)"/>
            <wp:cNvGraphicFramePr>
              <a:graphicFrameLocks noChangeAspect="1"/>
            </wp:cNvGraphicFramePr>
            <a:graphic>
              <a:graphicData uri="http://schemas.openxmlformats.org/drawingml/2006/picture">
                <pic:pic>
                  <pic:nvPicPr>
                    <pic:cNvPr id="8" name="installation-itsm.png"/>
                    <pic:cNvPicPr/>
                  </pic:nvPicPr>
                  <pic:blipFill>
                    <a:blip r:embed="rIdImg8"/>
                    <a:stretch>
                      <a:fillRect/>
                    </a:stretch>
                  </pic:blipFill>
                  <pic:spPr>
                    <a:xfrm>
                      <a:off x="0" y="0"/>
                      <a:ext cx="5580000" cy="3749062"/>
                    </a:xfrm>
                    <a:prstGeom prst="rect">
                      <a:avLst/>
                    </a:prstGeom>
                    <a:ln w="9525">
                      <a:solidFill>
                        <a:srgbClr val="D9D8D2"/>
                      </a:solidFill>
                    </a:ln>
                  </pic:spPr>
                </pic:pic>
              </a:graphicData>
            </a:graphic>
          </wp:inline>
        </w:drawing>
      </w:r>
    </w:p>
    <w:p>
      <w:pPr>
        <w:pStyle w:val="Caption"/>
      </w:pPr>
      <w:bookmarkStart w:id="32" w:name="_Fig00032"/>
      <w:r>
        <w:rPr/>
        <w:t xml:space="preserve">Figure </w:t>
      </w:r>
      <w:fldSimple w:instr=" SEQ Figure \* ARABIC ">
        <w:r>
          <w:t>7</w:t>
        </w:r>
      </w:fldSimple>
      <w:r>
        <w:rPr/>
        <w:t xml:space="preserve"> – Assistant : tickets ITSM et ticket de test (ServiceNow)</w:t>
      </w:r>
      <w:bookmarkEnd w:id="32"/>
    </w:p>
    <w:p>
      <w:pPr>
        <w:pStyle w:val="Figure"/>
        <w:keepNext/>
      </w:pPr>
      <w:r>
        <w:drawing>
          <wp:inline distT="0" distB="0" distL="0" distR="0">
            <wp:extent cx="5580000" cy="3749062"/>
            <wp:docPr id="9" name="Image 9" descr="Assistant : récapitulatif avant installation"/>
            <wp:cNvGraphicFramePr>
              <a:graphicFrameLocks noChangeAspect="1"/>
            </wp:cNvGraphicFramePr>
            <a:graphic>
              <a:graphicData uri="http://schemas.openxmlformats.org/drawingml/2006/picture">
                <pic:pic>
                  <pic:nvPicPr>
                    <pic:cNvPr id="9" name="installation-recapitulatif.png"/>
                    <pic:cNvPicPr/>
                  </pic:nvPicPr>
                  <pic:blipFill>
                    <a:blip r:embed="rIdImg9"/>
                    <a:stretch>
                      <a:fillRect/>
                    </a:stretch>
                  </pic:blipFill>
                  <pic:spPr>
                    <a:xfrm>
                      <a:off x="0" y="0"/>
                      <a:ext cx="5580000" cy="3749062"/>
                    </a:xfrm>
                    <a:prstGeom prst="rect">
                      <a:avLst/>
                    </a:prstGeom>
                    <a:ln w="9525">
                      <a:solidFill>
                        <a:srgbClr val="D9D8D2"/>
                      </a:solidFill>
                    </a:ln>
                  </pic:spPr>
                </pic:pic>
              </a:graphicData>
            </a:graphic>
          </wp:inline>
        </w:drawing>
      </w:r>
    </w:p>
    <w:p>
      <w:pPr>
        <w:pStyle w:val="Caption"/>
      </w:pPr>
      <w:bookmarkStart w:id="33" w:name="_Fig00033"/>
      <w:r>
        <w:rPr/>
        <w:t xml:space="preserve">Figure </w:t>
      </w:r>
      <w:fldSimple w:instr=" SEQ Figure \* ARABIC ">
        <w:r>
          <w:t>8</w:t>
        </w:r>
      </w:fldSimple>
      <w:r>
        <w:rPr/>
        <w:t xml:space="preserve"> – Assistant : récapitulatif avant installation</w:t>
      </w:r>
      <w:bookmarkEnd w:id="33"/>
    </w:p>
    <w:p>
      <w:pPr>
        <w:pStyle w:val="Figure"/>
        <w:keepNext/>
      </w:pPr>
      <w:r>
        <w:drawing>
          <wp:inline distT="0" distB="0" distL="0" distR="0">
            <wp:extent cx="5580000" cy="3749062"/>
            <wp:docPr id="10" name="Image 10" descr="Assistant : installation avec barre de progression"/>
            <wp:cNvGraphicFramePr>
              <a:graphicFrameLocks noChangeAspect="1"/>
            </wp:cNvGraphicFramePr>
            <a:graphic>
              <a:graphicData uri="http://schemas.openxmlformats.org/drawingml/2006/picture">
                <pic:pic>
                  <pic:nvPicPr>
                    <pic:cNvPr id="10" name="installation-progression.png"/>
                    <pic:cNvPicPr/>
                  </pic:nvPicPr>
                  <pic:blipFill>
                    <a:blip r:embed="rIdImg10"/>
                    <a:stretch>
                      <a:fillRect/>
                    </a:stretch>
                  </pic:blipFill>
                  <pic:spPr>
                    <a:xfrm>
                      <a:off x="0" y="0"/>
                      <a:ext cx="5580000" cy="3749062"/>
                    </a:xfrm>
                    <a:prstGeom prst="rect">
                      <a:avLst/>
                    </a:prstGeom>
                    <a:ln w="9525">
                      <a:solidFill>
                        <a:srgbClr val="D9D8D2"/>
                      </a:solidFill>
                    </a:ln>
                  </pic:spPr>
                </pic:pic>
              </a:graphicData>
            </a:graphic>
          </wp:inline>
        </w:drawing>
      </w:r>
    </w:p>
    <w:p>
      <w:pPr>
        <w:pStyle w:val="Caption"/>
      </w:pPr>
      <w:bookmarkStart w:id="34" w:name="_Fig00034"/>
      <w:r>
        <w:rPr/>
        <w:t xml:space="preserve">Figure </w:t>
      </w:r>
      <w:fldSimple w:instr=" SEQ Figure \* ARABIC ">
        <w:r>
          <w:t>9</w:t>
        </w:r>
      </w:fldSimple>
      <w:r>
        <w:rPr/>
        <w:t xml:space="preserve"> – Assistant : installation avec barre de progression</w:t>
      </w:r>
      <w:bookmarkEnd w:id="34"/>
    </w:p>
    <w:p>
      <w:pPr/>
      <w:r>
        <w:rPr/>
        <w:t xml:space="preserve">L'installation enchaîne des étapes </w:t>
      </w:r>
      <w:r>
        <w:rPr>
          <w:b/>
        </w:rPr>
        <w:t xml:space="preserve">idempotentes</w:t>
      </w:r>
      <w:r>
        <w:rPr/>
        <w:t xml:space="preserve"> (relancer l'assistant ne casse rien) : dossiers, copie de HeptagonesLM.exe, heptagoneslm.yaml (l'ancien est sauvegardé), secrets en variables d'environnement machine ou chiffrés par Windows (DPAPI) dans secrets\ pour l'outil ITSM (dossier réservé à SYSTEM, aux administrateurs et au compte de service), droits NTFS du compte de service, base et droits SQL, schéma, première collecte, rôles et modules IIS, site HTTPS avec authentification Windows et proxy vers HeptagonesLM, tâches planifiées, pare-feu, démarrage de l'interface.</w:t>
      </w:r>
    </w:p>
    <w:p>
      <w:pPr>
        <w:pStyle w:val="Figure"/>
        <w:keepNext/>
      </w:pPr>
      <w:r>
        <w:drawing>
          <wp:inline distT="0" distB="0" distL="0" distR="0">
            <wp:extent cx="5580000" cy="3749062"/>
            <wp:docPr id="11" name="Image 11" descr="Assistant : vérification finale de bout en bout"/>
            <wp:cNvGraphicFramePr>
              <a:graphicFrameLocks noChangeAspect="1"/>
            </wp:cNvGraphicFramePr>
            <a:graphic>
              <a:graphicData uri="http://schemas.openxmlformats.org/drawingml/2006/picture">
                <pic:pic>
                  <pic:nvPicPr>
                    <pic:cNvPr id="11" name="installation-verification.png"/>
                    <pic:cNvPicPr/>
                  </pic:nvPicPr>
                  <pic:blipFill>
                    <a:blip r:embed="rIdImg11"/>
                    <a:stretch>
                      <a:fillRect/>
                    </a:stretch>
                  </pic:blipFill>
                  <pic:spPr>
                    <a:xfrm>
                      <a:off x="0" y="0"/>
                      <a:ext cx="5580000" cy="3749062"/>
                    </a:xfrm>
                    <a:prstGeom prst="rect">
                      <a:avLst/>
                    </a:prstGeom>
                    <a:ln w="9525">
                      <a:solidFill>
                        <a:srgbClr val="D9D8D2"/>
                      </a:solidFill>
                    </a:ln>
                  </pic:spPr>
                </pic:pic>
              </a:graphicData>
            </a:graphic>
          </wp:inline>
        </w:drawing>
      </w:r>
    </w:p>
    <w:p>
      <w:pPr>
        <w:pStyle w:val="Caption"/>
      </w:pPr>
      <w:bookmarkStart w:id="35" w:name="_Fig00035"/>
      <w:r>
        <w:rPr/>
        <w:t xml:space="preserve">Figure </w:t>
      </w:r>
      <w:fldSimple w:instr=" SEQ Figure \* ARABIC ">
        <w:r>
          <w:t>10</w:t>
        </w:r>
      </w:fldSimple>
      <w:r>
        <w:rPr/>
        <w:t xml:space="preserve"> – Assistant : vérification finale de bout en bout</w:t>
      </w:r>
      <w:bookmarkEnd w:id="35"/>
    </w:p>
    <w:p>
      <w:pPr/>
      <w:r>
        <w:rPr/>
        <w:t xml:space="preserve">La vérification finale contrôle l'exécutable et la configuration, le schéma de la base, la dernière collecte de chaque serveur, les tâches planifiées, la réponse de HeptagonesLM, le site IIS et la chaîne HTTPS + authentification Windows, le pare-feu et la résolution DNS. Le rapport est téléchargeable et écrit dans </w:t>
      </w:r>
      <w:r>
        <w:rPr>
          <w:rFonts w:ascii="Consolas" w:hAnsi="Consolas" w:cs="Consolas"/>
          <w:color w:val="1C5CAB"/>
          <w:sz w:val="18"/>
          <w:szCs w:val="18"/>
          <w:shd w:val="clear" w:color="auto" w:fill="EEF3FA"/>
        </w:rPr>
        <w:t xml:space="preserve">logs\setup-*.log</w:t>
      </w:r>
      <w:r>
        <w:rPr/>
        <w:t xml:space="preserve">.</w:t>
      </w:r>
    </w:p>
    <w:p>
      <w:pPr>
        <w:pStyle w:val="Heading3"/>
      </w:pPr>
      <w:bookmarkStart w:id="36" w:name="_Toc00036"/>
      <w:r>
        <w:rPr/>
        <w:t xml:space="preserve">Authentification unique : SPN, zone Intranet et test depuis un poste</w:t>
      </w:r>
      <w:bookmarkEnd w:id="36"/>
    </w:p>
    <w:p>
      <w:pPr/>
      <w:r>
        <w:rPr/>
        <w:t xml:space="preserve">Pour que les utilisateurs arrivent connectés sans saisir de mot de passe, l'assistant contrôle trois conditions d'infrastructure, juste avant l'installation puis à la vérification finale. Ces contrôles ne bloquent jamais l'installation ; chacun fournit la commande à exécuter (bouton « Copier »).</w:t>
      </w:r>
    </w:p>
    <w:p>
      <w:pPr>
        <w:pStyle w:val="Caption"/>
        <w:keepNext/>
      </w:pPr>
      <w:r>
        <w:rPr/>
        <w:t xml:space="preserve">Tableau 13 – Contrôles d'authentification unique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789"/>
        <w:gridCol w:w="3992"/>
        <w:gridCol w:w="3855"/>
      </w:tblGrid>
      <w:tr>
        <w:trPr>
          <w:tblHeader/>
          <w:cantSplit/>
        </w:trPr>
        <w:tc>
          <w:tcPr>
            <w:tcW w:w="1789" w:type="dxa"/>
            <w:shd w:val="clear" w:color="auto" w:fill="2A78D6"/>
          </w:tcPr>
          <w:p>
            <w:pPr>
              <w:pStyle w:val="TableText"/>
            </w:pPr>
            <w:r>
              <w:rPr>
                <w:b/>
                <w:color w:val="FFFFFF"/>
                <w:sz w:val="18"/>
                <w:szCs w:val="18"/>
              </w:rPr>
              <w:t xml:space="preserve">Contrôle</w:t>
            </w:r>
          </w:p>
        </w:tc>
        <w:tc>
          <w:tcPr>
            <w:tcW w:w="3992" w:type="dxa"/>
            <w:shd w:val="clear" w:color="auto" w:fill="2A78D6"/>
          </w:tcPr>
          <w:p>
            <w:pPr>
              <w:pStyle w:val="TableText"/>
            </w:pPr>
            <w:r>
              <w:rPr>
                <w:b/>
                <w:color w:val="FFFFFF"/>
                <w:sz w:val="18"/>
                <w:szCs w:val="18"/>
              </w:rPr>
              <w:t xml:space="preserve">Vérification</w:t>
            </w:r>
          </w:p>
        </w:tc>
        <w:tc>
          <w:tcPr>
            <w:tcW w:w="3855" w:type="dxa"/>
            <w:shd w:val="clear" w:color="auto" w:fill="2A78D6"/>
          </w:tcPr>
          <w:p>
            <w:pPr>
              <w:pStyle w:val="TableText"/>
            </w:pPr>
            <w:r>
              <w:rPr>
                <w:b/>
                <w:color w:val="FFFFFF"/>
                <w:sz w:val="18"/>
                <w:szCs w:val="18"/>
              </w:rPr>
              <w:t xml:space="preserve">Correction</w:t>
            </w:r>
          </w:p>
        </w:tc>
      </w:tr>
      <w:tr>
        <w:trPr>
          <w:cantSplit/>
        </w:trPr>
        <w:tc>
          <w:tcPr>
            <w:tcW w:w="1789" w:type="dxa"/>
          </w:tcPr>
          <w:p>
            <w:pPr>
              <w:pStyle w:val="TableText"/>
            </w:pPr>
            <w:r>
              <w:rPr>
                <w:sz w:val="18"/>
                <w:szCs w:val="18"/>
              </w:rPr>
              <w:t xml:space="preserve">SPN Kerberos</w:t>
            </w:r>
          </w:p>
        </w:tc>
        <w:tc>
          <w:tcPr>
            <w:tcW w:w="3992" w:type="dxa"/>
          </w:tcPr>
          <w:p>
            <w:pPr>
              <w:pStyle w:val="TableText"/>
            </w:pPr>
            <w:r>
              <w:rPr>
                <w:rFonts w:ascii="Consolas" w:hAnsi="Consolas" w:cs="Consolas"/>
                <w:color w:val="1C5CAB"/>
                <w:sz w:val="18"/>
                <w:szCs w:val="18"/>
                <w:shd w:val="clear" w:color="auto" w:fill="EEF3FA"/>
              </w:rPr>
              <w:t xml:space="preserve">HTTP/&lt;nom public&gt;</w:t>
            </w:r>
            <w:r>
              <w:rPr>
                <w:sz w:val="18"/>
                <w:szCs w:val="18"/>
              </w:rPr>
              <w:t xml:space="preserve"> déclaré sur le compte ordinateur du serveur (recherche dans l'annuaire) ; nom du serveur couvert d'office</w:t>
            </w:r>
          </w:p>
        </w:tc>
        <w:tc>
          <w:tcPr>
            <w:tcW w:w="3855" w:type="dxa"/>
          </w:tcPr>
          <w:p>
            <w:pPr>
              <w:pStyle w:val="TableText"/>
            </w:pPr>
            <w:r>
              <w:rPr>
                <w:sz w:val="18"/>
                <w:szCs w:val="18"/>
              </w:rPr>
              <w:t xml:space="preserve">Bouton « Déclarer le SPN » (administrateur du domaine) ou </w:t>
            </w:r>
            <w:r>
              <w:rPr>
                <w:rFonts w:ascii="Consolas" w:hAnsi="Consolas" w:cs="Consolas"/>
                <w:color w:val="1C5CAB"/>
                <w:sz w:val="18"/>
                <w:szCs w:val="18"/>
                <w:shd w:val="clear" w:color="auto" w:fill="EEF3FA"/>
              </w:rPr>
              <w:t xml:space="preserve">setspn -S HTTP/&lt;nom&gt; &lt;SERVEUR&gt;</w:t>
            </w:r>
            <w:r>
              <w:rPr>
                <w:sz w:val="18"/>
                <w:szCs w:val="18"/>
              </w:rPr>
              <w:t xml:space="preserve"> ; SPN sur un autre compte : commandes </w:t>
            </w:r>
            <w:r>
              <w:rPr>
                <w:rFonts w:ascii="Consolas" w:hAnsi="Consolas" w:cs="Consolas"/>
                <w:color w:val="1C5CAB"/>
                <w:sz w:val="18"/>
                <w:szCs w:val="18"/>
                <w:shd w:val="clear" w:color="auto" w:fill="EEF3FA"/>
              </w:rPr>
              <w:t xml:space="preserve">setspn -D</w:t>
            </w:r>
            <w:r>
              <w:rPr>
                <w:sz w:val="18"/>
                <w:szCs w:val="18"/>
              </w:rPr>
              <w:t xml:space="preserve"> / </w:t>
            </w:r>
            <w:r>
              <w:rPr>
                <w:rFonts w:ascii="Consolas" w:hAnsi="Consolas" w:cs="Consolas"/>
                <w:color w:val="1C5CAB"/>
                <w:sz w:val="18"/>
                <w:szCs w:val="18"/>
                <w:shd w:val="clear" w:color="auto" w:fill="EEF3FA"/>
              </w:rPr>
              <w:t xml:space="preserve">-S</w:t>
            </w:r>
            <w:r>
              <w:rPr>
                <w:sz w:val="18"/>
                <w:szCs w:val="18"/>
              </w:rPr>
              <w:t xml:space="preserve"> fournies. Sans SPN : accès en NTLM</w:t>
            </w:r>
          </w:p>
        </w:tc>
      </w:tr>
      <w:tr>
        <w:trPr>
          <w:cantSplit/>
        </w:trPr>
        <w:tc>
          <w:tcPr>
            <w:tcW w:w="1789" w:type="dxa"/>
            <w:shd w:val="clear" w:color="auto" w:fill="F4F7FC"/>
          </w:tcPr>
          <w:p>
            <w:pPr>
              <w:pStyle w:val="TableText"/>
            </w:pPr>
            <w:r>
              <w:rPr>
                <w:sz w:val="18"/>
                <w:szCs w:val="18"/>
              </w:rPr>
              <w:t xml:space="preserve">Zone Intranet local</w:t>
            </w:r>
          </w:p>
        </w:tc>
        <w:tc>
          <w:tcPr>
            <w:tcW w:w="3992" w:type="dxa"/>
            <w:shd w:val="clear" w:color="auto" w:fill="F4F7FC"/>
          </w:tcPr>
          <w:p>
            <w:pPr>
              <w:pStyle w:val="TableText"/>
            </w:pPr>
            <w:r>
              <w:rPr>
                <w:sz w:val="18"/>
                <w:szCs w:val="18"/>
              </w:rPr>
              <w:t xml:space="preserve">Attribution du site à la zone 1 par GPO ; stratégies AuthServerAllowlist d'Edge / Chrome</w:t>
            </w:r>
          </w:p>
        </w:tc>
        <w:tc>
          <w:tcPr>
            <w:tcW w:w="3855" w:type="dxa"/>
            <w:shd w:val="clear" w:color="auto" w:fill="F4F7FC"/>
          </w:tcPr>
          <w:p>
            <w:pPr>
              <w:pStyle w:val="TableText"/>
            </w:pPr>
            <w:r>
              <w:rPr>
                <w:sz w:val="18"/>
                <w:szCs w:val="18"/>
              </w:rPr>
              <w:t xml:space="preserve">GPO « Liste des attributions de sites aux zones » : </w:t>
            </w:r>
            <w:r>
              <w:rPr>
                <w:rFonts w:ascii="Consolas" w:hAnsi="Consolas" w:cs="Consolas"/>
                <w:color w:val="1C5CAB"/>
                <w:sz w:val="18"/>
                <w:szCs w:val="18"/>
                <w:shd w:val="clear" w:color="auto" w:fill="EEF3FA"/>
              </w:rPr>
              <w:t xml:space="preserve">https://&lt;nom&gt;</w:t>
            </w:r>
            <w:r>
              <w:rPr>
                <w:sz w:val="18"/>
                <w:szCs w:val="18"/>
              </w:rPr>
              <w:t xml:space="preserve"> = 1 ; commande de test pour un seul poste</w:t>
            </w:r>
          </w:p>
        </w:tc>
      </w:tr>
      <w:tr>
        <w:trPr>
          <w:cantSplit/>
        </w:trPr>
        <w:tc>
          <w:tcPr>
            <w:tcW w:w="1789" w:type="dxa"/>
          </w:tcPr>
          <w:p>
            <w:pPr>
              <w:pStyle w:val="TableText"/>
            </w:pPr>
            <w:r>
              <w:rPr>
                <w:sz w:val="18"/>
                <w:szCs w:val="18"/>
              </w:rPr>
              <w:t xml:space="preserve">Test depuis un poste</w:t>
            </w:r>
          </w:p>
        </w:tc>
        <w:tc>
          <w:tcPr>
            <w:tcW w:w="3992" w:type="dxa"/>
          </w:tcPr>
          <w:p>
            <w:pPr>
              <w:pStyle w:val="TableText"/>
            </w:pPr>
            <w:r>
              <w:rPr>
                <w:sz w:val="18"/>
                <w:szCs w:val="18"/>
              </w:rPr>
              <w:t xml:space="preserve">Page </w:t>
            </w:r>
            <w:r>
              <w:rPr>
                <w:rFonts w:ascii="Consolas" w:hAnsi="Consolas" w:cs="Consolas"/>
                <w:color w:val="1C5CAB"/>
                <w:sz w:val="18"/>
                <w:szCs w:val="18"/>
                <w:shd w:val="clear" w:color="auto" w:fill="EEF3FA"/>
              </w:rPr>
              <w:t xml:space="preserve">https://&lt;nom&gt;/acces</w:t>
            </w:r>
            <w:r>
              <w:rPr>
                <w:sz w:val="18"/>
                <w:szCs w:val="18"/>
              </w:rPr>
              <w:t xml:space="preserve"> ouverte par un utilisateur : nom reconnu, méthode (Kerberos / NTLM), saisie ou non d'un mot de passe</w:t>
            </w:r>
          </w:p>
        </w:tc>
        <w:tc>
          <w:tcPr>
            <w:tcW w:w="3855" w:type="dxa"/>
          </w:tcPr>
          <w:p>
            <w:pPr>
              <w:pStyle w:val="TableText"/>
            </w:pPr>
            <w:r>
              <w:rPr>
                <w:sz w:val="18"/>
                <w:szCs w:val="18"/>
              </w:rPr>
              <w:t xml:space="preserve">Résultats dans la vérification finale (« Relancer la vérification ») ; mot de passe demandé : zone Intranet ; NTLM : déclarer le SPN</w:t>
            </w:r>
          </w:p>
        </w:tc>
      </w:tr>
    </w:tbl>
    <w:p>
      <w:pPr>
        <w:spacing w:after="80"/>
      </w:pPr>
    </w:p>
    <w:p>
      <w:pPr>
        <w:pStyle w:val="Figure"/>
        <w:keepNext/>
      </w:pPr>
      <w:r>
        <w:drawing>
          <wp:inline distT="0" distB="0" distL="0" distR="0">
            <wp:extent cx="3960000" cy="4719000"/>
            <wp:docPr id="12" name="Image 12" descr="Page de test d'accès depuis un poste utilisateur (/acces)"/>
            <wp:cNvGraphicFramePr>
              <a:graphicFrameLocks noChangeAspect="1"/>
            </wp:cNvGraphicFramePr>
            <a:graphic>
              <a:graphicData uri="http://schemas.openxmlformats.org/drawingml/2006/picture">
                <pic:pic>
                  <pic:nvPicPr>
                    <pic:cNvPr id="12" name="test-acces.png"/>
                    <pic:cNvPicPr/>
                  </pic:nvPicPr>
                  <pic:blipFill>
                    <a:blip r:embed="rIdImg12"/>
                    <a:stretch>
                      <a:fillRect/>
                    </a:stretch>
                  </pic:blipFill>
                  <pic:spPr>
                    <a:xfrm>
                      <a:off x="0" y="0"/>
                      <a:ext cx="3960000" cy="4719000"/>
                    </a:xfrm>
                    <a:prstGeom prst="rect">
                      <a:avLst/>
                    </a:prstGeom>
                    <a:ln w="9525">
                      <a:solidFill>
                        <a:srgbClr val="D9D8D2"/>
                      </a:solidFill>
                    </a:ln>
                  </pic:spPr>
                </pic:pic>
              </a:graphicData>
            </a:graphic>
          </wp:inline>
        </w:drawing>
      </w:r>
    </w:p>
    <w:p>
      <w:pPr>
        <w:pStyle w:val="Caption"/>
      </w:pPr>
      <w:bookmarkStart w:id="37" w:name="_Fig00037"/>
      <w:r>
        <w:rPr/>
        <w:t xml:space="preserve">Figure </w:t>
      </w:r>
      <w:fldSimple w:instr=" SEQ Figure \* ARABIC ">
        <w:r>
          <w:t>11</w:t>
        </w:r>
      </w:fldSimple>
      <w:r>
        <w:rPr/>
        <w:t xml:space="preserve"> – Page de test d'accès depuis un poste utilisateur (/acces)</w:t>
      </w:r>
      <w:bookmarkEnd w:id="37"/>
    </w:p>
    <w:p>
      <w:pPr/>
      <w:r>
        <w:rPr/>
        <w:t xml:space="preserve">Les résultats sont conservés dans </w:t>
      </w:r>
      <w:r>
        <w:rPr>
          <w:rFonts w:ascii="Consolas" w:hAnsi="Consolas" w:cs="Consolas"/>
          <w:color w:val="1C5CAB"/>
          <w:sz w:val="18"/>
          <w:szCs w:val="18"/>
          <w:shd w:val="clear" w:color="auto" w:fill="EEF3FA"/>
        </w:rPr>
        <w:t xml:space="preserve">logs\tests-acces.jsonl</w:t>
      </w:r>
      <w:r>
        <w:rPr/>
        <w:t xml:space="preserve"> (200 derniers) et tracés dans le journal d'audit. La page </w:t>
      </w:r>
      <w:r>
        <w:rPr>
          <w:rFonts w:ascii="Consolas" w:hAnsi="Consolas" w:cs="Consolas"/>
          <w:color w:val="1C5CAB"/>
          <w:sz w:val="18"/>
          <w:szCs w:val="18"/>
          <w:shd w:val="clear" w:color="auto" w:fill="EEF3FA"/>
        </w:rPr>
        <w:t xml:space="preserve">/acces</w:t>
      </w:r>
      <w:r>
        <w:rPr/>
        <w:t xml:space="preserve"> reste disponible après l'installation pour diagnostiquer le poste d'un utilisateur.</w:t>
      </w:r>
    </w:p>
    <w:p>
      <w:pPr>
        <w:pStyle w:val="Heading3"/>
      </w:pPr>
      <w:bookmarkStart w:id="38" w:name="_Toc00038"/>
      <w:r>
        <w:rPr/>
        <w:t xml:space="preserve">Installation silencieuse et serveur hors ligne</w:t>
      </w:r>
      <w:bookmarkEnd w:id="38"/>
    </w:p>
    <w:p>
      <w:pPr>
        <w:pStyle w:val="Code"/>
      </w:pPr>
      <w:r>
        <w:t xml:space="preserve">$env:SVC_PWD = Read-Host "Mot de passe du compte de service"</w:t>
      </w:r>
    </w:p>
    <w:p>
      <w:pPr>
        <w:pStyle w:val="Code"/>
      </w:pPr>
      <w:r>
        <w:t xml:space="preserve">HeptagonesLM-Setup.exe setup --answers reponses.json</w:t>
      </w:r>
    </w:p>
    <w:p>
      <w:pPr/>
      <w:r>
        <w:rPr/>
        <w:t xml:space="preserve">Le fichier de réponses (JSON) reprend les champs de l'assistant ; les valeurs </w:t>
      </w:r>
      <w:r>
        <w:rPr>
          <w:rFonts w:ascii="Consolas" w:hAnsi="Consolas" w:cs="Consolas"/>
          <w:color w:val="1C5CAB"/>
          <w:sz w:val="18"/>
          <w:szCs w:val="18"/>
          <w:shd w:val="clear" w:color="auto" w:fill="EEF3FA"/>
        </w:rPr>
        <w:t xml:space="preserve">${VARIABLE}</w:t>
      </w:r>
      <w:r>
        <w:rPr/>
        <w:t xml:space="preserve"> sont lues dans l'environnement. Codes retour : 0 succès, 1 échec, 2 installé avec des erreurs de vérification. Exemple et liste des clés : docs/INSTALLATION.md. Hors ligne, déposer </w:t>
      </w:r>
      <w:r>
        <w:rPr>
          <w:rFonts w:ascii="Consolas" w:hAnsi="Consolas" w:cs="Consolas"/>
          <w:color w:val="1C5CAB"/>
          <w:sz w:val="18"/>
          <w:szCs w:val="18"/>
          <w:shd w:val="clear" w:color="auto" w:fill="EEF3FA"/>
        </w:rPr>
        <w:t xml:space="preserve">rewrite_amd64_en-US.msi</w:t>
      </w:r>
      <w:r>
        <w:rPr/>
        <w:t xml:space="preserve"> et </w:t>
      </w:r>
      <w:r>
        <w:rPr>
          <w:rFonts w:ascii="Consolas" w:hAnsi="Consolas" w:cs="Consolas"/>
          <w:color w:val="1C5CAB"/>
          <w:sz w:val="18"/>
          <w:szCs w:val="18"/>
          <w:shd w:val="clear" w:color="auto" w:fill="EEF3FA"/>
        </w:rPr>
        <w:t xml:space="preserve">requestRouter_amd64.msi</w:t>
      </w:r>
      <w:r>
        <w:rPr/>
        <w:t xml:space="preserve"> à côté de HeptagonesLM-Setup.exe ou dans </w:t>
      </w:r>
      <w:r>
        <w:rPr>
          <w:rFonts w:ascii="Consolas" w:hAnsi="Consolas" w:cs="Consolas"/>
          <w:color w:val="1C5CAB"/>
          <w:sz w:val="18"/>
          <w:szCs w:val="18"/>
          <w:shd w:val="clear" w:color="auto" w:fill="EEF3FA"/>
        </w:rPr>
        <w:t xml:space="preserve">prerequis\</w:t>
      </w:r>
      <w:r>
        <w:rPr/>
        <w:t xml:space="preserve">.</w:t>
      </w:r>
    </w:p>
    <w:p>
      <w:pPr>
        <w:pStyle w:val="Heading2"/>
      </w:pPr>
      <w:bookmarkStart w:id="39" w:name="_Toc00039"/>
      <w:r>
        <w:rPr/>
        <w:t xml:space="preserve">5.2 Installation manuelle</w:t>
      </w:r>
      <w:bookmarkEnd w:id="39"/>
    </w:p>
    <w:p>
      <w:pPr/>
      <w:r>
        <w:rPr/>
        <w:t xml:space="preserve">Étapes équivalentes à celles de l'assistant, à dérouler dans l'ordre.</w:t>
      </w:r>
    </w:p>
    <w:p>
      <w:pPr>
        <w:pStyle w:val="Heading3"/>
      </w:pPr>
      <w:bookmarkStart w:id="40" w:name="_Toc00040"/>
      <w:r>
        <w:rPr/>
        <w:t xml:space="preserve">5.2.1 Création de la base (DBA)</w:t>
      </w:r>
      <w:bookmarkEnd w:id="40"/>
    </w:p>
    <w:p>
      <w:pPr/>
      <w:r>
        <w:rPr/>
        <w:t xml:space="preserve">Adapter le nom du compte dans le script, puis l'exécuter avec un compte administrateur de l'instance :</w:t>
      </w:r>
    </w:p>
    <w:p>
      <w:pPr>
        <w:pStyle w:val="Code"/>
      </w:pPr>
      <w:r>
        <w:t xml:space="preserve">sqlcmd -S SQLSRV01 -E -i sql\sqlserver\00_create_database.sql</w:t>
      </w:r>
    </w:p>
    <w:p>
      <w:pPr/>
      <w:r>
        <w:rPr/>
        <w:t xml:space="preserve">Le script crée la base </w:t>
      </w:r>
      <w:r>
        <w:rPr>
          <w:rFonts w:ascii="Consolas" w:hAnsi="Consolas" w:cs="Consolas"/>
          <w:color w:val="1C5CAB"/>
          <w:sz w:val="18"/>
          <w:szCs w:val="18"/>
          <w:shd w:val="clear" w:color="auto" w:fill="EEF3FA"/>
        </w:rPr>
        <w:t xml:space="preserve">HeptagonesLM</w:t>
      </w:r>
      <w:r>
        <w:rPr/>
        <w:t xml:space="preserve"> (récupération SIMPLE), la connexion Windows du compte de service et lui accorde db_datareader, db_datawriter et, temporairement, db_ddladmin.</w:t>
      </w:r>
    </w:p>
    <w:p>
      <w:pPr>
        <w:pStyle w:val="Heading3"/>
      </w:pPr>
      <w:bookmarkStart w:id="41" w:name="_Toc00041"/>
      <w:r>
        <w:rPr/>
        <w:t xml:space="preserve">5.2.2 Déploiement des binaires</w:t>
      </w:r>
      <w:bookmarkEnd w:id="41"/>
    </w:p>
    <w:p>
      <w:pPr/>
      <w:r>
        <w:rPr>
          <w:b/>
        </w:rPr>
        <w:t xml:space="preserve">Option A — exécutable (recommandée)</w:t>
      </w:r>
      <w:r>
        <w:rPr/>
        <w:t xml:space="preserve"> : seul </w:t>
      </w:r>
      <w:r>
        <w:rPr>
          <w:rFonts w:ascii="Consolas" w:hAnsi="Consolas" w:cs="Consolas"/>
          <w:color w:val="1C5CAB"/>
          <w:sz w:val="18"/>
          <w:szCs w:val="18"/>
          <w:shd w:val="clear" w:color="auto" w:fill="EEF3FA"/>
        </w:rPr>
        <w:t xml:space="preserve">HeptagonesLM-Setup.exe</w:t>
      </w:r>
      <w:r>
        <w:rPr/>
        <w:t xml:space="preserve"> est publié (page Releases du dépôt) ; il contient </w:t>
      </w:r>
      <w:r>
        <w:rPr>
          <w:rFonts w:ascii="Consolas" w:hAnsi="Consolas" w:cs="Consolas"/>
          <w:color w:val="1C5CAB"/>
          <w:sz w:val="18"/>
          <w:szCs w:val="18"/>
          <w:shd w:val="clear" w:color="auto" w:fill="EEF3FA"/>
        </w:rPr>
        <w:t xml:space="preserve">HeptagonesLM.exe</w:t>
      </w:r>
      <w:r>
        <w:rPr/>
        <w:t xml:space="preserve"> et l'installe dans </w:t>
      </w:r>
      <w:r>
        <w:rPr>
          <w:rFonts w:ascii="Consolas" w:hAnsi="Consolas" w:cs="Consolas"/>
          <w:color w:val="1C5CAB"/>
          <w:sz w:val="18"/>
          <w:szCs w:val="18"/>
          <w:shd w:val="clear" w:color="auto" w:fill="EEF3FA"/>
        </w:rPr>
        <w:t xml:space="preserve">C:\HeptagonesLM</w:t>
      </w:r>
      <w:r>
        <w:rPr/>
        <w:t xml:space="preserve"> (§ 5.1). Vérifier d'abord son empreinte :</w:t>
      </w:r>
    </w:p>
    <w:p>
      <w:pPr>
        <w:pStyle w:val="Code"/>
      </w:pPr>
      <w:r>
        <w:t xml:space="preserve">Get-FileHash HeptagonesLM-Setup.exe -Algorithm SHA256</w:t>
      </w:r>
    </w:p>
    <w:p>
      <w:pPr>
        <w:pStyle w:val="Code"/>
      </w:pPr>
      <w:r>
        <w:t xml:space="preserve"># comparer avec le fichier SHA256SUMS de la release</w:t>
      </w:r>
    </w:p>
    <w:p>
      <w:pPr/>
      <w:r>
        <w:rPr>
          <w:b/>
        </w:rPr>
        <w:t xml:space="preserve">Option B — Python</w:t>
      </w:r>
      <w:r>
        <w:rPr/>
        <w:t xml:space="preserve"> :</w:t>
      </w:r>
    </w:p>
    <w:p>
      <w:pPr>
        <w:pStyle w:val="Code"/>
      </w:pPr>
      <w:r>
        <w:t xml:space="preserve">cd C:\HeptagonesLM</w:t>
      </w:r>
    </w:p>
    <w:p>
      <w:pPr>
        <w:pStyle w:val="Code"/>
      </w:pPr>
      <w:r>
        <w:t xml:space="preserve">py -3 -m venv venv</w:t>
      </w:r>
    </w:p>
    <w:p>
      <w:pPr>
        <w:pStyle w:val="Code"/>
      </w:pPr>
      <w:r>
        <w:t xml:space="preserve">venv\Scripts\pip install &lt;archive ou dépôt HeptagonesLM&gt;</w:t>
      </w:r>
    </w:p>
    <w:p>
      <w:pPr>
        <w:pStyle w:val="Code"/>
      </w:pPr>
      <w:r>
        <w:t xml:space="preserve">venv\Scripts\heptagoneslm --version</w:t>
      </w:r>
    </w:p>
    <w:p>
      <w:pPr/>
      <w:r>
        <w:rPr/>
        <w:t xml:space="preserve">Copier ensuite </w:t>
      </w:r>
      <w:r>
        <w:rPr>
          <w:rFonts w:ascii="Consolas" w:hAnsi="Consolas" w:cs="Consolas"/>
          <w:color w:val="1C5CAB"/>
          <w:sz w:val="18"/>
          <w:szCs w:val="18"/>
          <w:shd w:val="clear" w:color="auto" w:fill="EEF3FA"/>
        </w:rPr>
        <w:t xml:space="preserve">lmutil.exe</w:t>
      </w:r>
      <w:r>
        <w:rPr/>
        <w:t xml:space="preserve"> dans </w:t>
      </w:r>
      <w:r>
        <w:rPr>
          <w:rFonts w:ascii="Consolas" w:hAnsi="Consolas" w:cs="Consolas"/>
          <w:color w:val="1C5CAB"/>
          <w:sz w:val="18"/>
          <w:szCs w:val="18"/>
          <w:shd w:val="clear" w:color="auto" w:fill="EEF3FA"/>
        </w:rPr>
        <w:t xml:space="preserve">C:\HeptagonesLM\bin</w:t>
      </w:r>
      <w:r>
        <w:rPr/>
        <w:t xml:space="preserve"> (il est fourni avec Autodesk Network License Manager ou tout autre gestionnaire FlexLM).</w:t>
      </w:r>
    </w:p>
    <w:p>
      <w:pPr>
        <w:pStyle w:val="Heading3"/>
      </w:pPr>
      <w:bookmarkStart w:id="42" w:name="_Toc00042"/>
      <w:r>
        <w:rPr/>
        <w:t xml:space="preserve">5.2.3 Configuration</w:t>
      </w:r>
      <w:bookmarkEnd w:id="42"/>
    </w:p>
    <w:p>
      <w:pPr/>
      <w:r>
        <w:rPr/>
        <w:t xml:space="preserve">Copier </w:t>
      </w:r>
      <w:r>
        <w:rPr>
          <w:rFonts w:ascii="Consolas" w:hAnsi="Consolas" w:cs="Consolas"/>
          <w:color w:val="1C5CAB"/>
          <w:sz w:val="18"/>
          <w:szCs w:val="18"/>
          <w:shd w:val="clear" w:color="auto" w:fill="EEF3FA"/>
        </w:rPr>
        <w:t xml:space="preserve">config\heptagoneslm.example.yaml</w:t>
      </w:r>
      <w:r>
        <w:rPr/>
        <w:t xml:space="preserve"> en </w:t>
      </w:r>
      <w:r>
        <w:rPr>
          <w:rFonts w:ascii="Consolas" w:hAnsi="Consolas" w:cs="Consolas"/>
          <w:color w:val="1C5CAB"/>
          <w:sz w:val="18"/>
          <w:szCs w:val="18"/>
          <w:shd w:val="clear" w:color="auto" w:fill="EEF3FA"/>
        </w:rPr>
        <w:t xml:space="preserve">C:\HeptagonesLM\heptagoneslm.yaml</w:t>
      </w:r>
      <w:r>
        <w:rPr/>
        <w:t xml:space="preserve"> et renseigner au minimum : la chaîne de connexion, le chemin de lmutil, les serveurs de licences et le mapping des produits (voir chapitre 6).</w:t>
      </w:r>
    </w:p>
    <w:p>
      <w:pPr>
        <w:pStyle w:val="Code"/>
      </w:pPr>
      <w:r>
        <w:t xml:space="preserve">database:</w:t>
      </w:r>
    </w:p>
    <w:p>
      <w:pPr>
        <w:pStyle w:val="Code"/>
      </w:pPr>
      <w:r>
        <w:t xml:space="preserve">  connection_string: "DRIVER={ODBC Driver 18 for SQL Server};SERVER=sqlsrv01.entreprise.local;DATABASE=HeptagonesLM;Trusted_Connection=yes;Encrypt=yes"</w:t>
      </w:r>
    </w:p>
    <w:p>
      <w:pPr>
        <w:pStyle w:val="Code"/>
      </w:pPr>
      <w:r>
        <w:t xml:space="preserve">lmutil_path: "C:/HeptagonesLM/bin/lmutil.exe"</w:t>
      </w:r>
    </w:p>
    <w:p>
      <w:pPr>
        <w:pStyle w:val="Code"/>
      </w:pPr>
      <w:r>
        <w:t xml:space="preserve">logging:</w:t>
      </w:r>
    </w:p>
    <w:p>
      <w:pPr>
        <w:pStyle w:val="Code"/>
      </w:pPr>
      <w:r>
        <w:t xml:space="preserve">  file: "C:/HeptagonesLM/logs/heptagoneslm.log"</w:t>
      </w:r>
    </w:p>
    <w:p>
      <w:pPr>
        <w:pStyle w:val="Code"/>
      </w:pPr>
      <w:r>
        <w:t xml:space="preserve">servers:</w:t>
      </w:r>
    </w:p>
    <w:p>
      <w:pPr>
        <w:pStyle w:val="Code"/>
      </w:pPr>
      <w:r>
        <w:t xml:space="preserve">  - name: AUTODESK</w:t>
      </w:r>
    </w:p>
    <w:p>
      <w:pPr>
        <w:pStyle w:val="Code"/>
      </w:pPr>
      <w:r>
        <w:t xml:space="preserve">    port_at_host: "27000@licsrv1"</w:t>
      </w:r>
    </w:p>
    <w:p>
      <w:pPr>
        <w:pStyle w:val="Code"/>
      </w:pPr>
      <w:r>
        <w:t xml:space="preserve">    collectors: [lmstat]</w:t>
      </w:r>
    </w:p>
    <w:p>
      <w:pPr>
        <w:pStyle w:val="Code"/>
      </w:pPr>
      <w:r>
        <w:t xml:space="preserve">    sessions_from: lmstat</w:t>
      </w:r>
    </w:p>
    <w:p>
      <w:pPr>
        <w:pStyle w:val="Heading3"/>
      </w:pPr>
      <w:bookmarkStart w:id="43" w:name="_Toc00043"/>
      <w:r>
        <w:rPr/>
        <w:t xml:space="preserve">5.2.4 Initialisation du schéma</w:t>
      </w:r>
      <w:bookmarkEnd w:id="43"/>
    </w:p>
    <w:p>
      <w:pPr>
        <w:pStyle w:val="Code"/>
      </w:pPr>
      <w:r>
        <w:t xml:space="preserve">cd C:\HeptagonesLM</w:t>
      </w:r>
    </w:p>
    <w:p>
      <w:pPr>
        <w:pStyle w:val="Code"/>
      </w:pPr>
      <w:r>
        <w:t xml:space="preserve">.\HeptagonesLM.exe -c heptagoneslm.yaml init-db</w:t>
      </w:r>
    </w:p>
    <w:p>
      <w:pPr/>
      <w:r>
        <w:rPr/>
        <w:t xml:space="preserve">À exécuter </w:t>
      </w:r>
      <w:r>
        <w:rPr>
          <w:b/>
        </w:rPr>
        <w:t xml:space="preserve">avec le compte de service</w:t>
      </w:r>
      <w:r>
        <w:rPr/>
        <w:t xml:space="preserve"> (par exemple via </w:t>
      </w:r>
      <w:r>
        <w:rPr>
          <w:rFonts w:ascii="Consolas" w:hAnsi="Consolas" w:cs="Consolas"/>
          <w:color w:val="1C5CAB"/>
          <w:sz w:val="18"/>
          <w:szCs w:val="18"/>
          <w:shd w:val="clear" w:color="auto" w:fill="EEF3FA"/>
        </w:rPr>
        <w:t xml:space="preserve">runas /user:DOMAINE\svc_heptagoneslm</w:t>
      </w:r>
      <w:r>
        <w:rPr/>
        <w:t xml:space="preserve">). La commande crée les tables et les vues, puis référence les serveurs déclarés. Elle est rejouable sans risque et sert aussi aux montées de version. Une fois terminée, le DBA retire le droit temporaire :</w:t>
      </w:r>
    </w:p>
    <w:p>
      <w:pPr>
        <w:pStyle w:val="Code"/>
      </w:pPr>
      <w:r>
        <w:t xml:space="preserve">ALTER ROLE db_ddladmin DROP MEMBER [svc_heptagoneslm];</w:t>
      </w:r>
    </w:p>
    <w:p>
      <w:pPr>
        <w:pStyle w:val="Heading3"/>
      </w:pPr>
      <w:bookmarkStart w:id="44" w:name="_Toc00044"/>
      <w:r>
        <w:rPr/>
        <w:t xml:space="preserve">5.2.5 Vérification des serveurs de licences</w:t>
      </w:r>
      <w:bookmarkEnd w:id="44"/>
    </w:p>
    <w:p>
      <w:pPr>
        <w:pStyle w:val="Code"/>
      </w:pPr>
      <w:r>
        <w:t xml:space="preserve">.\HeptagonesLM.exe -c heptagoneslm.yaml test-server --server AUTODESK</w:t>
      </w:r>
    </w:p>
    <w:p>
      <w:pPr>
        <w:pStyle w:val="Code"/>
      </w:pPr>
      <w:r>
        <w:t xml:space="preserve">.\HeptagonesLM.exe -c heptagoneslm.yaml collect</w:t>
      </w:r>
    </w:p>
    <w:p>
      <w:pPr/>
      <w:r>
        <w:rPr>
          <w:rFonts w:ascii="Consolas" w:hAnsi="Consolas" w:cs="Consolas"/>
          <w:color w:val="1C5CAB"/>
          <w:sz w:val="18"/>
          <w:szCs w:val="18"/>
          <w:shd w:val="clear" w:color="auto" w:fill="EEF3FA"/>
        </w:rPr>
        <w:t xml:space="preserve">test-server</w:t>
      </w:r>
      <w:r>
        <w:rPr/>
        <w:t xml:space="preserve"> interroge le serveur sans rien écrire et affiche les features, jetons et utilisateurs trouvés. </w:t>
      </w:r>
      <w:r>
        <w:rPr>
          <w:rFonts w:ascii="Consolas" w:hAnsi="Consolas" w:cs="Consolas"/>
          <w:color w:val="1C5CAB"/>
          <w:sz w:val="18"/>
          <w:szCs w:val="18"/>
          <w:shd w:val="clear" w:color="auto" w:fill="EEF3FA"/>
        </w:rPr>
        <w:t xml:space="preserve">collect</w:t>
      </w:r>
      <w:r>
        <w:rPr/>
        <w:t xml:space="preserve"> réalise une première collecte réelle ; le code retour doit être 0.</w:t>
      </w:r>
    </w:p>
    <w:p>
      <w:pPr>
        <w:pStyle w:val="Heading3"/>
      </w:pPr>
      <w:bookmarkStart w:id="45" w:name="_Toc00045"/>
      <w:r>
        <w:rPr/>
        <w:t xml:space="preserve">5.2.6 Planification des tâches</w:t>
      </w:r>
      <w:bookmarkEnd w:id="45"/>
    </w:p>
    <w:p>
      <w:pPr>
        <w:pStyle w:val="Code"/>
      </w:pPr>
      <w:r>
        <w:t xml:space="preserve">powershell -ExecutionPolicy Bypass -File scripts\register_tasks.ps1 `</w:t>
      </w:r>
    </w:p>
    <w:p>
      <w:pPr>
        <w:pStyle w:val="Code"/>
      </w:pPr>
      <w:r>
        <w:t xml:space="preserve">    -HeptagonesLMHome C:\HeptagonesLM -ServiceAccount "DOMAINE\gmsa_heptagoneslm$" -WithWebInterface</w:t>
      </w:r>
    </w:p>
    <w:p>
      <w:pPr/>
      <w:r>
        <w:rPr/>
        <w:t xml:space="preserve">Le script crée les tâches du dossier </w:t>
      </w:r>
      <w:r>
        <w:rPr>
          <w:rFonts w:ascii="Consolas" w:hAnsi="Consolas" w:cs="Consolas"/>
          <w:color w:val="1C5CAB"/>
          <w:sz w:val="18"/>
          <w:szCs w:val="18"/>
          <w:shd w:val="clear" w:color="auto" w:fill="EEF3FA"/>
        </w:rPr>
        <w:t xml:space="preserve">\HeptagonesLM\</w:t>
      </w:r>
      <w:r>
        <w:rPr/>
        <w:t xml:space="preserve"> du Planificateur (détail au § 7.1). Avec un compte classique, son mot de passe est demandé ; avec un gMSA, aucun mot de passe n'est nécessaire. Le paramètre </w:t>
      </w:r>
      <w:r>
        <w:rPr>
          <w:rFonts w:ascii="Consolas" w:hAnsi="Consolas" w:cs="Consolas"/>
          <w:color w:val="1C5CAB"/>
          <w:sz w:val="18"/>
          <w:szCs w:val="18"/>
          <w:shd w:val="clear" w:color="auto" w:fill="EEF3FA"/>
        </w:rPr>
        <w:t xml:space="preserve">-CollectIntervalMinutes</w:t>
      </w:r>
      <w:r>
        <w:rPr/>
        <w:t xml:space="preserve"> modifie l'intervalle de collecte (5 par défaut).</w:t>
      </w:r>
    </w:p>
    <w:p>
      <w:pPr>
        <w:pStyle w:val="Heading3"/>
      </w:pPr>
      <w:bookmarkStart w:id="46" w:name="_Toc00046"/>
      <w:r>
        <w:rPr/>
        <w:t xml:space="preserve">5.2.7 Référentiel utilisateurs</w:t>
      </w:r>
      <w:bookmarkEnd w:id="46"/>
    </w:p>
    <w:p>
      <w:pPr/>
      <w:r>
        <w:rPr/>
        <w:t xml:space="preserve">Pour afficher les noms complets et les services dans les rapports et permettre la refacturation :</w:t>
      </w:r>
    </w:p>
    <w:p>
      <w:pPr>
        <w:pStyle w:val="Code"/>
      </w:pPr>
      <w:r>
        <w:t xml:space="preserve">Get-ADUser -Filter * -Properties DisplayName,Department |</w:t>
      </w:r>
    </w:p>
    <w:p>
      <w:pPr>
        <w:pStyle w:val="Code"/>
      </w:pPr>
      <w:r>
        <w:t xml:space="preserve">  Select-Object SamAccountName,DisplayName,Department |</w:t>
      </w:r>
    </w:p>
    <w:p>
      <w:pPr>
        <w:pStyle w:val="Code"/>
      </w:pPr>
      <w:r>
        <w:t xml:space="preserve">  Export-Csv users.csv -NoTypeInformation -Encoding UTF8</w:t>
      </w:r>
    </w:p>
    <w:p>
      <w:pPr>
        <w:pStyle w:val="Code"/>
      </w:pPr>
      <w:r>
        <w:t xml:space="preserve">.\HeptagonesLM.exe -c heptagoneslm.yaml import-users users.csv</w:t>
      </w:r>
    </w:p>
    <w:p>
      <w:pPr/>
      <w:r>
        <w:rPr/>
        <w:t xml:space="preserve">À planifier idéalement chaque semaine pour suivre les arrivées et les mutations.</w:t>
      </w:r>
    </w:p>
    <w:p>
      <w:pPr>
        <w:pStyle w:val="Heading3"/>
      </w:pPr>
      <w:bookmarkStart w:id="47" w:name="_Toc00047"/>
      <w:r>
        <w:rPr/>
        <w:t xml:space="preserve">5.2.8 Reprise d'historique (option)</w:t>
      </w:r>
      <w:bookmarkEnd w:id="47"/>
    </w:p>
    <w:p>
      <w:pPr/>
      <w:r>
        <w:rPr/>
        <w:t xml:space="preserve">Si des logs debug FlexLM archivés sont disponibles, ils peuvent être importés, dans l'ordre chronologique :</w:t>
      </w:r>
    </w:p>
    <w:p>
      <w:pPr>
        <w:pStyle w:val="Code"/>
      </w:pPr>
      <w:r>
        <w:t xml:space="preserve">.\HeptagonesLM.exe -c heptagoneslm.yaml import-log --server ANSYS D:\archives\license_2026-07.log D:\archives\license_2026-08.log</w:t>
      </w:r>
    </w:p>
    <w:p>
      <w:pPr>
        <w:pStyle w:val="Heading3"/>
      </w:pPr>
      <w:bookmarkStart w:id="48" w:name="_Toc00048"/>
      <w:r>
        <w:rPr/>
        <w:t xml:space="preserve">5.2.9 Ouverture de l'interface sur le réseau</w:t>
      </w:r>
      <w:bookmarkEnd w:id="48"/>
    </w:p>
    <w:p>
      <w:pPr/>
      <w:r>
        <w:rPr/>
        <w:t xml:space="preserve">Par défaut, l'interface n'écoute que sur le serveur lui-même, sans authentification. Pour la partager :</w:t>
      </w:r>
    </w:p>
    <w:p>
      <w:pPr>
        <w:pStyle w:val="Code"/>
      </w:pPr>
      <w:r>
        <w:t xml:space="preserve">web:</w:t>
      </w:r>
    </w:p>
    <w:p>
      <w:pPr>
        <w:pStyle w:val="Code"/>
      </w:pPr>
      <w:r>
        <w:t xml:space="preserve">  host: 0.0.0.0</w:t>
      </w:r>
    </w:p>
    <w:p>
      <w:pPr>
        <w:pStyle w:val="Code"/>
      </w:pPr>
      <w:r>
        <w:t xml:space="preserve">  port: 8765</w:t>
      </w:r>
    </w:p>
    <w:p>
      <w:pPr>
        <w:pStyle w:val="Code"/>
      </w:pPr>
      <w:r>
        <w:t xml:space="preserve">  tls_cert: "C:/HeptagonesLM/certs/heptagoneslm.pem"</w:t>
      </w:r>
    </w:p>
    <w:p>
      <w:pPr>
        <w:pStyle w:val="Code"/>
      </w:pPr>
      <w:r>
        <w:t xml:space="preserve">  tls_key: "C:/HeptagonesLM/certs/heptagoneslm.key"</w:t>
      </w:r>
    </w:p>
    <w:p>
      <w:pPr>
        <w:pStyle w:val="Code"/>
      </w:pPr>
      <w:r>
        <w:t xml:space="preserve">  public_url: "https://heptagoneslm.entreprise.local:8765"</w:t>
      </w:r>
    </w:p>
    <w:p>
      <w:pPr>
        <w:pStyle w:val="Code"/>
      </w:pPr>
      <w:r>
        <w:t xml:space="preserve">  auth:</w:t>
      </w:r>
    </w:p>
    <w:p>
      <w:pPr>
        <w:pStyle w:val="Code"/>
      </w:pPr>
      <w:r>
        <w:t xml:space="preserve">    mode: ldap</w:t>
      </w:r>
    </w:p>
    <w:p>
      <w:pPr>
        <w:pStyle w:val="Code"/>
      </w:pPr>
      <w:r>
        <w:t xml:space="preserve">    ldap_servers: ["ldaps://dc01.entreprise.local", "ldaps://dc02.entreprise.local"]</w:t>
      </w:r>
    </w:p>
    <w:p>
      <w:pPr>
        <w:pStyle w:val="Code"/>
      </w:pPr>
      <w:r>
        <w:t xml:space="preserve">    base_dn: "DC=entreprise,DC=local"</w:t>
      </w:r>
    </w:p>
    <w:p>
      <w:pPr>
        <w:pStyle w:val="Code"/>
      </w:pPr>
      <w:r>
        <w:t xml:space="preserve">    upn_suffix: "entreprise.local"</w:t>
      </w:r>
    </w:p>
    <w:p>
      <w:pPr>
        <w:pStyle w:val="Code"/>
      </w:pPr>
      <w:r>
        <w:t xml:space="preserve">    allowed_groups: ["GG_HeptagonesLM_Lecteurs"]</w:t>
      </w:r>
    </w:p>
    <w:p>
      <w:pPr/>
      <w:r>
        <w:rPr/>
        <w:t xml:space="preserve">Redémarrer ensuite la tâche « HeptagonesLM - Interface web » (§ 7.2) et ouvrir le port 8765 dans le pare-feu Windows pour les seuls réseaux utilisateurs :</w:t>
      </w:r>
    </w:p>
    <w:p>
      <w:pPr>
        <w:pStyle w:val="Code"/>
      </w:pPr>
      <w:r>
        <w:t xml:space="preserve">New-NetFirewallRule -DisplayName "HeptagonesLM HTTPS" -Direction Inbound -Protocol TCP -LocalPort 8765 `</w:t>
      </w:r>
    </w:p>
    <w:p>
      <w:pPr>
        <w:pStyle w:val="Code"/>
      </w:pPr>
      <w:r>
        <w:t xml:space="preserve">    -RemoteAddress 10.0.0.0/8 -Action Allow</w:t>
      </w:r>
    </w:p>
    <w:p>
      <w:pPr>
        <w:pStyle w:val="Heading2"/>
      </w:pPr>
      <w:bookmarkStart w:id="49" w:name="_Toc00049"/>
      <w:r>
        <w:rPr/>
        <w:t xml:space="preserve">5.3 Recette de mise en service</w:t>
      </w:r>
      <w:bookmarkEnd w:id="49"/>
    </w:p>
    <w:p>
      <w:pPr/>
      <w:r>
        <w:rPr/>
        <w:t xml:space="preserve">La recette est réalisée par l'assistant (étape 12, ou bouton « Faire la recette de cette installation » sur l'accueil quand HeptagonesLM est déjà installé). Elle déclenche la tâche planifiée de collecte sous le compte de service, interroge en direct chaque serveur de licences (</w:t>
      </w:r>
      <w:r>
        <w:rPr>
          <w:rFonts w:ascii="Consolas" w:hAnsi="Consolas" w:cs="Consolas"/>
          <w:color w:val="1C5CAB"/>
          <w:sz w:val="18"/>
          <w:szCs w:val="18"/>
          <w:shd w:val="clear" w:color="auto" w:fill="EEF3FA"/>
        </w:rPr>
        <w:t xml:space="preserve">lmstat</w:t>
      </w:r>
      <w:r>
        <w:rPr/>
        <w:t xml:space="preserve"> / </w:t>
      </w:r>
      <w:r>
        <w:rPr>
          <w:rFonts w:ascii="Consolas" w:hAnsi="Consolas" w:cs="Consolas"/>
          <w:color w:val="1C5CAB"/>
          <w:sz w:val="18"/>
          <w:szCs w:val="18"/>
          <w:shd w:val="clear" w:color="auto" w:fill="EEF3FA"/>
        </w:rPr>
        <w:t xml:space="preserve">rlmstat</w:t>
      </w:r>
      <w:r>
        <w:rPr/>
        <w:t xml:space="preserve">) et compare, feature par feature, les jetons émis et utilisés lus dans la sortie brute avec les données enregistrées par HeptagonesLM. Elle vérifie aussi l'historique des collectes sur la durée choisie, la chaîne de bout en bout, l'accès d'un membre du groupe et le refus d'un compte extérieur, l'e-mail, le ticket ITSM et le rapport Excel de test (confirmés par l'opérateur).</w:t>
      </w:r>
    </w:p>
    <w:p>
      <w:pPr>
        <w:pStyle w:val="Figure"/>
        <w:keepNext/>
      </w:pPr>
      <w:r>
        <w:drawing>
          <wp:inline distT="0" distB="0" distL="0" distR="0">
            <wp:extent cx="5580000" cy="6430609"/>
            <wp:docPr id="13" name="Image 13" descr="Recette : comparaison avec les serveurs de licences"/>
            <wp:cNvGraphicFramePr>
              <a:graphicFrameLocks noChangeAspect="1"/>
            </wp:cNvGraphicFramePr>
            <a:graphic>
              <a:graphicData uri="http://schemas.openxmlformats.org/drawingml/2006/picture">
                <pic:pic>
                  <pic:nvPicPr>
                    <pic:cNvPr id="13" name="recette-comparaison.png"/>
                    <pic:cNvPicPr/>
                  </pic:nvPicPr>
                  <pic:blipFill>
                    <a:blip r:embed="rIdImg13"/>
                    <a:stretch>
                      <a:fillRect/>
                    </a:stretch>
                  </pic:blipFill>
                  <pic:spPr>
                    <a:xfrm>
                      <a:off x="0" y="0"/>
                      <a:ext cx="5580000" cy="6430609"/>
                    </a:xfrm>
                    <a:prstGeom prst="rect">
                      <a:avLst/>
                    </a:prstGeom>
                    <a:ln w="9525">
                      <a:solidFill>
                        <a:srgbClr val="D9D8D2"/>
                      </a:solidFill>
                    </a:ln>
                  </pic:spPr>
                </pic:pic>
              </a:graphicData>
            </a:graphic>
          </wp:inline>
        </w:drawing>
      </w:r>
    </w:p>
    <w:p>
      <w:pPr>
        <w:pStyle w:val="Caption"/>
      </w:pPr>
      <w:bookmarkStart w:id="50" w:name="_Fig00050"/>
      <w:r>
        <w:rPr/>
        <w:t xml:space="preserve">Figure </w:t>
      </w:r>
      <w:fldSimple w:instr=" SEQ Figure \* ARABIC ">
        <w:r>
          <w:t>12</w:t>
        </w:r>
      </w:fldSimple>
      <w:r>
        <w:rPr/>
        <w:t xml:space="preserve"> – Recette : comparaison avec les serveurs de licences</w:t>
      </w:r>
      <w:bookmarkEnd w:id="50"/>
    </w:p>
    <w:p>
      <w:pPr/>
      <w:r>
        <w:rPr/>
        <w:t xml:space="preserve">Les preuves (sorties brutes, anonymisables, résumés attendus, résultats) sont écrites dans </w:t>
      </w:r>
      <w:r>
        <w:rPr>
          <w:rFonts w:ascii="Consolas" w:hAnsi="Consolas" w:cs="Consolas"/>
          <w:color w:val="1C5CAB"/>
          <w:sz w:val="18"/>
          <w:szCs w:val="18"/>
          <w:shd w:val="clear" w:color="auto" w:fill="EEF3FA"/>
        </w:rPr>
        <w:t xml:space="preserve">&lt;installation&gt;\recette\&lt;horodatage&gt;\</w:t>
      </w:r>
      <w:r>
        <w:rPr/>
        <w:t xml:space="preserve"> et téléchargeables en archive. Le </w:t>
      </w:r>
      <w:r>
        <w:rPr>
          <w:b/>
        </w:rPr>
        <w:t xml:space="preserve">PV de recette</w:t>
      </w:r>
      <w:r>
        <w:rPr/>
        <w:t xml:space="preserve"> Word reprend chaque point, les comparaisons et un cadre de signature (intégrateur et client).</w:t>
      </w:r>
    </w:p>
    <w:p>
      <w:pPr>
        <w:pStyle w:val="Figure"/>
        <w:keepNext/>
      </w:pPr>
      <w:r>
        <w:drawing>
          <wp:inline distT="0" distB="0" distL="0" distR="0">
            <wp:extent cx="5580000" cy="2459477"/>
            <wp:docPr id="14" name="Image 14" descr="Recette : PV de recette et archive des preuves"/>
            <wp:cNvGraphicFramePr>
              <a:graphicFrameLocks noChangeAspect="1"/>
            </wp:cNvGraphicFramePr>
            <a:graphic>
              <a:graphicData uri="http://schemas.openxmlformats.org/drawingml/2006/picture">
                <pic:pic>
                  <pic:nvPicPr>
                    <pic:cNvPr id="14" name="recette-pv.png"/>
                    <pic:cNvPicPr/>
                  </pic:nvPicPr>
                  <pic:blipFill>
                    <a:blip r:embed="rIdImg14"/>
                    <a:stretch>
                      <a:fillRect/>
                    </a:stretch>
                  </pic:blipFill>
                  <pic:spPr>
                    <a:xfrm>
                      <a:off x="0" y="0"/>
                      <a:ext cx="5580000" cy="2459477"/>
                    </a:xfrm>
                    <a:prstGeom prst="rect">
                      <a:avLst/>
                    </a:prstGeom>
                    <a:ln w="9525">
                      <a:solidFill>
                        <a:srgbClr val="D9D8D2"/>
                      </a:solidFill>
                    </a:ln>
                  </pic:spPr>
                </pic:pic>
              </a:graphicData>
            </a:graphic>
          </wp:inline>
        </w:drawing>
      </w:r>
    </w:p>
    <w:p>
      <w:pPr>
        <w:pStyle w:val="Caption"/>
      </w:pPr>
      <w:bookmarkStart w:id="51" w:name="_Fig00051"/>
      <w:r>
        <w:rPr/>
        <w:t xml:space="preserve">Figure </w:t>
      </w:r>
      <w:fldSimple w:instr=" SEQ Figure \* ARABIC ">
        <w:r>
          <w:t>13</w:t>
        </w:r>
      </w:fldSimple>
      <w:r>
        <w:rPr/>
        <w:t xml:space="preserve"> – Recette : PV de recette et archive des preuves</w:t>
      </w:r>
      <w:bookmarkEnd w:id="51"/>
    </w:p>
    <w:p>
      <w:pPr/>
      <w:r>
        <w:rPr/>
        <w:t xml:space="preserve">Les sorties enregistrées peuvent être ajoutées aux tests de non-régression du projet (</w:t>
      </w:r>
      <w:r>
        <w:rPr>
          <w:rFonts w:ascii="Consolas" w:hAnsi="Consolas" w:cs="Consolas"/>
          <w:color w:val="1C5CAB"/>
          <w:sz w:val="18"/>
          <w:szCs w:val="18"/>
          <w:shd w:val="clear" w:color="auto" w:fill="EEF3FA"/>
        </w:rPr>
        <w:t xml:space="preserve">tests/fixtures/reel</w:t>
      </w:r>
      <w:r>
        <w:rPr/>
        <w:t xml:space="preserve">). Contrôles complémentaires à dérouler manuellement :</w:t>
      </w:r>
    </w:p>
    <w:p>
      <w:pPr>
        <w:pStyle w:val="Caption"/>
        <w:keepNext/>
      </w:pPr>
      <w:r>
        <w:rPr/>
        <w:t xml:space="preserve">Tableau 14 – Recette de mise en service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593"/>
        <w:gridCol w:w="3558"/>
        <w:gridCol w:w="4744"/>
        <w:gridCol w:w="741"/>
      </w:tblGrid>
      <w:tr>
        <w:trPr>
          <w:tblHeader/>
          <w:cantSplit/>
        </w:trPr>
        <w:tc>
          <w:tcPr>
            <w:tcW w:w="593" w:type="dxa"/>
            <w:shd w:val="clear" w:color="auto" w:fill="2A78D6"/>
          </w:tcPr>
          <w:p>
            <w:pPr>
              <w:pStyle w:val="TableText"/>
            </w:pPr>
            <w:r>
              <w:rPr>
                <w:b/>
                <w:color w:val="FFFFFF"/>
                <w:sz w:val="18"/>
                <w:szCs w:val="18"/>
              </w:rPr>
              <w:t xml:space="preserve">N°</w:t>
            </w:r>
          </w:p>
        </w:tc>
        <w:tc>
          <w:tcPr>
            <w:tcW w:w="3558" w:type="dxa"/>
            <w:shd w:val="clear" w:color="auto" w:fill="2A78D6"/>
          </w:tcPr>
          <w:p>
            <w:pPr>
              <w:pStyle w:val="TableText"/>
            </w:pPr>
            <w:r>
              <w:rPr>
                <w:b/>
                <w:color w:val="FFFFFF"/>
                <w:sz w:val="18"/>
                <w:szCs w:val="18"/>
              </w:rPr>
              <w:t xml:space="preserve">Contrôle</w:t>
            </w:r>
          </w:p>
        </w:tc>
        <w:tc>
          <w:tcPr>
            <w:tcW w:w="4744" w:type="dxa"/>
            <w:shd w:val="clear" w:color="auto" w:fill="2A78D6"/>
          </w:tcPr>
          <w:p>
            <w:pPr>
              <w:pStyle w:val="TableText"/>
            </w:pPr>
            <w:r>
              <w:rPr>
                <w:b/>
                <w:color w:val="FFFFFF"/>
                <w:sz w:val="18"/>
                <w:szCs w:val="18"/>
              </w:rPr>
              <w:t xml:space="preserve">Résultat attendu</w:t>
            </w:r>
          </w:p>
        </w:tc>
        <w:tc>
          <w:tcPr>
            <w:tcW w:w="741" w:type="dxa"/>
            <w:shd w:val="clear" w:color="auto" w:fill="2A78D6"/>
          </w:tcPr>
          <w:p>
            <w:pPr>
              <w:pStyle w:val="TableText"/>
            </w:pPr>
            <w:r>
              <w:rPr>
                <w:b/>
                <w:color w:val="FFFFFF"/>
                <w:sz w:val="18"/>
                <w:szCs w:val="18"/>
              </w:rPr>
              <w:t xml:space="preserve">OK</w:t>
            </w:r>
          </w:p>
        </w:tc>
      </w:tr>
      <w:tr>
        <w:trPr>
          <w:cantSplit/>
        </w:trPr>
        <w:tc>
          <w:tcPr>
            <w:tcW w:w="593" w:type="dxa"/>
          </w:tcPr>
          <w:p>
            <w:pPr>
              <w:pStyle w:val="TableText"/>
            </w:pPr>
            <w:r>
              <w:rPr>
                <w:sz w:val="18"/>
                <w:szCs w:val="18"/>
              </w:rPr>
              <w:t xml:space="preserve">1</w:t>
            </w:r>
          </w:p>
        </w:tc>
        <w:tc>
          <w:tcPr>
            <w:tcW w:w="3558" w:type="dxa"/>
          </w:tcPr>
          <w:p>
            <w:pPr>
              <w:pStyle w:val="TableText"/>
            </w:pPr>
            <w:r>
              <w:rPr>
                <w:rFonts w:ascii="Consolas" w:hAnsi="Consolas" w:cs="Consolas"/>
                <w:color w:val="1C5CAB"/>
                <w:sz w:val="18"/>
                <w:szCs w:val="18"/>
                <w:shd w:val="clear" w:color="auto" w:fill="EEF3FA"/>
              </w:rPr>
              <w:t xml:space="preserve">init-db</w:t>
            </w:r>
            <w:r>
              <w:rPr>
                <w:sz w:val="18"/>
                <w:szCs w:val="18"/>
              </w:rPr>
              <w:t xml:space="preserve"> avec le compte de service</w:t>
            </w:r>
          </w:p>
        </w:tc>
        <w:tc>
          <w:tcPr>
            <w:tcW w:w="4744" w:type="dxa"/>
          </w:tcPr>
          <w:p>
            <w:pPr>
              <w:pStyle w:val="TableText"/>
            </w:pPr>
            <w:r>
              <w:rPr>
                <w:sz w:val="18"/>
                <w:szCs w:val="18"/>
              </w:rPr>
              <w:t xml:space="preserve">Schéma v7 créé, aucune erreur</w:t>
            </w:r>
          </w:p>
        </w:tc>
        <w:tc>
          <w:tcPr>
            <w:tcW w:w="741" w:type="dxa"/>
          </w:tcPr>
          <w:p>
            <w:pPr>
              <w:pStyle w:val="TableText"/>
            </w:pPr>
            <w:r>
              <w:rPr>
                <w:sz w:val="18"/>
                <w:szCs w:val="18"/>
              </w:rPr>
              <w:t xml:space="preserve">☐</w:t>
            </w:r>
          </w:p>
        </w:tc>
      </w:tr>
      <w:tr>
        <w:trPr>
          <w:cantSplit/>
        </w:trPr>
        <w:tc>
          <w:tcPr>
            <w:tcW w:w="593" w:type="dxa"/>
            <w:shd w:val="clear" w:color="auto" w:fill="F4F7FC"/>
          </w:tcPr>
          <w:p>
            <w:pPr>
              <w:pStyle w:val="TableText"/>
            </w:pPr>
            <w:r>
              <w:rPr>
                <w:sz w:val="18"/>
                <w:szCs w:val="18"/>
              </w:rPr>
              <w:t xml:space="preserve">2</w:t>
            </w:r>
          </w:p>
        </w:tc>
        <w:tc>
          <w:tcPr>
            <w:tcW w:w="3558" w:type="dxa"/>
            <w:shd w:val="clear" w:color="auto" w:fill="F4F7FC"/>
          </w:tcPr>
          <w:p>
            <w:pPr>
              <w:pStyle w:val="TableText"/>
            </w:pPr>
            <w:r>
              <w:rPr>
                <w:rFonts w:ascii="Consolas" w:hAnsi="Consolas" w:cs="Consolas"/>
                <w:color w:val="1C5CAB"/>
                <w:sz w:val="18"/>
                <w:szCs w:val="18"/>
                <w:shd w:val="clear" w:color="auto" w:fill="EEF3FA"/>
              </w:rPr>
              <w:t xml:space="preserve">test-server</w:t>
            </w:r>
            <w:r>
              <w:rPr>
                <w:sz w:val="18"/>
                <w:szCs w:val="18"/>
              </w:rPr>
              <w:t xml:space="preserve"> sur chaque serveur</w:t>
            </w:r>
          </w:p>
        </w:tc>
        <w:tc>
          <w:tcPr>
            <w:tcW w:w="4744" w:type="dxa"/>
            <w:shd w:val="clear" w:color="auto" w:fill="F4F7FC"/>
          </w:tcPr>
          <w:p>
            <w:pPr>
              <w:pStyle w:val="TableText"/>
            </w:pPr>
            <w:r>
              <w:rPr>
                <w:sz w:val="18"/>
                <w:szCs w:val="18"/>
              </w:rPr>
              <w:t xml:space="preserve">Features et jetons cohérents avec </w:t>
            </w:r>
            <w:r>
              <w:rPr>
                <w:rFonts w:ascii="Consolas" w:hAnsi="Consolas" w:cs="Consolas"/>
                <w:color w:val="1C5CAB"/>
                <w:sz w:val="18"/>
                <w:szCs w:val="18"/>
                <w:shd w:val="clear" w:color="auto" w:fill="EEF3FA"/>
              </w:rPr>
              <w:t xml:space="preserve">lmutil lmstat -a</w:t>
            </w:r>
          </w:p>
        </w:tc>
        <w:tc>
          <w:tcPr>
            <w:tcW w:w="741" w:type="dxa"/>
            <w:shd w:val="clear" w:color="auto" w:fill="F4F7FC"/>
          </w:tcPr>
          <w:p>
            <w:pPr>
              <w:pStyle w:val="TableText"/>
            </w:pPr>
            <w:r>
              <w:rPr>
                <w:sz w:val="18"/>
                <w:szCs w:val="18"/>
              </w:rPr>
              <w:t xml:space="preserve">☐</w:t>
            </w:r>
          </w:p>
        </w:tc>
      </w:tr>
      <w:tr>
        <w:trPr>
          <w:cantSplit/>
        </w:trPr>
        <w:tc>
          <w:tcPr>
            <w:tcW w:w="593" w:type="dxa"/>
          </w:tcPr>
          <w:p>
            <w:pPr>
              <w:pStyle w:val="TableText"/>
            </w:pPr>
            <w:r>
              <w:rPr>
                <w:sz w:val="18"/>
                <w:szCs w:val="18"/>
              </w:rPr>
              <w:t xml:space="preserve">3</w:t>
            </w:r>
          </w:p>
        </w:tc>
        <w:tc>
          <w:tcPr>
            <w:tcW w:w="3558" w:type="dxa"/>
          </w:tcPr>
          <w:p>
            <w:pPr>
              <w:pStyle w:val="TableText"/>
            </w:pPr>
            <w:r>
              <w:rPr>
                <w:sz w:val="18"/>
                <w:szCs w:val="18"/>
              </w:rPr>
              <w:t xml:space="preserve">Tâches planifiées actives</w:t>
            </w:r>
          </w:p>
        </w:tc>
        <w:tc>
          <w:tcPr>
            <w:tcW w:w="4744" w:type="dxa"/>
          </w:tcPr>
          <w:p>
            <w:pPr>
              <w:pStyle w:val="TableText"/>
            </w:pPr>
            <w:r>
              <w:rPr>
                <w:sz w:val="18"/>
                <w:szCs w:val="18"/>
              </w:rPr>
              <w:t xml:space="preserve">Dernier résultat 0x0 pour « HeptagonesLM - Collecte »</w:t>
            </w:r>
          </w:p>
        </w:tc>
        <w:tc>
          <w:tcPr>
            <w:tcW w:w="741" w:type="dxa"/>
          </w:tcPr>
          <w:p>
            <w:pPr>
              <w:pStyle w:val="TableText"/>
            </w:pPr>
            <w:r>
              <w:rPr>
                <w:sz w:val="18"/>
                <w:szCs w:val="18"/>
              </w:rPr>
              <w:t xml:space="preserve">☐</w:t>
            </w:r>
          </w:p>
        </w:tc>
      </w:tr>
      <w:tr>
        <w:trPr>
          <w:cantSplit/>
        </w:trPr>
        <w:tc>
          <w:tcPr>
            <w:tcW w:w="593" w:type="dxa"/>
            <w:shd w:val="clear" w:color="auto" w:fill="F4F7FC"/>
          </w:tcPr>
          <w:p>
            <w:pPr>
              <w:pStyle w:val="TableText"/>
            </w:pPr>
            <w:r>
              <w:rPr>
                <w:sz w:val="18"/>
                <w:szCs w:val="18"/>
              </w:rPr>
              <w:t xml:space="preserve">4</w:t>
            </w:r>
          </w:p>
        </w:tc>
        <w:tc>
          <w:tcPr>
            <w:tcW w:w="3558" w:type="dxa"/>
            <w:shd w:val="clear" w:color="auto" w:fill="F4F7FC"/>
          </w:tcPr>
          <w:p>
            <w:pPr>
              <w:pStyle w:val="TableText"/>
            </w:pPr>
            <w:r>
              <w:rPr>
                <w:sz w:val="18"/>
                <w:szCs w:val="18"/>
              </w:rPr>
              <w:t xml:space="preserve">Interface web en HTTPS</w:t>
            </w:r>
          </w:p>
        </w:tc>
        <w:tc>
          <w:tcPr>
            <w:tcW w:w="4744" w:type="dxa"/>
            <w:shd w:val="clear" w:color="auto" w:fill="F4F7FC"/>
          </w:tcPr>
          <w:p>
            <w:pPr>
              <w:pStyle w:val="TableText"/>
            </w:pPr>
            <w:r>
              <w:rPr>
                <w:sz w:val="18"/>
                <w:szCs w:val="18"/>
              </w:rPr>
              <w:t xml:space="preserve">Page de connexion, certificat reconnu par le navigateur</w:t>
            </w:r>
          </w:p>
        </w:tc>
        <w:tc>
          <w:tcPr>
            <w:tcW w:w="741" w:type="dxa"/>
            <w:shd w:val="clear" w:color="auto" w:fill="F4F7FC"/>
          </w:tcPr>
          <w:p>
            <w:pPr>
              <w:pStyle w:val="TableText"/>
            </w:pPr>
            <w:r>
              <w:rPr>
                <w:sz w:val="18"/>
                <w:szCs w:val="18"/>
              </w:rPr>
              <w:t xml:space="preserve">☐</w:t>
            </w:r>
          </w:p>
        </w:tc>
      </w:tr>
      <w:tr>
        <w:trPr>
          <w:cantSplit/>
        </w:trPr>
        <w:tc>
          <w:tcPr>
            <w:tcW w:w="593" w:type="dxa"/>
          </w:tcPr>
          <w:p>
            <w:pPr>
              <w:pStyle w:val="TableText"/>
            </w:pPr>
            <w:r>
              <w:rPr>
                <w:sz w:val="18"/>
                <w:szCs w:val="18"/>
              </w:rPr>
              <w:t xml:space="preserve">5</w:t>
            </w:r>
          </w:p>
        </w:tc>
        <w:tc>
          <w:tcPr>
            <w:tcW w:w="3558" w:type="dxa"/>
          </w:tcPr>
          <w:p>
            <w:pPr>
              <w:pStyle w:val="TableText"/>
            </w:pPr>
            <w:r>
              <w:rPr>
                <w:sz w:val="18"/>
                <w:szCs w:val="18"/>
              </w:rPr>
              <w:t xml:space="preserve">Connexion d'un membre du groupe autorisé</w:t>
            </w:r>
          </w:p>
        </w:tc>
        <w:tc>
          <w:tcPr>
            <w:tcW w:w="4744" w:type="dxa"/>
          </w:tcPr>
          <w:p>
            <w:pPr>
              <w:pStyle w:val="TableText"/>
            </w:pPr>
            <w:r>
              <w:rPr>
                <w:sz w:val="18"/>
                <w:szCs w:val="18"/>
              </w:rPr>
              <w:t xml:space="preserve">Tableau de bord affiché, nom de l'utilisateur en haut à droite</w:t>
            </w:r>
          </w:p>
        </w:tc>
        <w:tc>
          <w:tcPr>
            <w:tcW w:w="741" w:type="dxa"/>
          </w:tcPr>
          <w:p>
            <w:pPr>
              <w:pStyle w:val="TableText"/>
            </w:pPr>
            <w:r>
              <w:rPr>
                <w:sz w:val="18"/>
                <w:szCs w:val="18"/>
              </w:rPr>
              <w:t xml:space="preserve">☐</w:t>
            </w:r>
          </w:p>
        </w:tc>
      </w:tr>
      <w:tr>
        <w:trPr>
          <w:cantSplit/>
        </w:trPr>
        <w:tc>
          <w:tcPr>
            <w:tcW w:w="593" w:type="dxa"/>
            <w:shd w:val="clear" w:color="auto" w:fill="F4F7FC"/>
          </w:tcPr>
          <w:p>
            <w:pPr>
              <w:pStyle w:val="TableText"/>
            </w:pPr>
            <w:r>
              <w:rPr>
                <w:sz w:val="18"/>
                <w:szCs w:val="18"/>
              </w:rPr>
              <w:t xml:space="preserve">6</w:t>
            </w:r>
          </w:p>
        </w:tc>
        <w:tc>
          <w:tcPr>
            <w:tcW w:w="3558" w:type="dxa"/>
            <w:shd w:val="clear" w:color="auto" w:fill="F4F7FC"/>
          </w:tcPr>
          <w:p>
            <w:pPr>
              <w:pStyle w:val="TableText"/>
            </w:pPr>
            <w:r>
              <w:rPr>
                <w:sz w:val="18"/>
                <w:szCs w:val="18"/>
              </w:rPr>
              <w:t xml:space="preserve">Connexion d'un non-membre</w:t>
            </w:r>
          </w:p>
        </w:tc>
        <w:tc>
          <w:tcPr>
            <w:tcW w:w="4744" w:type="dxa"/>
            <w:shd w:val="clear" w:color="auto" w:fill="F4F7FC"/>
          </w:tcPr>
          <w:p>
            <w:pPr>
              <w:pStyle w:val="TableText"/>
            </w:pPr>
            <w:r>
              <w:rPr>
                <w:sz w:val="18"/>
                <w:szCs w:val="18"/>
              </w:rPr>
              <w:t xml:space="preserve">Refus « Identifiant ou mot de passe incorrect »</w:t>
            </w:r>
          </w:p>
        </w:tc>
        <w:tc>
          <w:tcPr>
            <w:tcW w:w="741" w:type="dxa"/>
            <w:shd w:val="clear" w:color="auto" w:fill="F4F7FC"/>
          </w:tcPr>
          <w:p>
            <w:pPr>
              <w:pStyle w:val="TableText"/>
            </w:pPr>
            <w:r>
              <w:rPr>
                <w:sz w:val="18"/>
                <w:szCs w:val="18"/>
              </w:rPr>
              <w:t xml:space="preserve">☐</w:t>
            </w:r>
          </w:p>
        </w:tc>
      </w:tr>
      <w:tr>
        <w:trPr>
          <w:cantSplit/>
        </w:trPr>
        <w:tc>
          <w:tcPr>
            <w:tcW w:w="593" w:type="dxa"/>
          </w:tcPr>
          <w:p>
            <w:pPr>
              <w:pStyle w:val="TableText"/>
            </w:pPr>
            <w:r>
              <w:rPr>
                <w:sz w:val="18"/>
                <w:szCs w:val="18"/>
              </w:rPr>
              <w:t xml:space="preserve">7</w:t>
            </w:r>
          </w:p>
        </w:tc>
        <w:tc>
          <w:tcPr>
            <w:tcW w:w="3558" w:type="dxa"/>
          </w:tcPr>
          <w:p>
            <w:pPr>
              <w:pStyle w:val="TableText"/>
            </w:pPr>
            <w:r>
              <w:rPr>
                <w:sz w:val="18"/>
                <w:szCs w:val="18"/>
              </w:rPr>
              <w:t xml:space="preserve">Badge d'état</w:t>
            </w:r>
          </w:p>
        </w:tc>
        <w:tc>
          <w:tcPr>
            <w:tcW w:w="4744" w:type="dxa"/>
          </w:tcPr>
          <w:p>
            <w:pPr>
              <w:pStyle w:val="TableText"/>
            </w:pPr>
            <w:r>
              <w:rPr>
                <w:sz w:val="18"/>
                <w:szCs w:val="18"/>
              </w:rPr>
              <w:t xml:space="preserve">« Collectes OK » dans l'en-tête</w:t>
            </w:r>
          </w:p>
        </w:tc>
        <w:tc>
          <w:tcPr>
            <w:tcW w:w="741" w:type="dxa"/>
          </w:tcPr>
          <w:p>
            <w:pPr>
              <w:pStyle w:val="TableText"/>
            </w:pPr>
            <w:r>
              <w:rPr>
                <w:sz w:val="18"/>
                <w:szCs w:val="18"/>
              </w:rPr>
              <w:t xml:space="preserve">☐</w:t>
            </w:r>
          </w:p>
        </w:tc>
      </w:tr>
      <w:tr>
        <w:trPr>
          <w:cantSplit/>
        </w:trPr>
        <w:tc>
          <w:tcPr>
            <w:tcW w:w="593" w:type="dxa"/>
            <w:shd w:val="clear" w:color="auto" w:fill="F4F7FC"/>
          </w:tcPr>
          <w:p>
            <w:pPr>
              <w:pStyle w:val="TableText"/>
            </w:pPr>
            <w:r>
              <w:rPr>
                <w:sz w:val="18"/>
                <w:szCs w:val="18"/>
              </w:rPr>
              <w:t xml:space="preserve">8</w:t>
            </w:r>
          </w:p>
        </w:tc>
        <w:tc>
          <w:tcPr>
            <w:tcW w:w="3558" w:type="dxa"/>
            <w:shd w:val="clear" w:color="auto" w:fill="F4F7FC"/>
          </w:tcPr>
          <w:p>
            <w:pPr>
              <w:pStyle w:val="TableText"/>
            </w:pPr>
            <w:r>
              <w:rPr>
                <w:sz w:val="18"/>
                <w:szCs w:val="18"/>
              </w:rPr>
              <w:t xml:space="preserve">Vue En direct</w:t>
            </w:r>
          </w:p>
        </w:tc>
        <w:tc>
          <w:tcPr>
            <w:tcW w:w="4744" w:type="dxa"/>
            <w:shd w:val="clear" w:color="auto" w:fill="F4F7FC"/>
          </w:tcPr>
          <w:p>
            <w:pPr>
              <w:pStyle w:val="TableText"/>
            </w:pPr>
            <w:r>
              <w:rPr>
                <w:sz w:val="18"/>
                <w:szCs w:val="18"/>
              </w:rPr>
              <w:t xml:space="preserve">Jetons et utilisateurs identiques à </w:t>
            </w:r>
            <w:r>
              <w:rPr>
                <w:rFonts w:ascii="Consolas" w:hAnsi="Consolas" w:cs="Consolas"/>
                <w:color w:val="1C5CAB"/>
                <w:sz w:val="18"/>
                <w:szCs w:val="18"/>
                <w:shd w:val="clear" w:color="auto" w:fill="EEF3FA"/>
              </w:rPr>
              <w:t xml:space="preserve">lmstat</w:t>
            </w:r>
            <w:r>
              <w:rPr>
                <w:sz w:val="18"/>
                <w:szCs w:val="18"/>
              </w:rPr>
              <w:t xml:space="preserve"> au même instant</w:t>
            </w:r>
          </w:p>
        </w:tc>
        <w:tc>
          <w:tcPr>
            <w:tcW w:w="741" w:type="dxa"/>
            <w:shd w:val="clear" w:color="auto" w:fill="F4F7FC"/>
          </w:tcPr>
          <w:p>
            <w:pPr>
              <w:pStyle w:val="TableText"/>
            </w:pPr>
            <w:r>
              <w:rPr>
                <w:sz w:val="18"/>
                <w:szCs w:val="18"/>
              </w:rPr>
              <w:t xml:space="preserve">☐</w:t>
            </w:r>
          </w:p>
        </w:tc>
      </w:tr>
      <w:tr>
        <w:trPr>
          <w:cantSplit/>
        </w:trPr>
        <w:tc>
          <w:tcPr>
            <w:tcW w:w="593" w:type="dxa"/>
          </w:tcPr>
          <w:p>
            <w:pPr>
              <w:pStyle w:val="TableText"/>
            </w:pPr>
            <w:r>
              <w:rPr>
                <w:sz w:val="18"/>
                <w:szCs w:val="18"/>
              </w:rPr>
              <w:t xml:space="preserve">9</w:t>
            </w:r>
          </w:p>
        </w:tc>
        <w:tc>
          <w:tcPr>
            <w:tcW w:w="3558" w:type="dxa"/>
          </w:tcPr>
          <w:p>
            <w:pPr>
              <w:pStyle w:val="TableText"/>
            </w:pPr>
            <w:r>
              <w:rPr>
                <w:sz w:val="18"/>
                <w:szCs w:val="18"/>
              </w:rPr>
              <w:t xml:space="preserve">Export Excel</w:t>
            </w:r>
          </w:p>
        </w:tc>
        <w:tc>
          <w:tcPr>
            <w:tcW w:w="4744" w:type="dxa"/>
          </w:tcPr>
          <w:p>
            <w:pPr>
              <w:pStyle w:val="TableText"/>
            </w:pPr>
            <w:r>
              <w:rPr>
                <w:sz w:val="18"/>
                <w:szCs w:val="18"/>
              </w:rPr>
              <w:t xml:space="preserve">Fichier téléchargé et lisible</w:t>
            </w:r>
          </w:p>
        </w:tc>
        <w:tc>
          <w:tcPr>
            <w:tcW w:w="741" w:type="dxa"/>
          </w:tcPr>
          <w:p>
            <w:pPr>
              <w:pStyle w:val="TableText"/>
            </w:pPr>
            <w:r>
              <w:rPr>
                <w:sz w:val="18"/>
                <w:szCs w:val="18"/>
              </w:rPr>
              <w:t xml:space="preserve">☐</w:t>
            </w:r>
          </w:p>
        </w:tc>
      </w:tr>
      <w:tr>
        <w:trPr>
          <w:cantSplit/>
        </w:trPr>
        <w:tc>
          <w:tcPr>
            <w:tcW w:w="593" w:type="dxa"/>
            <w:shd w:val="clear" w:color="auto" w:fill="F4F7FC"/>
          </w:tcPr>
          <w:p>
            <w:pPr>
              <w:pStyle w:val="TableText"/>
            </w:pPr>
            <w:r>
              <w:rPr>
                <w:sz w:val="18"/>
                <w:szCs w:val="18"/>
              </w:rPr>
              <w:t xml:space="preserve">10</w:t>
            </w:r>
          </w:p>
        </w:tc>
        <w:tc>
          <w:tcPr>
            <w:tcW w:w="3558" w:type="dxa"/>
            <w:shd w:val="clear" w:color="auto" w:fill="F4F7FC"/>
          </w:tcPr>
          <w:p>
            <w:pPr>
              <w:pStyle w:val="TableText"/>
            </w:pPr>
            <w:r>
              <w:rPr>
                <w:sz w:val="18"/>
                <w:szCs w:val="18"/>
              </w:rPr>
              <w:t xml:space="preserve">Envoi de test du rapport</w:t>
            </w:r>
          </w:p>
        </w:tc>
        <w:tc>
          <w:tcPr>
            <w:tcW w:w="4744" w:type="dxa"/>
            <w:shd w:val="clear" w:color="auto" w:fill="F4F7FC"/>
          </w:tcPr>
          <w:p>
            <w:pPr>
              <w:pStyle w:val="TableText"/>
            </w:pPr>
            <w:r>
              <w:rPr>
                <w:rFonts w:ascii="Consolas" w:hAnsi="Consolas" w:cs="Consolas"/>
                <w:color w:val="1C5CAB"/>
                <w:sz w:val="18"/>
                <w:szCs w:val="18"/>
                <w:shd w:val="clear" w:color="auto" w:fill="EEF3FA"/>
              </w:rPr>
              <w:t xml:space="preserve">send-report --to moi@…</w:t>
            </w:r>
            <w:r>
              <w:rPr>
                <w:sz w:val="18"/>
                <w:szCs w:val="18"/>
              </w:rPr>
              <w:t xml:space="preserve"> reçu</w:t>
            </w:r>
          </w:p>
        </w:tc>
        <w:tc>
          <w:tcPr>
            <w:tcW w:w="741" w:type="dxa"/>
            <w:shd w:val="clear" w:color="auto" w:fill="F4F7FC"/>
          </w:tcPr>
          <w:p>
            <w:pPr>
              <w:pStyle w:val="TableText"/>
            </w:pPr>
            <w:r>
              <w:rPr>
                <w:sz w:val="18"/>
                <w:szCs w:val="18"/>
              </w:rPr>
              <w:t xml:space="preserve">☐</w:t>
            </w:r>
          </w:p>
        </w:tc>
      </w:tr>
      <w:tr>
        <w:trPr>
          <w:cantSplit/>
        </w:trPr>
        <w:tc>
          <w:tcPr>
            <w:tcW w:w="593" w:type="dxa"/>
          </w:tcPr>
          <w:p>
            <w:pPr>
              <w:pStyle w:val="TableText"/>
            </w:pPr>
            <w:r>
              <w:rPr>
                <w:sz w:val="18"/>
                <w:szCs w:val="18"/>
              </w:rPr>
              <w:t xml:space="preserve">11</w:t>
            </w:r>
          </w:p>
        </w:tc>
        <w:tc>
          <w:tcPr>
            <w:tcW w:w="3558" w:type="dxa"/>
          </w:tcPr>
          <w:p>
            <w:pPr>
              <w:pStyle w:val="TableText"/>
            </w:pPr>
            <w:r>
              <w:rPr>
                <w:sz w:val="18"/>
                <w:szCs w:val="18"/>
              </w:rPr>
              <w:t xml:space="preserve">Droit db_ddladmin retiré</w:t>
            </w:r>
          </w:p>
        </w:tc>
        <w:tc>
          <w:tcPr>
            <w:tcW w:w="4744" w:type="dxa"/>
          </w:tcPr>
          <w:p>
            <w:pPr>
              <w:pStyle w:val="TableText"/>
            </w:pPr>
            <w:r>
              <w:rPr>
                <w:sz w:val="18"/>
                <w:szCs w:val="18"/>
              </w:rPr>
              <w:t xml:space="preserve">Rôle absent pour le compte de service</w:t>
            </w:r>
          </w:p>
        </w:tc>
        <w:tc>
          <w:tcPr>
            <w:tcW w:w="741" w:type="dxa"/>
          </w:tcPr>
          <w:p>
            <w:pPr>
              <w:pStyle w:val="TableText"/>
            </w:pPr>
            <w:r>
              <w:rPr>
                <w:sz w:val="18"/>
                <w:szCs w:val="18"/>
              </w:rPr>
              <w:t xml:space="preserve">☐</w:t>
            </w:r>
          </w:p>
        </w:tc>
      </w:tr>
      <w:tr>
        <w:trPr>
          <w:cantSplit/>
        </w:trPr>
        <w:tc>
          <w:tcPr>
            <w:tcW w:w="593" w:type="dxa"/>
            <w:shd w:val="clear" w:color="auto" w:fill="F4F7FC"/>
          </w:tcPr>
          <w:p>
            <w:pPr>
              <w:pStyle w:val="TableText"/>
            </w:pPr>
            <w:r>
              <w:rPr>
                <w:sz w:val="18"/>
                <w:szCs w:val="18"/>
              </w:rPr>
              <w:t xml:space="preserve">12</w:t>
            </w:r>
          </w:p>
        </w:tc>
        <w:tc>
          <w:tcPr>
            <w:tcW w:w="3558" w:type="dxa"/>
            <w:shd w:val="clear" w:color="auto" w:fill="F4F7FC"/>
          </w:tcPr>
          <w:p>
            <w:pPr>
              <w:pStyle w:val="TableText"/>
            </w:pPr>
            <w:r>
              <w:rPr>
                <w:sz w:val="18"/>
                <w:szCs w:val="18"/>
              </w:rPr>
              <w:t xml:space="preserve">SPN et zone Intranet (vérification de l'assistant)</w:t>
            </w:r>
          </w:p>
        </w:tc>
        <w:tc>
          <w:tcPr>
            <w:tcW w:w="4744" w:type="dxa"/>
            <w:shd w:val="clear" w:color="auto" w:fill="F4F7FC"/>
          </w:tcPr>
          <w:p>
            <w:pPr>
              <w:pStyle w:val="TableText"/>
            </w:pPr>
            <w:r>
              <w:rPr>
                <w:sz w:val="18"/>
                <w:szCs w:val="18"/>
              </w:rPr>
              <w:t xml:space="preserve">Contrôles verts, ou commandes appliquées</w:t>
            </w:r>
          </w:p>
        </w:tc>
        <w:tc>
          <w:tcPr>
            <w:tcW w:w="741" w:type="dxa"/>
            <w:shd w:val="clear" w:color="auto" w:fill="F4F7FC"/>
          </w:tcPr>
          <w:p>
            <w:pPr>
              <w:pStyle w:val="TableText"/>
            </w:pPr>
            <w:r>
              <w:rPr>
                <w:sz w:val="18"/>
                <w:szCs w:val="18"/>
              </w:rPr>
              <w:t xml:space="preserve">☐</w:t>
            </w:r>
          </w:p>
        </w:tc>
      </w:tr>
      <w:tr>
        <w:trPr>
          <w:cantSplit/>
        </w:trPr>
        <w:tc>
          <w:tcPr>
            <w:tcW w:w="593" w:type="dxa"/>
          </w:tcPr>
          <w:p>
            <w:pPr>
              <w:pStyle w:val="TableText"/>
            </w:pPr>
            <w:r>
              <w:rPr>
                <w:sz w:val="18"/>
                <w:szCs w:val="18"/>
              </w:rPr>
              <w:t xml:space="preserve">13</w:t>
            </w:r>
          </w:p>
        </w:tc>
        <w:tc>
          <w:tcPr>
            <w:tcW w:w="3558" w:type="dxa"/>
          </w:tcPr>
          <w:p>
            <w:pPr>
              <w:pStyle w:val="TableText"/>
            </w:pPr>
            <w:r>
              <w:rPr>
                <w:sz w:val="18"/>
                <w:szCs w:val="18"/>
              </w:rPr>
              <w:t xml:space="preserve">Test </w:t>
            </w:r>
            <w:r>
              <w:rPr>
                <w:rFonts w:ascii="Consolas" w:hAnsi="Consolas" w:cs="Consolas"/>
                <w:color w:val="1C5CAB"/>
                <w:sz w:val="18"/>
                <w:szCs w:val="18"/>
                <w:shd w:val="clear" w:color="auto" w:fill="EEF3FA"/>
              </w:rPr>
              <w:t xml:space="preserve">/acces</w:t>
            </w:r>
            <w:r>
              <w:rPr>
                <w:sz w:val="18"/>
                <w:szCs w:val="18"/>
              </w:rPr>
              <w:t xml:space="preserve"> depuis 2 postes utilisateurs</w:t>
            </w:r>
          </w:p>
        </w:tc>
        <w:tc>
          <w:tcPr>
            <w:tcW w:w="4744" w:type="dxa"/>
          </w:tcPr>
          <w:p>
            <w:pPr>
              <w:pStyle w:val="TableText"/>
            </w:pPr>
            <w:r>
              <w:rPr>
                <w:sz w:val="18"/>
                <w:szCs w:val="18"/>
              </w:rPr>
              <w:t xml:space="preserve">Utilisateur reconnu, Kerberos, connecté sans saisie</w:t>
            </w:r>
          </w:p>
        </w:tc>
        <w:tc>
          <w:tcPr>
            <w:tcW w:w="741" w:type="dxa"/>
          </w:tcPr>
          <w:p>
            <w:pPr>
              <w:pStyle w:val="TableText"/>
            </w:pPr>
            <w:r>
              <w:rPr>
                <w:sz w:val="18"/>
                <w:szCs w:val="18"/>
              </w:rPr>
              <w:t xml:space="preserve">☐</w:t>
            </w:r>
          </w:p>
        </w:tc>
      </w:tr>
    </w:tbl>
    <w:p>
      <w:pPr>
        <w:spacing w:after="80"/>
      </w:pPr>
    </w:p>
    <w:p>
      <w:pPr>
        <w:pStyle w:val="Heading1"/>
      </w:pPr>
      <w:bookmarkStart w:id="52" w:name="_Toc00052"/>
      <w:r>
        <w:rPr/>
        <w:t xml:space="preserve">6. Configuration de référence</w:t>
      </w:r>
      <w:bookmarkEnd w:id="52"/>
    </w:p>
    <w:p>
      <w:pPr/>
      <w:r>
        <w:rPr/>
        <w:t xml:space="preserve">Toute la configuration réside dans un fichier YAML unique, </w:t>
      </w:r>
      <w:r>
        <w:rPr>
          <w:rFonts w:ascii="Consolas" w:hAnsi="Consolas" w:cs="Consolas"/>
          <w:color w:val="1C5CAB"/>
          <w:sz w:val="18"/>
          <w:szCs w:val="18"/>
          <w:shd w:val="clear" w:color="auto" w:fill="EEF3FA"/>
        </w:rPr>
        <w:t xml:space="preserve">C:\HeptagonesLM\heptagoneslm.yaml</w:t>
      </w:r>
      <w:r>
        <w:rPr/>
        <w:t xml:space="preserve"> (ou le chemin indiqué par </w:t>
      </w:r>
      <w:r>
        <w:rPr>
          <w:rFonts w:ascii="Consolas" w:hAnsi="Consolas" w:cs="Consolas"/>
          <w:color w:val="1C5CAB"/>
          <w:sz w:val="18"/>
          <w:szCs w:val="18"/>
          <w:shd w:val="clear" w:color="auto" w:fill="EEF3FA"/>
        </w:rPr>
        <w:t xml:space="preserve">-c</w:t>
      </w:r>
      <w:r>
        <w:rPr/>
        <w:t xml:space="preserve"> ou la variable </w:t>
      </w:r>
      <w:r>
        <w:rPr>
          <w:rFonts w:ascii="Consolas" w:hAnsi="Consolas" w:cs="Consolas"/>
          <w:color w:val="1C5CAB"/>
          <w:sz w:val="18"/>
          <w:szCs w:val="18"/>
          <w:shd w:val="clear" w:color="auto" w:fill="EEF3FA"/>
        </w:rPr>
        <w:t xml:space="preserve">HEPTAGONESLM_CONFIG</w:t>
      </w:r>
      <w:r>
        <w:rPr/>
        <w:t xml:space="preserve">). Les variables d'environnement y sont développées (</w:t>
      </w:r>
      <w:r>
        <w:rPr>
          <w:rFonts w:ascii="Consolas" w:hAnsi="Consolas" w:cs="Consolas"/>
          <w:color w:val="1C5CAB"/>
          <w:sz w:val="18"/>
          <w:szCs w:val="18"/>
          <w:shd w:val="clear" w:color="auto" w:fill="EEF3FA"/>
        </w:rPr>
        <w:t xml:space="preserve">${VAR}</w:t>
      </w:r>
      <w:r>
        <w:rPr/>
        <w:t xml:space="preserve">, </w:t>
      </w:r>
      <w:r>
        <w:rPr>
          <w:rFonts w:ascii="Consolas" w:hAnsi="Consolas" w:cs="Consolas"/>
          <w:color w:val="1C5CAB"/>
          <w:sz w:val="18"/>
          <w:szCs w:val="18"/>
          <w:shd w:val="clear" w:color="auto" w:fill="EEF3FA"/>
        </w:rPr>
        <w:t xml:space="preserve">%VAR%</w:t>
      </w:r>
      <w:r>
        <w:rPr/>
        <w:t xml:space="preserve">) : les mots de passe ne doivent jamais y être écrits en clair.</w:t>
      </w:r>
    </w:p>
    <w:p>
      <w:pPr>
        <w:pStyle w:val="Heading2"/>
      </w:pPr>
      <w:bookmarkStart w:id="53" w:name="_Toc00053"/>
      <w:r>
        <w:rPr/>
        <w:t xml:space="preserve">6.1 Sections du fichier</w:t>
      </w:r>
      <w:bookmarkEnd w:id="53"/>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927"/>
        <w:gridCol w:w="1482"/>
        <w:gridCol w:w="6227"/>
      </w:tblGrid>
      <w:tr>
        <w:trPr>
          <w:tblHeader/>
          <w:cantSplit/>
        </w:trPr>
        <w:tc>
          <w:tcPr>
            <w:tcW w:w="1927" w:type="dxa"/>
            <w:shd w:val="clear" w:color="auto" w:fill="2A78D6"/>
          </w:tcPr>
          <w:p>
            <w:pPr>
              <w:pStyle w:val="TableText"/>
            </w:pPr>
            <w:r>
              <w:rPr>
                <w:b/>
                <w:color w:val="FFFFFF"/>
                <w:sz w:val="18"/>
                <w:szCs w:val="18"/>
              </w:rPr>
              <w:t xml:space="preserve">Section</w:t>
            </w:r>
          </w:p>
        </w:tc>
        <w:tc>
          <w:tcPr>
            <w:tcW w:w="1482" w:type="dxa"/>
            <w:shd w:val="clear" w:color="auto" w:fill="2A78D6"/>
          </w:tcPr>
          <w:p>
            <w:pPr>
              <w:pStyle w:val="TableText"/>
            </w:pPr>
            <w:r>
              <w:rPr>
                <w:b/>
                <w:color w:val="FFFFFF"/>
                <w:sz w:val="18"/>
                <w:szCs w:val="18"/>
              </w:rPr>
              <w:t xml:space="preserve">Obligatoire</w:t>
            </w:r>
          </w:p>
        </w:tc>
        <w:tc>
          <w:tcPr>
            <w:tcW w:w="6227" w:type="dxa"/>
            <w:shd w:val="clear" w:color="auto" w:fill="2A78D6"/>
          </w:tcPr>
          <w:p>
            <w:pPr>
              <w:pStyle w:val="TableText"/>
            </w:pPr>
            <w:r>
              <w:rPr>
                <w:b/>
                <w:color w:val="FFFFFF"/>
                <w:sz w:val="18"/>
                <w:szCs w:val="18"/>
              </w:rPr>
              <w:t xml:space="preserve">Rôle</w:t>
            </w:r>
          </w:p>
        </w:tc>
      </w:tr>
      <w:tr>
        <w:trPr>
          <w:cantSplit/>
        </w:trPr>
        <w:tc>
          <w:tcPr>
            <w:tcW w:w="1927" w:type="dxa"/>
          </w:tcPr>
          <w:p>
            <w:pPr>
              <w:pStyle w:val="TableText"/>
            </w:pPr>
            <w:r>
              <w:rPr>
                <w:sz w:val="18"/>
                <w:szCs w:val="18"/>
              </w:rPr>
              <w:t xml:space="preserve">database</w:t>
            </w:r>
          </w:p>
        </w:tc>
        <w:tc>
          <w:tcPr>
            <w:tcW w:w="1482" w:type="dxa"/>
          </w:tcPr>
          <w:p>
            <w:pPr>
              <w:pStyle w:val="TableText"/>
            </w:pPr>
            <w:r>
              <w:rPr>
                <w:sz w:val="18"/>
                <w:szCs w:val="18"/>
              </w:rPr>
              <w:t xml:space="preserve">Oui</w:t>
            </w:r>
          </w:p>
        </w:tc>
        <w:tc>
          <w:tcPr>
            <w:tcW w:w="6227" w:type="dxa"/>
          </w:tcPr>
          <w:p>
            <w:pPr>
              <w:pStyle w:val="TableText"/>
            </w:pPr>
            <w:r>
              <w:rPr>
                <w:sz w:val="18"/>
                <w:szCs w:val="18"/>
              </w:rPr>
              <w:t xml:space="preserve">Connexion à la base</w:t>
            </w:r>
          </w:p>
        </w:tc>
      </w:tr>
      <w:tr>
        <w:trPr>
          <w:cantSplit/>
        </w:trPr>
        <w:tc>
          <w:tcPr>
            <w:tcW w:w="1927" w:type="dxa"/>
            <w:shd w:val="clear" w:color="auto" w:fill="F4F7FC"/>
          </w:tcPr>
          <w:p>
            <w:pPr>
              <w:pStyle w:val="TableText"/>
            </w:pPr>
            <w:r>
              <w:rPr>
                <w:sz w:val="18"/>
                <w:szCs w:val="18"/>
              </w:rPr>
              <w:t xml:space="preserve">lmutil_path</w:t>
            </w:r>
          </w:p>
        </w:tc>
        <w:tc>
          <w:tcPr>
            <w:tcW w:w="1482" w:type="dxa"/>
            <w:shd w:val="clear" w:color="auto" w:fill="F4F7FC"/>
          </w:tcPr>
          <w:p>
            <w:pPr>
              <w:pStyle w:val="TableText"/>
            </w:pPr>
            <w:r>
              <w:rPr>
                <w:sz w:val="18"/>
                <w:szCs w:val="18"/>
              </w:rPr>
              <w:t xml:space="preserve">Oui</w:t>
            </w:r>
          </w:p>
        </w:tc>
        <w:tc>
          <w:tcPr>
            <w:tcW w:w="6227" w:type="dxa"/>
            <w:shd w:val="clear" w:color="auto" w:fill="F4F7FC"/>
          </w:tcPr>
          <w:p>
            <w:pPr>
              <w:pStyle w:val="TableText"/>
            </w:pPr>
            <w:r>
              <w:rPr>
                <w:sz w:val="18"/>
                <w:szCs w:val="18"/>
              </w:rPr>
              <w:t xml:space="preserve">Chemin de lmutil.exe</w:t>
            </w:r>
          </w:p>
        </w:tc>
      </w:tr>
      <w:tr>
        <w:trPr>
          <w:cantSplit/>
        </w:trPr>
        <w:tc>
          <w:tcPr>
            <w:tcW w:w="1927" w:type="dxa"/>
          </w:tcPr>
          <w:p>
            <w:pPr>
              <w:pStyle w:val="TableText"/>
            </w:pPr>
            <w:r>
              <w:rPr>
                <w:sz w:val="18"/>
                <w:szCs w:val="18"/>
              </w:rPr>
              <w:t xml:space="preserve">logging</w:t>
            </w:r>
          </w:p>
        </w:tc>
        <w:tc>
          <w:tcPr>
            <w:tcW w:w="1482" w:type="dxa"/>
          </w:tcPr>
          <w:p>
            <w:pPr>
              <w:pStyle w:val="TableText"/>
            </w:pPr>
            <w:r>
              <w:rPr>
                <w:sz w:val="18"/>
                <w:szCs w:val="18"/>
              </w:rPr>
              <w:t xml:space="preserve">Recommandé</w:t>
            </w:r>
          </w:p>
        </w:tc>
        <w:tc>
          <w:tcPr>
            <w:tcW w:w="6227" w:type="dxa"/>
          </w:tcPr>
          <w:p>
            <w:pPr>
              <w:pStyle w:val="TableText"/>
            </w:pPr>
            <w:r>
              <w:rPr>
                <w:sz w:val="18"/>
                <w:szCs w:val="18"/>
              </w:rPr>
              <w:t xml:space="preserve">Fichier et niveau du journal</w:t>
            </w:r>
          </w:p>
        </w:tc>
      </w:tr>
      <w:tr>
        <w:trPr>
          <w:cantSplit/>
        </w:trPr>
        <w:tc>
          <w:tcPr>
            <w:tcW w:w="1927" w:type="dxa"/>
            <w:shd w:val="clear" w:color="auto" w:fill="F4F7FC"/>
          </w:tcPr>
          <w:p>
            <w:pPr>
              <w:pStyle w:val="TableText"/>
            </w:pPr>
            <w:r>
              <w:rPr>
                <w:sz w:val="18"/>
                <w:szCs w:val="18"/>
              </w:rPr>
              <w:t xml:space="preserve">servers</w:t>
            </w:r>
          </w:p>
        </w:tc>
        <w:tc>
          <w:tcPr>
            <w:tcW w:w="1482" w:type="dxa"/>
            <w:shd w:val="clear" w:color="auto" w:fill="F4F7FC"/>
          </w:tcPr>
          <w:p>
            <w:pPr>
              <w:pStyle w:val="TableText"/>
            </w:pPr>
            <w:r>
              <w:rPr>
                <w:sz w:val="18"/>
                <w:szCs w:val="18"/>
              </w:rPr>
              <w:t xml:space="preserve">Oui</w:t>
            </w:r>
          </w:p>
        </w:tc>
        <w:tc>
          <w:tcPr>
            <w:tcW w:w="6227" w:type="dxa"/>
            <w:shd w:val="clear" w:color="auto" w:fill="F4F7FC"/>
          </w:tcPr>
          <w:p>
            <w:pPr>
              <w:pStyle w:val="TableText"/>
            </w:pPr>
            <w:r>
              <w:rPr>
                <w:sz w:val="18"/>
                <w:szCs w:val="18"/>
              </w:rPr>
              <w:t xml:space="preserve">Serveurs de licences et collecteurs</w:t>
            </w:r>
          </w:p>
        </w:tc>
      </w:tr>
      <w:tr>
        <w:trPr>
          <w:cantSplit/>
        </w:trPr>
        <w:tc>
          <w:tcPr>
            <w:tcW w:w="1927" w:type="dxa"/>
          </w:tcPr>
          <w:p>
            <w:pPr>
              <w:pStyle w:val="TableText"/>
            </w:pPr>
            <w:r>
              <w:rPr>
                <w:sz w:val="18"/>
                <w:szCs w:val="18"/>
              </w:rPr>
              <w:t xml:space="preserve">products</w:t>
            </w:r>
          </w:p>
        </w:tc>
        <w:tc>
          <w:tcPr>
            <w:tcW w:w="1482" w:type="dxa"/>
          </w:tcPr>
          <w:p>
            <w:pPr>
              <w:pStyle w:val="TableText"/>
            </w:pPr>
            <w:r>
              <w:rPr>
                <w:sz w:val="18"/>
                <w:szCs w:val="18"/>
              </w:rPr>
              <w:t xml:space="preserve">Recommandé</w:t>
            </w:r>
          </w:p>
        </w:tc>
        <w:tc>
          <w:tcPr>
            <w:tcW w:w="6227" w:type="dxa"/>
          </w:tcPr>
          <w:p>
            <w:pPr>
              <w:pStyle w:val="TableText"/>
            </w:pPr>
            <w:r>
              <w:rPr>
                <w:sz w:val="18"/>
                <w:szCs w:val="18"/>
              </w:rPr>
              <w:t xml:space="preserve">Correspondance feature → produit, éditeur, coût</w:t>
            </w:r>
          </w:p>
        </w:tc>
      </w:tr>
      <w:tr>
        <w:trPr>
          <w:cantSplit/>
        </w:trPr>
        <w:tc>
          <w:tcPr>
            <w:tcW w:w="1927" w:type="dxa"/>
            <w:shd w:val="clear" w:color="auto" w:fill="F4F7FC"/>
          </w:tcPr>
          <w:p>
            <w:pPr>
              <w:pStyle w:val="TableText"/>
            </w:pPr>
            <w:r>
              <w:rPr>
                <w:sz w:val="18"/>
                <w:szCs w:val="18"/>
              </w:rPr>
              <w:t xml:space="preserve">reporting</w:t>
            </w:r>
          </w:p>
        </w:tc>
        <w:tc>
          <w:tcPr>
            <w:tcW w:w="1482" w:type="dxa"/>
            <w:shd w:val="clear" w:color="auto" w:fill="F4F7FC"/>
          </w:tcPr>
          <w:p>
            <w:pPr>
              <w:pStyle w:val="TableText"/>
            </w:pPr>
            <w:r>
              <w:rPr>
                <w:sz w:val="18"/>
                <w:szCs w:val="18"/>
              </w:rPr>
              <w:t xml:space="preserve">Non</w:t>
            </w:r>
          </w:p>
        </w:tc>
        <w:tc>
          <w:tcPr>
            <w:tcW w:w="6227" w:type="dxa"/>
            <w:shd w:val="clear" w:color="auto" w:fill="F4F7FC"/>
          </w:tcPr>
          <w:p>
            <w:pPr>
              <w:pStyle w:val="TableText"/>
            </w:pPr>
            <w:r>
              <w:rPr>
                <w:sz w:val="18"/>
                <w:szCs w:val="18"/>
              </w:rPr>
              <w:t xml:space="preserve">Rapports : dossier, heures ouvrées, devise, couverture cible</w:t>
            </w:r>
          </w:p>
        </w:tc>
      </w:tr>
      <w:tr>
        <w:trPr>
          <w:cantSplit/>
        </w:trPr>
        <w:tc>
          <w:tcPr>
            <w:tcW w:w="1927" w:type="dxa"/>
          </w:tcPr>
          <w:p>
            <w:pPr>
              <w:pStyle w:val="TableText"/>
            </w:pPr>
            <w:r>
              <w:rPr>
                <w:sz w:val="18"/>
                <w:szCs w:val="18"/>
              </w:rPr>
              <w:t xml:space="preserve">web</w:t>
            </w:r>
          </w:p>
        </w:tc>
        <w:tc>
          <w:tcPr>
            <w:tcW w:w="1482" w:type="dxa"/>
          </w:tcPr>
          <w:p>
            <w:pPr>
              <w:pStyle w:val="TableText"/>
            </w:pPr>
            <w:r>
              <w:rPr>
                <w:sz w:val="18"/>
                <w:szCs w:val="18"/>
              </w:rPr>
              <w:t xml:space="preserve">Non</w:t>
            </w:r>
          </w:p>
        </w:tc>
        <w:tc>
          <w:tcPr>
            <w:tcW w:w="6227" w:type="dxa"/>
          </w:tcPr>
          <w:p>
            <w:pPr>
              <w:pStyle w:val="TableText"/>
            </w:pPr>
            <w:r>
              <w:rPr>
                <w:sz w:val="18"/>
                <w:szCs w:val="18"/>
              </w:rPr>
              <w:t xml:space="preserve">Interface : adresse, port, HTTPS, authentification</w:t>
            </w:r>
          </w:p>
        </w:tc>
      </w:tr>
      <w:tr>
        <w:trPr>
          <w:cantSplit/>
        </w:trPr>
        <w:tc>
          <w:tcPr>
            <w:tcW w:w="1927" w:type="dxa"/>
            <w:shd w:val="clear" w:color="auto" w:fill="F4F7FC"/>
          </w:tcPr>
          <w:p>
            <w:pPr>
              <w:pStyle w:val="TableText"/>
            </w:pPr>
            <w:r>
              <w:rPr>
                <w:sz w:val="18"/>
                <w:szCs w:val="18"/>
              </w:rPr>
              <w:t xml:space="preserve">email</w:t>
            </w:r>
          </w:p>
        </w:tc>
        <w:tc>
          <w:tcPr>
            <w:tcW w:w="1482" w:type="dxa"/>
            <w:shd w:val="clear" w:color="auto" w:fill="F4F7FC"/>
          </w:tcPr>
          <w:p>
            <w:pPr>
              <w:pStyle w:val="TableText"/>
            </w:pPr>
            <w:r>
              <w:rPr>
                <w:sz w:val="18"/>
                <w:szCs w:val="18"/>
              </w:rPr>
              <w:t xml:space="preserve">Non</w:t>
            </w:r>
          </w:p>
        </w:tc>
        <w:tc>
          <w:tcPr>
            <w:tcW w:w="6227" w:type="dxa"/>
            <w:shd w:val="clear" w:color="auto" w:fill="F4F7FC"/>
          </w:tcPr>
          <w:p>
            <w:pPr>
              <w:pStyle w:val="TableText"/>
            </w:pPr>
            <w:r>
              <w:rPr>
                <w:sz w:val="18"/>
                <w:szCs w:val="18"/>
              </w:rPr>
              <w:t xml:space="preserve">Serveur SMTP et abonnements au rapport</w:t>
            </w:r>
          </w:p>
        </w:tc>
      </w:tr>
      <w:tr>
        <w:trPr>
          <w:cantSplit/>
        </w:trPr>
        <w:tc>
          <w:tcPr>
            <w:tcW w:w="1927" w:type="dxa"/>
          </w:tcPr>
          <w:p>
            <w:pPr>
              <w:pStyle w:val="TableText"/>
            </w:pPr>
            <w:r>
              <w:rPr>
                <w:sz w:val="18"/>
                <w:szCs w:val="18"/>
              </w:rPr>
              <w:t xml:space="preserve">retention</w:t>
            </w:r>
          </w:p>
        </w:tc>
        <w:tc>
          <w:tcPr>
            <w:tcW w:w="1482" w:type="dxa"/>
          </w:tcPr>
          <w:p>
            <w:pPr>
              <w:pStyle w:val="TableText"/>
            </w:pPr>
            <w:r>
              <w:rPr>
                <w:sz w:val="18"/>
                <w:szCs w:val="18"/>
              </w:rPr>
              <w:t xml:space="preserve">Non</w:t>
            </w:r>
          </w:p>
        </w:tc>
        <w:tc>
          <w:tcPr>
            <w:tcW w:w="6227" w:type="dxa"/>
          </w:tcPr>
          <w:p>
            <w:pPr>
              <w:pStyle w:val="TableText"/>
            </w:pPr>
            <w:r>
              <w:rPr>
                <w:sz w:val="18"/>
                <w:szCs w:val="18"/>
              </w:rPr>
              <w:t xml:space="preserve">Durées de conservation</w:t>
            </w:r>
          </w:p>
        </w:tc>
      </w:tr>
    </w:tbl>
    <w:p>
      <w:pPr>
        <w:spacing w:after="80"/>
      </w:pPr>
    </w:p>
    <w:p>
      <w:pPr>
        <w:pStyle w:val="Heading2"/>
      </w:pPr>
      <w:bookmarkStart w:id="54" w:name="_Toc00054"/>
      <w:r>
        <w:rPr/>
        <w:t xml:space="preserve">6.2 Paramètres détaillés</w:t>
      </w:r>
      <w:bookmarkEnd w:id="54"/>
    </w:p>
    <w:p>
      <w:pPr>
        <w:pStyle w:val="Heading3"/>
      </w:pPr>
      <w:bookmarkStart w:id="55" w:name="_Toc00055"/>
      <w:r>
        <w:rPr/>
        <w:t xml:space="preserve">database, lmutil_path, logging</w:t>
      </w:r>
      <w:bookmarkEnd w:id="55"/>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029"/>
        <w:gridCol w:w="1376"/>
        <w:gridCol w:w="5232"/>
      </w:tblGrid>
      <w:tr>
        <w:trPr>
          <w:tblHeader/>
          <w:cantSplit/>
        </w:trPr>
        <w:tc>
          <w:tcPr>
            <w:tcW w:w="3029" w:type="dxa"/>
            <w:shd w:val="clear" w:color="auto" w:fill="2A78D6"/>
          </w:tcPr>
          <w:p>
            <w:pPr>
              <w:pStyle w:val="TableText"/>
            </w:pPr>
            <w:r>
              <w:rPr>
                <w:b/>
                <w:color w:val="FFFFFF"/>
                <w:sz w:val="18"/>
                <w:szCs w:val="18"/>
              </w:rPr>
              <w:t xml:space="preserve">Paramètre</w:t>
            </w:r>
          </w:p>
        </w:tc>
        <w:tc>
          <w:tcPr>
            <w:tcW w:w="1376" w:type="dxa"/>
            <w:shd w:val="clear" w:color="auto" w:fill="2A78D6"/>
          </w:tcPr>
          <w:p>
            <w:pPr>
              <w:pStyle w:val="TableText"/>
            </w:pPr>
            <w:r>
              <w:rPr>
                <w:b/>
                <w:color w:val="FFFFFF"/>
                <w:sz w:val="18"/>
                <w:szCs w:val="18"/>
              </w:rPr>
              <w:t xml:space="preserve">Défaut</w:t>
            </w:r>
          </w:p>
        </w:tc>
        <w:tc>
          <w:tcPr>
            <w:tcW w:w="5232" w:type="dxa"/>
            <w:shd w:val="clear" w:color="auto" w:fill="2A78D6"/>
          </w:tcPr>
          <w:p>
            <w:pPr>
              <w:pStyle w:val="TableText"/>
            </w:pPr>
            <w:r>
              <w:rPr>
                <w:b/>
                <w:color w:val="FFFFFF"/>
                <w:sz w:val="18"/>
                <w:szCs w:val="18"/>
              </w:rPr>
              <w:t xml:space="preserve">Description</w:t>
            </w:r>
          </w:p>
        </w:tc>
      </w:tr>
      <w:tr>
        <w:trPr>
          <w:cantSplit/>
        </w:trPr>
        <w:tc>
          <w:tcPr>
            <w:tcW w:w="3029" w:type="dxa"/>
          </w:tcPr>
          <w:p>
            <w:pPr>
              <w:pStyle w:val="TableText"/>
            </w:pPr>
            <w:r>
              <w:rPr>
                <w:sz w:val="18"/>
                <w:szCs w:val="18"/>
              </w:rPr>
              <w:t xml:space="preserve">database.connection_string</w:t>
            </w:r>
          </w:p>
        </w:tc>
        <w:tc>
          <w:tcPr>
            <w:tcW w:w="1376" w:type="dxa"/>
          </w:tcPr>
          <w:p>
            <w:pPr>
              <w:pStyle w:val="TableText"/>
            </w:pPr>
            <w:r>
              <w:rPr>
                <w:sz w:val="18"/>
                <w:szCs w:val="18"/>
              </w:rPr>
              <w:t xml:space="preserve">—</w:t>
            </w:r>
          </w:p>
        </w:tc>
        <w:tc>
          <w:tcPr>
            <w:tcW w:w="5232" w:type="dxa"/>
          </w:tcPr>
          <w:p>
            <w:pPr>
              <w:pStyle w:val="TableText"/>
            </w:pPr>
            <w:r>
              <w:rPr>
                <w:sz w:val="18"/>
                <w:szCs w:val="18"/>
              </w:rPr>
              <w:t xml:space="preserve">Chaîne ODBC SQL Server (</w:t>
            </w:r>
            <w:r>
              <w:rPr>
                <w:rFonts w:ascii="Consolas" w:hAnsi="Consolas" w:cs="Consolas"/>
                <w:color w:val="1C5CAB"/>
                <w:sz w:val="18"/>
                <w:szCs w:val="18"/>
                <w:shd w:val="clear" w:color="auto" w:fill="EEF3FA"/>
              </w:rPr>
              <w:t xml:space="preserve">Encrypt=yes</w:t>
            </w:r>
            <w:r>
              <w:rPr>
                <w:sz w:val="18"/>
                <w:szCs w:val="18"/>
              </w:rPr>
              <w:t xml:space="preserve">), ou </w:t>
            </w:r>
            <w:r>
              <w:rPr>
                <w:rFonts w:ascii="Consolas" w:hAnsi="Consolas" w:cs="Consolas"/>
                <w:color w:val="1C5CAB"/>
                <w:sz w:val="18"/>
                <w:szCs w:val="18"/>
                <w:shd w:val="clear" w:color="auto" w:fill="EEF3FA"/>
              </w:rPr>
              <w:t xml:space="preserve">sqlite:///chemin.db</w:t>
            </w:r>
            <w:r>
              <w:rPr>
                <w:sz w:val="18"/>
                <w:szCs w:val="18"/>
              </w:rPr>
              <w:t xml:space="preserve"> pour un essai</w:t>
            </w:r>
          </w:p>
        </w:tc>
      </w:tr>
      <w:tr>
        <w:trPr>
          <w:cantSplit/>
        </w:trPr>
        <w:tc>
          <w:tcPr>
            <w:tcW w:w="3029" w:type="dxa"/>
            <w:shd w:val="clear" w:color="auto" w:fill="F4F7FC"/>
          </w:tcPr>
          <w:p>
            <w:pPr>
              <w:pStyle w:val="TableText"/>
            </w:pPr>
            <w:r>
              <w:rPr>
                <w:sz w:val="18"/>
                <w:szCs w:val="18"/>
              </w:rPr>
              <w:t xml:space="preserve">lmutil_path</w:t>
            </w:r>
          </w:p>
        </w:tc>
        <w:tc>
          <w:tcPr>
            <w:tcW w:w="1376" w:type="dxa"/>
            <w:shd w:val="clear" w:color="auto" w:fill="F4F7FC"/>
          </w:tcPr>
          <w:p>
            <w:pPr>
              <w:pStyle w:val="TableText"/>
            </w:pPr>
            <w:r>
              <w:rPr>
                <w:sz w:val="18"/>
                <w:szCs w:val="18"/>
              </w:rPr>
              <w:t xml:space="preserve">lmutil</w:t>
            </w:r>
          </w:p>
        </w:tc>
        <w:tc>
          <w:tcPr>
            <w:tcW w:w="5232" w:type="dxa"/>
            <w:shd w:val="clear" w:color="auto" w:fill="F4F7FC"/>
          </w:tcPr>
          <w:p>
            <w:pPr>
              <w:pStyle w:val="TableText"/>
            </w:pPr>
            <w:r>
              <w:rPr>
                <w:sz w:val="18"/>
                <w:szCs w:val="18"/>
              </w:rPr>
              <w:t xml:space="preserve">Chemin de lmutil.exe (surchargeable par serveur)</w:t>
            </w:r>
          </w:p>
        </w:tc>
      </w:tr>
      <w:tr>
        <w:trPr>
          <w:cantSplit/>
        </w:trPr>
        <w:tc>
          <w:tcPr>
            <w:tcW w:w="3029" w:type="dxa"/>
          </w:tcPr>
          <w:p>
            <w:pPr>
              <w:pStyle w:val="TableText"/>
            </w:pPr>
            <w:r>
              <w:rPr>
                <w:sz w:val="18"/>
                <w:szCs w:val="18"/>
              </w:rPr>
              <w:t xml:space="preserve">rlmutil_path</w:t>
            </w:r>
          </w:p>
        </w:tc>
        <w:tc>
          <w:tcPr>
            <w:tcW w:w="1376" w:type="dxa"/>
          </w:tcPr>
          <w:p>
            <w:pPr>
              <w:pStyle w:val="TableText"/>
            </w:pPr>
            <w:r>
              <w:rPr>
                <w:sz w:val="18"/>
                <w:szCs w:val="18"/>
              </w:rPr>
              <w:t xml:space="preserve">rlmutil</w:t>
            </w:r>
          </w:p>
        </w:tc>
        <w:tc>
          <w:tcPr>
            <w:tcW w:w="5232" w:type="dxa"/>
          </w:tcPr>
          <w:p>
            <w:pPr>
              <w:pStyle w:val="TableText"/>
            </w:pPr>
            <w:r>
              <w:rPr>
                <w:sz w:val="18"/>
                <w:szCs w:val="18"/>
              </w:rPr>
              <w:t xml:space="preserve">Chemin de rlmutil.exe pour les serveurs RLM (surchargeable par serveur)</w:t>
            </w:r>
          </w:p>
        </w:tc>
      </w:tr>
      <w:tr>
        <w:trPr>
          <w:cantSplit/>
        </w:trPr>
        <w:tc>
          <w:tcPr>
            <w:tcW w:w="3029" w:type="dxa"/>
            <w:shd w:val="clear" w:color="auto" w:fill="F4F7FC"/>
          </w:tcPr>
          <w:p>
            <w:pPr>
              <w:pStyle w:val="TableText"/>
            </w:pPr>
            <w:r>
              <w:rPr>
                <w:sz w:val="18"/>
                <w:szCs w:val="18"/>
              </w:rPr>
              <w:t xml:space="preserve">logging.file</w:t>
            </w:r>
          </w:p>
        </w:tc>
        <w:tc>
          <w:tcPr>
            <w:tcW w:w="1376" w:type="dxa"/>
            <w:shd w:val="clear" w:color="auto" w:fill="F4F7FC"/>
          </w:tcPr>
          <w:p>
            <w:pPr>
              <w:pStyle w:val="TableText"/>
            </w:pPr>
            <w:r>
              <w:rPr>
                <w:sz w:val="18"/>
                <w:szCs w:val="18"/>
              </w:rPr>
              <w:t xml:space="preserve">(aucun)</w:t>
            </w:r>
          </w:p>
        </w:tc>
        <w:tc>
          <w:tcPr>
            <w:tcW w:w="5232" w:type="dxa"/>
            <w:shd w:val="clear" w:color="auto" w:fill="F4F7FC"/>
          </w:tcPr>
          <w:p>
            <w:pPr>
              <w:pStyle w:val="TableText"/>
            </w:pPr>
            <w:r>
              <w:rPr>
                <w:sz w:val="18"/>
                <w:szCs w:val="18"/>
              </w:rPr>
              <w:t xml:space="preserve">Fichier journal ; rotation automatique 5 fichiers de 5 Mo</w:t>
            </w:r>
          </w:p>
        </w:tc>
      </w:tr>
      <w:tr>
        <w:trPr>
          <w:cantSplit/>
        </w:trPr>
        <w:tc>
          <w:tcPr>
            <w:tcW w:w="3029" w:type="dxa"/>
          </w:tcPr>
          <w:p>
            <w:pPr>
              <w:pStyle w:val="TableText"/>
            </w:pPr>
            <w:r>
              <w:rPr>
                <w:sz w:val="18"/>
                <w:szCs w:val="18"/>
              </w:rPr>
              <w:t xml:space="preserve">logging.level</w:t>
            </w:r>
          </w:p>
        </w:tc>
        <w:tc>
          <w:tcPr>
            <w:tcW w:w="1376" w:type="dxa"/>
          </w:tcPr>
          <w:p>
            <w:pPr>
              <w:pStyle w:val="TableText"/>
            </w:pPr>
            <w:r>
              <w:rPr>
                <w:sz w:val="18"/>
                <w:szCs w:val="18"/>
              </w:rPr>
              <w:t xml:space="preserve">INFO</w:t>
            </w:r>
          </w:p>
        </w:tc>
        <w:tc>
          <w:tcPr>
            <w:tcW w:w="5232" w:type="dxa"/>
          </w:tcPr>
          <w:p>
            <w:pPr>
              <w:pStyle w:val="TableText"/>
            </w:pPr>
            <w:r>
              <w:rPr>
                <w:sz w:val="18"/>
                <w:szCs w:val="18"/>
              </w:rPr>
              <w:t xml:space="preserve">DEBUG, INFO, WARNING, ERROR (l'option </w:t>
            </w:r>
            <w:r>
              <w:rPr>
                <w:rFonts w:ascii="Consolas" w:hAnsi="Consolas" w:cs="Consolas"/>
                <w:color w:val="1C5CAB"/>
                <w:sz w:val="18"/>
                <w:szCs w:val="18"/>
                <w:shd w:val="clear" w:color="auto" w:fill="EEF3FA"/>
              </w:rPr>
              <w:t xml:space="preserve">-v</w:t>
            </w:r>
            <w:r>
              <w:rPr>
                <w:sz w:val="18"/>
                <w:szCs w:val="18"/>
              </w:rPr>
              <w:t xml:space="preserve"> force DEBUG)</w:t>
            </w:r>
          </w:p>
        </w:tc>
      </w:tr>
    </w:tbl>
    <w:p>
      <w:pPr>
        <w:spacing w:after="80"/>
      </w:pPr>
    </w:p>
    <w:p>
      <w:pPr>
        <w:pStyle w:val="Heading3"/>
      </w:pPr>
      <w:bookmarkStart w:id="56" w:name="_Toc00056"/>
      <w:r>
        <w:rPr/>
        <w:t xml:space="preserve">servers (un bloc par serveur de licences)</w:t>
      </w:r>
      <w:bookmarkEnd w:id="56"/>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202"/>
        <w:gridCol w:w="1376"/>
        <w:gridCol w:w="6058"/>
      </w:tblGrid>
      <w:tr>
        <w:trPr>
          <w:tblHeader/>
          <w:cantSplit/>
        </w:trPr>
        <w:tc>
          <w:tcPr>
            <w:tcW w:w="2202" w:type="dxa"/>
            <w:shd w:val="clear" w:color="auto" w:fill="2A78D6"/>
          </w:tcPr>
          <w:p>
            <w:pPr>
              <w:pStyle w:val="TableText"/>
            </w:pPr>
            <w:r>
              <w:rPr>
                <w:b/>
                <w:color w:val="FFFFFF"/>
                <w:sz w:val="18"/>
                <w:szCs w:val="18"/>
              </w:rPr>
              <w:t xml:space="preserve">Paramètre</w:t>
            </w:r>
          </w:p>
        </w:tc>
        <w:tc>
          <w:tcPr>
            <w:tcW w:w="1376" w:type="dxa"/>
            <w:shd w:val="clear" w:color="auto" w:fill="2A78D6"/>
          </w:tcPr>
          <w:p>
            <w:pPr>
              <w:pStyle w:val="TableText"/>
            </w:pPr>
            <w:r>
              <w:rPr>
                <w:b/>
                <w:color w:val="FFFFFF"/>
                <w:sz w:val="18"/>
                <w:szCs w:val="18"/>
              </w:rPr>
              <w:t xml:space="preserve">Défaut</w:t>
            </w:r>
          </w:p>
        </w:tc>
        <w:tc>
          <w:tcPr>
            <w:tcW w:w="6058" w:type="dxa"/>
            <w:shd w:val="clear" w:color="auto" w:fill="2A78D6"/>
          </w:tcPr>
          <w:p>
            <w:pPr>
              <w:pStyle w:val="TableText"/>
            </w:pPr>
            <w:r>
              <w:rPr>
                <w:b/>
                <w:color w:val="FFFFFF"/>
                <w:sz w:val="18"/>
                <w:szCs w:val="18"/>
              </w:rPr>
              <w:t xml:space="preserve">Description</w:t>
            </w:r>
          </w:p>
        </w:tc>
      </w:tr>
      <w:tr>
        <w:trPr>
          <w:cantSplit/>
        </w:trPr>
        <w:tc>
          <w:tcPr>
            <w:tcW w:w="2202" w:type="dxa"/>
          </w:tcPr>
          <w:p>
            <w:pPr>
              <w:pStyle w:val="TableText"/>
            </w:pPr>
            <w:r>
              <w:rPr>
                <w:sz w:val="18"/>
                <w:szCs w:val="18"/>
              </w:rPr>
              <w:t xml:space="preserve">name</w:t>
            </w:r>
          </w:p>
        </w:tc>
        <w:tc>
          <w:tcPr>
            <w:tcW w:w="1376" w:type="dxa"/>
          </w:tcPr>
          <w:p>
            <w:pPr>
              <w:pStyle w:val="TableText"/>
            </w:pPr>
            <w:r>
              <w:rPr>
                <w:sz w:val="18"/>
                <w:szCs w:val="18"/>
              </w:rPr>
              <w:t xml:space="preserve">—</w:t>
            </w:r>
          </w:p>
        </w:tc>
        <w:tc>
          <w:tcPr>
            <w:tcW w:w="6058" w:type="dxa"/>
          </w:tcPr>
          <w:p>
            <w:pPr>
              <w:pStyle w:val="TableText"/>
            </w:pPr>
            <w:r>
              <w:rPr>
                <w:sz w:val="18"/>
                <w:szCs w:val="18"/>
              </w:rPr>
              <w:t xml:space="preserve">Nom unique affiché dans les rapports (ex. AUTODESK)</w:t>
            </w:r>
          </w:p>
        </w:tc>
      </w:tr>
      <w:tr>
        <w:trPr>
          <w:cantSplit/>
        </w:trPr>
        <w:tc>
          <w:tcPr>
            <w:tcW w:w="2202" w:type="dxa"/>
            <w:shd w:val="clear" w:color="auto" w:fill="F4F7FC"/>
          </w:tcPr>
          <w:p>
            <w:pPr>
              <w:pStyle w:val="TableText"/>
            </w:pPr>
            <w:r>
              <w:rPr>
                <w:sz w:val="18"/>
                <w:szCs w:val="18"/>
              </w:rPr>
              <w:t xml:space="preserve">port_at_host</w:t>
            </w:r>
          </w:p>
        </w:tc>
        <w:tc>
          <w:tcPr>
            <w:tcW w:w="1376" w:type="dxa"/>
            <w:shd w:val="clear" w:color="auto" w:fill="F4F7FC"/>
          </w:tcPr>
          <w:p>
            <w:pPr>
              <w:pStyle w:val="TableText"/>
            </w:pPr>
            <w:r>
              <w:rPr>
                <w:sz w:val="18"/>
                <w:szCs w:val="18"/>
              </w:rPr>
              <w:t xml:space="preserve">—</w:t>
            </w:r>
          </w:p>
        </w:tc>
        <w:tc>
          <w:tcPr>
            <w:tcW w:w="6058" w:type="dxa"/>
            <w:shd w:val="clear" w:color="auto" w:fill="F4F7FC"/>
          </w:tcPr>
          <w:p>
            <w:pPr>
              <w:pStyle w:val="TableText"/>
            </w:pPr>
            <w:r>
              <w:rPr>
                <w:sz w:val="18"/>
                <w:szCs w:val="18"/>
              </w:rPr>
              <w:t xml:space="preserve">Adresse </w:t>
            </w:r>
            <w:r>
              <w:rPr>
                <w:rFonts w:ascii="Consolas" w:hAnsi="Consolas" w:cs="Consolas"/>
                <w:color w:val="1C5CAB"/>
                <w:sz w:val="18"/>
                <w:szCs w:val="18"/>
                <w:shd w:val="clear" w:color="auto" w:fill="EEF3FA"/>
              </w:rPr>
              <w:t xml:space="preserve">port@hôte</w:t>
            </w:r>
            <w:r>
              <w:rPr>
                <w:sz w:val="18"/>
                <w:szCs w:val="18"/>
              </w:rPr>
              <w:t xml:space="preserve"> ; triade FlexLM : </w:t>
            </w:r>
            <w:r>
              <w:rPr>
                <w:rFonts w:ascii="Consolas" w:hAnsi="Consolas" w:cs="Consolas"/>
                <w:color w:val="1C5CAB"/>
                <w:sz w:val="18"/>
                <w:szCs w:val="18"/>
                <w:shd w:val="clear" w:color="auto" w:fill="EEF3FA"/>
              </w:rPr>
              <w:t xml:space="preserve">27000@a:27000@b:27000@c</w:t>
            </w:r>
            <w:r>
              <w:rPr>
                <w:sz w:val="18"/>
                <w:szCs w:val="18"/>
              </w:rPr>
              <w:t xml:space="preserve"> ; RLM : port du serveur rlm (5053)</w:t>
            </w:r>
          </w:p>
        </w:tc>
      </w:tr>
      <w:tr>
        <w:trPr>
          <w:cantSplit/>
        </w:trPr>
        <w:tc>
          <w:tcPr>
            <w:tcW w:w="2202" w:type="dxa"/>
          </w:tcPr>
          <w:p>
            <w:pPr>
              <w:pStyle w:val="TableText"/>
            </w:pPr>
            <w:r>
              <w:rPr>
                <w:sz w:val="18"/>
                <w:szCs w:val="18"/>
              </w:rPr>
              <w:t xml:space="preserve">license_type</w:t>
            </w:r>
          </w:p>
        </w:tc>
        <w:tc>
          <w:tcPr>
            <w:tcW w:w="1376" w:type="dxa"/>
          </w:tcPr>
          <w:p>
            <w:pPr>
              <w:pStyle w:val="TableText"/>
            </w:pPr>
            <w:r>
              <w:rPr>
                <w:sz w:val="18"/>
                <w:szCs w:val="18"/>
              </w:rPr>
              <w:t xml:space="preserve">flexlm</w:t>
            </w:r>
          </w:p>
        </w:tc>
        <w:tc>
          <w:tcPr>
            <w:tcW w:w="6058" w:type="dxa"/>
          </w:tcPr>
          <w:p>
            <w:pPr>
              <w:pStyle w:val="TableText"/>
            </w:pPr>
            <w:r>
              <w:rPr>
                <w:sz w:val="18"/>
                <w:szCs w:val="18"/>
              </w:rPr>
              <w:t xml:space="preserve">Type de gestionnaire : </w:t>
            </w:r>
            <w:r>
              <w:rPr>
                <w:rFonts w:ascii="Consolas" w:hAnsi="Consolas" w:cs="Consolas"/>
                <w:color w:val="1C5CAB"/>
                <w:sz w:val="18"/>
                <w:szCs w:val="18"/>
                <w:shd w:val="clear" w:color="auto" w:fill="EEF3FA"/>
              </w:rPr>
              <w:t xml:space="preserve">flexlm</w:t>
            </w:r>
            <w:r>
              <w:rPr>
                <w:sz w:val="18"/>
                <w:szCs w:val="18"/>
              </w:rPr>
              <w:t xml:space="preserve"> ou </w:t>
            </w:r>
            <w:r>
              <w:rPr>
                <w:rFonts w:ascii="Consolas" w:hAnsi="Consolas" w:cs="Consolas"/>
                <w:color w:val="1C5CAB"/>
                <w:sz w:val="18"/>
                <w:szCs w:val="18"/>
                <w:shd w:val="clear" w:color="auto" w:fill="EEF3FA"/>
              </w:rPr>
              <w:t xml:space="preserve">rlm</w:t>
            </w:r>
          </w:p>
        </w:tc>
      </w:tr>
      <w:tr>
        <w:trPr>
          <w:cantSplit/>
        </w:trPr>
        <w:tc>
          <w:tcPr>
            <w:tcW w:w="2202" w:type="dxa"/>
            <w:shd w:val="clear" w:color="auto" w:fill="F4F7FC"/>
          </w:tcPr>
          <w:p>
            <w:pPr>
              <w:pStyle w:val="TableText"/>
            </w:pPr>
            <w:r>
              <w:rPr>
                <w:sz w:val="18"/>
                <w:szCs w:val="18"/>
              </w:rPr>
              <w:t xml:space="preserve">collectors</w:t>
            </w:r>
          </w:p>
        </w:tc>
        <w:tc>
          <w:tcPr>
            <w:tcW w:w="1376" w:type="dxa"/>
            <w:shd w:val="clear" w:color="auto" w:fill="F4F7FC"/>
          </w:tcPr>
          <w:p>
            <w:pPr>
              <w:pStyle w:val="TableText"/>
            </w:pPr>
            <w:r>
              <w:rPr>
                <w:sz w:val="18"/>
                <w:szCs w:val="18"/>
              </w:rPr>
              <w:t xml:space="preserve">[lmstat] / [rlmstat]</w:t>
            </w:r>
          </w:p>
        </w:tc>
        <w:tc>
          <w:tcPr>
            <w:tcW w:w="6058" w:type="dxa"/>
            <w:shd w:val="clear" w:color="auto" w:fill="F4F7FC"/>
          </w:tcPr>
          <w:p>
            <w:pPr>
              <w:pStyle w:val="TableText"/>
            </w:pPr>
            <w:r>
              <w:rPr>
                <w:sz w:val="18"/>
                <w:szCs w:val="18"/>
              </w:rPr>
              <w:t xml:space="preserve">FlexLM : </w:t>
            </w:r>
            <w:r>
              <w:rPr>
                <w:rFonts w:ascii="Consolas" w:hAnsi="Consolas" w:cs="Consolas"/>
                <w:color w:val="1C5CAB"/>
                <w:sz w:val="18"/>
                <w:szCs w:val="18"/>
                <w:shd w:val="clear" w:color="auto" w:fill="EEF3FA"/>
              </w:rPr>
              <w:t xml:space="preserve">lmstat</w:t>
            </w:r>
            <w:r>
              <w:rPr>
                <w:sz w:val="18"/>
                <w:szCs w:val="18"/>
              </w:rPr>
              <w:t xml:space="preserve">, </w:t>
            </w:r>
            <w:r>
              <w:rPr>
                <w:rFonts w:ascii="Consolas" w:hAnsi="Consolas" w:cs="Consolas"/>
                <w:color w:val="1C5CAB"/>
                <w:sz w:val="18"/>
                <w:szCs w:val="18"/>
                <w:shd w:val="clear" w:color="auto" w:fill="EEF3FA"/>
              </w:rPr>
              <w:t xml:space="preserve">log</w:t>
            </w:r>
            <w:r>
              <w:rPr>
                <w:sz w:val="18"/>
                <w:szCs w:val="18"/>
              </w:rPr>
              <w:t xml:space="preserve"> ou les deux ; RLM : </w:t>
            </w:r>
            <w:r>
              <w:rPr>
                <w:rFonts w:ascii="Consolas" w:hAnsi="Consolas" w:cs="Consolas"/>
                <w:color w:val="1C5CAB"/>
                <w:sz w:val="18"/>
                <w:szCs w:val="18"/>
                <w:shd w:val="clear" w:color="auto" w:fill="EEF3FA"/>
              </w:rPr>
              <w:t xml:space="preserve">rlmstat</w:t>
            </w:r>
          </w:p>
        </w:tc>
      </w:tr>
      <w:tr>
        <w:trPr>
          <w:cantSplit/>
        </w:trPr>
        <w:tc>
          <w:tcPr>
            <w:tcW w:w="2202" w:type="dxa"/>
          </w:tcPr>
          <w:p>
            <w:pPr>
              <w:pStyle w:val="TableText"/>
            </w:pPr>
            <w:r>
              <w:rPr>
                <w:sz w:val="18"/>
                <w:szCs w:val="18"/>
              </w:rPr>
              <w:t xml:space="preserve">sessions_from</w:t>
            </w:r>
          </w:p>
        </w:tc>
        <w:tc>
          <w:tcPr>
            <w:tcW w:w="1376" w:type="dxa"/>
          </w:tcPr>
          <w:p>
            <w:pPr>
              <w:pStyle w:val="TableText"/>
            </w:pPr>
            <w:r>
              <w:rPr>
                <w:sz w:val="18"/>
                <w:szCs w:val="18"/>
              </w:rPr>
              <w:t xml:space="preserve">lmstat / rlmstat</w:t>
            </w:r>
          </w:p>
        </w:tc>
        <w:tc>
          <w:tcPr>
            <w:tcW w:w="6058" w:type="dxa"/>
          </w:tcPr>
          <w:p>
            <w:pPr>
              <w:pStyle w:val="TableText"/>
            </w:pPr>
            <w:r>
              <w:rPr>
                <w:sz w:val="18"/>
                <w:szCs w:val="18"/>
              </w:rPr>
              <w:t xml:space="preserve">Source unique des sessions : </w:t>
            </w:r>
            <w:r>
              <w:rPr>
                <w:rFonts w:ascii="Consolas" w:hAnsi="Consolas" w:cs="Consolas"/>
                <w:color w:val="1C5CAB"/>
                <w:sz w:val="18"/>
                <w:szCs w:val="18"/>
                <w:shd w:val="clear" w:color="auto" w:fill="EEF3FA"/>
              </w:rPr>
              <w:t xml:space="preserve">lmstat</w:t>
            </w:r>
            <w:r>
              <w:rPr>
                <w:sz w:val="18"/>
                <w:szCs w:val="18"/>
              </w:rPr>
              <w:t xml:space="preserve"> ou </w:t>
            </w:r>
            <w:r>
              <w:rPr>
                <w:rFonts w:ascii="Consolas" w:hAnsi="Consolas" w:cs="Consolas"/>
                <w:color w:val="1C5CAB"/>
                <w:sz w:val="18"/>
                <w:szCs w:val="18"/>
                <w:shd w:val="clear" w:color="auto" w:fill="EEF3FA"/>
              </w:rPr>
              <w:t xml:space="preserve">log</w:t>
            </w:r>
            <w:r>
              <w:rPr>
                <w:sz w:val="18"/>
                <w:szCs w:val="18"/>
              </w:rPr>
              <w:t xml:space="preserve"> (FlexLM), </w:t>
            </w:r>
            <w:r>
              <w:rPr>
                <w:rFonts w:ascii="Consolas" w:hAnsi="Consolas" w:cs="Consolas"/>
                <w:color w:val="1C5CAB"/>
                <w:sz w:val="18"/>
                <w:szCs w:val="18"/>
                <w:shd w:val="clear" w:color="auto" w:fill="EEF3FA"/>
              </w:rPr>
              <w:t xml:space="preserve">rlmstat</w:t>
            </w:r>
            <w:r>
              <w:rPr>
                <w:sz w:val="18"/>
                <w:szCs w:val="18"/>
              </w:rPr>
              <w:t xml:space="preserve"> (RLM)</w:t>
            </w:r>
          </w:p>
        </w:tc>
      </w:tr>
      <w:tr>
        <w:trPr>
          <w:cantSplit/>
        </w:trPr>
        <w:tc>
          <w:tcPr>
            <w:tcW w:w="2202" w:type="dxa"/>
            <w:shd w:val="clear" w:color="auto" w:fill="F4F7FC"/>
          </w:tcPr>
          <w:p>
            <w:pPr>
              <w:pStyle w:val="TableText"/>
            </w:pPr>
            <w:r>
              <w:rPr>
                <w:sz w:val="18"/>
                <w:szCs w:val="18"/>
              </w:rPr>
              <w:t xml:space="preserve">log_path</w:t>
            </w:r>
          </w:p>
        </w:tc>
        <w:tc>
          <w:tcPr>
            <w:tcW w:w="1376" w:type="dxa"/>
            <w:shd w:val="clear" w:color="auto" w:fill="F4F7FC"/>
          </w:tcPr>
          <w:p>
            <w:pPr>
              <w:pStyle w:val="TableText"/>
            </w:pPr>
            <w:r>
              <w:rPr>
                <w:sz w:val="18"/>
                <w:szCs w:val="18"/>
              </w:rPr>
              <w:t xml:space="preserve">—</w:t>
            </w:r>
          </w:p>
        </w:tc>
        <w:tc>
          <w:tcPr>
            <w:tcW w:w="6058" w:type="dxa"/>
            <w:shd w:val="clear" w:color="auto" w:fill="F4F7FC"/>
          </w:tcPr>
          <w:p>
            <w:pPr>
              <w:pStyle w:val="TableText"/>
            </w:pPr>
            <w:r>
              <w:rPr>
                <w:sz w:val="18"/>
                <w:szCs w:val="18"/>
              </w:rPr>
              <w:t xml:space="preserve">Chemin du log debug (obligatoire avec le collecteur log)</w:t>
            </w:r>
          </w:p>
        </w:tc>
      </w:tr>
      <w:tr>
        <w:trPr>
          <w:cantSplit/>
        </w:trPr>
        <w:tc>
          <w:tcPr>
            <w:tcW w:w="2202" w:type="dxa"/>
          </w:tcPr>
          <w:p>
            <w:pPr>
              <w:pStyle w:val="TableText"/>
            </w:pPr>
            <w:r>
              <w:rPr>
                <w:sz w:val="18"/>
                <w:szCs w:val="18"/>
              </w:rPr>
              <w:t xml:space="preserve">lmutil_path</w:t>
            </w:r>
          </w:p>
        </w:tc>
        <w:tc>
          <w:tcPr>
            <w:tcW w:w="1376" w:type="dxa"/>
          </w:tcPr>
          <w:p>
            <w:pPr>
              <w:pStyle w:val="TableText"/>
            </w:pPr>
            <w:r>
              <w:rPr>
                <w:sz w:val="18"/>
                <w:szCs w:val="18"/>
              </w:rPr>
              <w:t xml:space="preserve">global</w:t>
            </w:r>
          </w:p>
        </w:tc>
        <w:tc>
          <w:tcPr>
            <w:tcW w:w="6058" w:type="dxa"/>
          </w:tcPr>
          <w:p>
            <w:pPr>
              <w:pStyle w:val="TableText"/>
            </w:pPr>
            <w:r>
              <w:rPr>
                <w:sz w:val="18"/>
                <w:szCs w:val="18"/>
              </w:rPr>
              <w:t xml:space="preserve">lmutil propre à ce serveur</w:t>
            </w:r>
          </w:p>
        </w:tc>
      </w:tr>
      <w:tr>
        <w:trPr>
          <w:cantSplit/>
        </w:trPr>
        <w:tc>
          <w:tcPr>
            <w:tcW w:w="2202" w:type="dxa"/>
            <w:shd w:val="clear" w:color="auto" w:fill="F4F7FC"/>
          </w:tcPr>
          <w:p>
            <w:pPr>
              <w:pStyle w:val="TableText"/>
            </w:pPr>
            <w:r>
              <w:rPr>
                <w:sz w:val="18"/>
                <w:szCs w:val="18"/>
              </w:rPr>
              <w:t xml:space="preserve">timeout_s</w:t>
            </w:r>
          </w:p>
        </w:tc>
        <w:tc>
          <w:tcPr>
            <w:tcW w:w="1376" w:type="dxa"/>
            <w:shd w:val="clear" w:color="auto" w:fill="F4F7FC"/>
          </w:tcPr>
          <w:p>
            <w:pPr>
              <w:pStyle w:val="TableText"/>
            </w:pPr>
            <w:r>
              <w:rPr>
                <w:sz w:val="18"/>
                <w:szCs w:val="18"/>
              </w:rPr>
              <w:t xml:space="preserve">60</w:t>
            </w:r>
          </w:p>
        </w:tc>
        <w:tc>
          <w:tcPr>
            <w:tcW w:w="6058" w:type="dxa"/>
            <w:shd w:val="clear" w:color="auto" w:fill="F4F7FC"/>
          </w:tcPr>
          <w:p>
            <w:pPr>
              <w:pStyle w:val="TableText"/>
            </w:pPr>
            <w:r>
              <w:rPr>
                <w:sz w:val="18"/>
                <w:szCs w:val="18"/>
              </w:rPr>
              <w:t xml:space="preserve">Délai maximal de lmstat (secondes)</w:t>
            </w:r>
          </w:p>
        </w:tc>
      </w:tr>
      <w:tr>
        <w:trPr>
          <w:cantSplit/>
        </w:trPr>
        <w:tc>
          <w:tcPr>
            <w:tcW w:w="2202" w:type="dxa"/>
          </w:tcPr>
          <w:p>
            <w:pPr>
              <w:pStyle w:val="TableText"/>
            </w:pPr>
            <w:r>
              <w:rPr>
                <w:sz w:val="18"/>
                <w:szCs w:val="18"/>
              </w:rPr>
              <w:t xml:space="preserve">enabled</w:t>
            </w:r>
          </w:p>
        </w:tc>
        <w:tc>
          <w:tcPr>
            <w:tcW w:w="1376" w:type="dxa"/>
          </w:tcPr>
          <w:p>
            <w:pPr>
              <w:pStyle w:val="TableText"/>
            </w:pPr>
            <w:r>
              <w:rPr>
                <w:sz w:val="18"/>
                <w:szCs w:val="18"/>
              </w:rPr>
              <w:t xml:space="preserve">true</w:t>
            </w:r>
          </w:p>
        </w:tc>
        <w:tc>
          <w:tcPr>
            <w:tcW w:w="6058" w:type="dxa"/>
          </w:tcPr>
          <w:p>
            <w:pPr>
              <w:pStyle w:val="TableText"/>
            </w:pPr>
            <w:r>
              <w:rPr>
                <w:rFonts w:ascii="Consolas" w:hAnsi="Consolas" w:cs="Consolas"/>
                <w:color w:val="1C5CAB"/>
                <w:sz w:val="18"/>
                <w:szCs w:val="18"/>
                <w:shd w:val="clear" w:color="auto" w:fill="EEF3FA"/>
              </w:rPr>
              <w:t xml:space="preserve">false</w:t>
            </w:r>
            <w:r>
              <w:rPr>
                <w:sz w:val="18"/>
                <w:szCs w:val="18"/>
              </w:rPr>
              <w:t xml:space="preserve"> suspend la collecte de ce serveur sans le supprimer</w:t>
            </w:r>
          </w:p>
        </w:tc>
      </w:tr>
    </w:tbl>
    <w:p>
      <w:pPr>
        <w:spacing w:after="80"/>
      </w:pPr>
    </w:p>
    <w:p>
      <w:pPr>
        <w:pStyle w:val="Heading3"/>
      </w:pPr>
      <w:bookmarkStart w:id="57" w:name="_Toc00057"/>
      <w:r>
        <w:rPr/>
        <w:t xml:space="preserve">products (règles de correspondance)</w:t>
      </w:r>
      <w:bookmarkEnd w:id="57"/>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927"/>
        <w:gridCol w:w="7710"/>
      </w:tblGrid>
      <w:tr>
        <w:trPr>
          <w:tblHeader/>
          <w:cantSplit/>
        </w:trPr>
        <w:tc>
          <w:tcPr>
            <w:tcW w:w="1927" w:type="dxa"/>
            <w:shd w:val="clear" w:color="auto" w:fill="2A78D6"/>
          </w:tcPr>
          <w:p>
            <w:pPr>
              <w:pStyle w:val="TableText"/>
            </w:pPr>
            <w:r>
              <w:rPr>
                <w:b/>
                <w:color w:val="FFFFFF"/>
                <w:sz w:val="18"/>
                <w:szCs w:val="18"/>
              </w:rPr>
              <w:t xml:space="preserve">Paramètre</w:t>
            </w:r>
          </w:p>
        </w:tc>
        <w:tc>
          <w:tcPr>
            <w:tcW w:w="7710" w:type="dxa"/>
            <w:shd w:val="clear" w:color="auto" w:fill="2A78D6"/>
          </w:tcPr>
          <w:p>
            <w:pPr>
              <w:pStyle w:val="TableText"/>
            </w:pPr>
            <w:r>
              <w:rPr>
                <w:b/>
                <w:color w:val="FFFFFF"/>
                <w:sz w:val="18"/>
                <w:szCs w:val="18"/>
              </w:rPr>
              <w:t xml:space="preserve">Description</w:t>
            </w:r>
          </w:p>
        </w:tc>
      </w:tr>
      <w:tr>
        <w:trPr>
          <w:cantSplit/>
        </w:trPr>
        <w:tc>
          <w:tcPr>
            <w:tcW w:w="1927" w:type="dxa"/>
          </w:tcPr>
          <w:p>
            <w:pPr>
              <w:pStyle w:val="TableText"/>
            </w:pPr>
            <w:r>
              <w:rPr>
                <w:sz w:val="18"/>
                <w:szCs w:val="18"/>
              </w:rPr>
              <w:t xml:space="preserve">pattern</w:t>
            </w:r>
          </w:p>
        </w:tc>
        <w:tc>
          <w:tcPr>
            <w:tcW w:w="7710" w:type="dxa"/>
          </w:tcPr>
          <w:p>
            <w:pPr>
              <w:pStyle w:val="TableText"/>
            </w:pPr>
            <w:r>
              <w:rPr>
                <w:sz w:val="18"/>
                <w:szCs w:val="18"/>
              </w:rPr>
              <w:t xml:space="preserve">Motif du nom de feature (</w:t>
            </w:r>
            <w:r>
              <w:rPr>
                <w:rFonts w:ascii="Consolas" w:hAnsi="Consolas" w:cs="Consolas"/>
                <w:color w:val="1C5CAB"/>
                <w:sz w:val="18"/>
                <w:szCs w:val="18"/>
                <w:shd w:val="clear" w:color="auto" w:fill="EEF3FA"/>
              </w:rPr>
              <w:t xml:space="preserve">*</w:t>
            </w:r>
            <w:r>
              <w:rPr>
                <w:sz w:val="18"/>
                <w:szCs w:val="18"/>
              </w:rPr>
              <w:t xml:space="preserve"> et </w:t>
            </w:r>
            <w:r>
              <w:rPr>
                <w:rFonts w:ascii="Consolas" w:hAnsi="Consolas" w:cs="Consolas"/>
                <w:color w:val="1C5CAB"/>
                <w:sz w:val="18"/>
                <w:szCs w:val="18"/>
                <w:shd w:val="clear" w:color="auto" w:fill="EEF3FA"/>
              </w:rPr>
              <w:t xml:space="preserve">?</w:t>
            </w:r>
            <w:r>
              <w:rPr>
                <w:sz w:val="18"/>
                <w:szCs w:val="18"/>
              </w:rPr>
              <w:t xml:space="preserve">, insensible à la casse) ; la première règle trouvée s'applique</w:t>
            </w:r>
          </w:p>
        </w:tc>
      </w:tr>
      <w:tr>
        <w:trPr>
          <w:cantSplit/>
        </w:trPr>
        <w:tc>
          <w:tcPr>
            <w:tcW w:w="1927" w:type="dxa"/>
            <w:shd w:val="clear" w:color="auto" w:fill="F4F7FC"/>
          </w:tcPr>
          <w:p>
            <w:pPr>
              <w:pStyle w:val="TableText"/>
            </w:pPr>
            <w:r>
              <w:rPr>
                <w:sz w:val="18"/>
                <w:szCs w:val="18"/>
              </w:rPr>
              <w:t xml:space="preserve">product</w:t>
            </w:r>
          </w:p>
        </w:tc>
        <w:tc>
          <w:tcPr>
            <w:tcW w:w="7710" w:type="dxa"/>
            <w:shd w:val="clear" w:color="auto" w:fill="F4F7FC"/>
          </w:tcPr>
          <w:p>
            <w:pPr>
              <w:pStyle w:val="TableText"/>
            </w:pPr>
            <w:r>
              <w:rPr>
                <w:sz w:val="18"/>
                <w:szCs w:val="18"/>
              </w:rPr>
              <w:t xml:space="preserve">Libellé lisible affiché dans les rapports (ex. AutoCAD 2024)</w:t>
            </w:r>
          </w:p>
        </w:tc>
      </w:tr>
      <w:tr>
        <w:trPr>
          <w:cantSplit/>
        </w:trPr>
        <w:tc>
          <w:tcPr>
            <w:tcW w:w="1927" w:type="dxa"/>
          </w:tcPr>
          <w:p>
            <w:pPr>
              <w:pStyle w:val="TableText"/>
            </w:pPr>
            <w:r>
              <w:rPr>
                <w:sz w:val="18"/>
                <w:szCs w:val="18"/>
              </w:rPr>
              <w:t xml:space="preserve">publisher</w:t>
            </w:r>
          </w:p>
        </w:tc>
        <w:tc>
          <w:tcPr>
            <w:tcW w:w="7710" w:type="dxa"/>
          </w:tcPr>
          <w:p>
            <w:pPr>
              <w:pStyle w:val="TableText"/>
            </w:pPr>
            <w:r>
              <w:rPr>
                <w:sz w:val="18"/>
                <w:szCs w:val="18"/>
              </w:rPr>
              <w:t xml:space="preserve">Éditeur (Autodesk, Ansys…)</w:t>
            </w:r>
          </w:p>
        </w:tc>
      </w:tr>
      <w:tr>
        <w:trPr>
          <w:cantSplit/>
        </w:trPr>
        <w:tc>
          <w:tcPr>
            <w:tcW w:w="1927" w:type="dxa"/>
            <w:shd w:val="clear" w:color="auto" w:fill="F4F7FC"/>
          </w:tcPr>
          <w:p>
            <w:pPr>
              <w:pStyle w:val="TableText"/>
            </w:pPr>
            <w:r>
              <w:rPr>
                <w:sz w:val="18"/>
                <w:szCs w:val="18"/>
              </w:rPr>
              <w:t xml:space="preserve">vendor</w:t>
            </w:r>
          </w:p>
        </w:tc>
        <w:tc>
          <w:tcPr>
            <w:tcW w:w="7710" w:type="dxa"/>
            <w:shd w:val="clear" w:color="auto" w:fill="F4F7FC"/>
          </w:tcPr>
          <w:p>
            <w:pPr>
              <w:pStyle w:val="TableText"/>
            </w:pPr>
            <w:r>
              <w:rPr>
                <w:sz w:val="18"/>
                <w:szCs w:val="18"/>
              </w:rPr>
              <w:t xml:space="preserve">Restreint la règle à un démon éditeur (ex. MLM)</w:t>
            </w:r>
          </w:p>
        </w:tc>
      </w:tr>
      <w:tr>
        <w:trPr>
          <w:cantSplit/>
        </w:trPr>
        <w:tc>
          <w:tcPr>
            <w:tcW w:w="1927" w:type="dxa"/>
          </w:tcPr>
          <w:p>
            <w:pPr>
              <w:pStyle w:val="TableText"/>
            </w:pPr>
            <w:r>
              <w:rPr>
                <w:sz w:val="18"/>
                <w:szCs w:val="18"/>
              </w:rPr>
              <w:t xml:space="preserve">annual_cost</w:t>
            </w:r>
          </w:p>
        </w:tc>
        <w:tc>
          <w:tcPr>
            <w:tcW w:w="7710" w:type="dxa"/>
          </w:tcPr>
          <w:p>
            <w:pPr>
              <w:pStyle w:val="TableText"/>
            </w:pPr>
            <w:r>
              <w:rPr>
                <w:sz w:val="18"/>
                <w:szCs w:val="18"/>
              </w:rPr>
              <w:t xml:space="preserve">Coût annuel d'un jeton, dans la devise </w:t>
            </w:r>
            <w:r>
              <w:rPr>
                <w:rFonts w:ascii="Consolas" w:hAnsi="Consolas" w:cs="Consolas"/>
                <w:color w:val="1C5CAB"/>
                <w:sz w:val="18"/>
                <w:szCs w:val="18"/>
                <w:shd w:val="clear" w:color="auto" w:fill="EEF3FA"/>
              </w:rPr>
              <w:t xml:space="preserve">reporting.currency</w:t>
            </w:r>
            <w:r>
              <w:rPr>
                <w:sz w:val="18"/>
                <w:szCs w:val="18"/>
              </w:rPr>
              <w:t xml:space="preserve"> ; active le chiffrage</w:t>
            </w:r>
          </w:p>
        </w:tc>
      </w:tr>
    </w:tbl>
    <w:p>
      <w:pPr>
        <w:spacing w:after="80"/>
      </w:pPr>
    </w:p>
    <w:p>
      <w:pPr/>
      <w:r>
        <w:rPr/>
        <w:t xml:space="preserve">Après modification des règles, exécuter </w:t>
      </w:r>
      <w:r>
        <w:rPr>
          <w:rFonts w:ascii="Consolas" w:hAnsi="Consolas" w:cs="Consolas"/>
          <w:color w:val="1C5CAB"/>
          <w:sz w:val="18"/>
          <w:szCs w:val="18"/>
          <w:shd w:val="clear" w:color="auto" w:fill="EEF3FA"/>
        </w:rPr>
        <w:t xml:space="preserve">heptagoneslm apply-products</w:t>
      </w:r>
      <w:r>
        <w:rPr/>
        <w:t xml:space="preserve"> pour les réappliquer à tout l'historique.</w:t>
      </w:r>
    </w:p>
    <w:p>
      <w:pPr>
        <w:pStyle w:val="Heading3"/>
      </w:pPr>
      <w:bookmarkStart w:id="58" w:name="_Toc00058"/>
      <w:r>
        <w:rPr/>
        <w:t xml:space="preserve">reporting</w:t>
      </w:r>
      <w:bookmarkEnd w:id="58"/>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202"/>
        <w:gridCol w:w="1376"/>
        <w:gridCol w:w="6058"/>
      </w:tblGrid>
      <w:tr>
        <w:trPr>
          <w:tblHeader/>
          <w:cantSplit/>
        </w:trPr>
        <w:tc>
          <w:tcPr>
            <w:tcW w:w="2202" w:type="dxa"/>
            <w:shd w:val="clear" w:color="auto" w:fill="2A78D6"/>
          </w:tcPr>
          <w:p>
            <w:pPr>
              <w:pStyle w:val="TableText"/>
            </w:pPr>
            <w:r>
              <w:rPr>
                <w:b/>
                <w:color w:val="FFFFFF"/>
                <w:sz w:val="18"/>
                <w:szCs w:val="18"/>
              </w:rPr>
              <w:t xml:space="preserve">Paramètre</w:t>
            </w:r>
          </w:p>
        </w:tc>
        <w:tc>
          <w:tcPr>
            <w:tcW w:w="1376" w:type="dxa"/>
            <w:shd w:val="clear" w:color="auto" w:fill="2A78D6"/>
          </w:tcPr>
          <w:p>
            <w:pPr>
              <w:pStyle w:val="TableText"/>
            </w:pPr>
            <w:r>
              <w:rPr>
                <w:b/>
                <w:color w:val="FFFFFF"/>
                <w:sz w:val="18"/>
                <w:szCs w:val="18"/>
              </w:rPr>
              <w:t xml:space="preserve">Défaut</w:t>
            </w:r>
          </w:p>
        </w:tc>
        <w:tc>
          <w:tcPr>
            <w:tcW w:w="6058" w:type="dxa"/>
            <w:shd w:val="clear" w:color="auto" w:fill="2A78D6"/>
          </w:tcPr>
          <w:p>
            <w:pPr>
              <w:pStyle w:val="TableText"/>
            </w:pPr>
            <w:r>
              <w:rPr>
                <w:b/>
                <w:color w:val="FFFFFF"/>
                <w:sz w:val="18"/>
                <w:szCs w:val="18"/>
              </w:rPr>
              <w:t xml:space="preserve">Description</w:t>
            </w:r>
          </w:p>
        </w:tc>
      </w:tr>
      <w:tr>
        <w:trPr>
          <w:cantSplit/>
        </w:trPr>
        <w:tc>
          <w:tcPr>
            <w:tcW w:w="2202" w:type="dxa"/>
          </w:tcPr>
          <w:p>
            <w:pPr>
              <w:pStyle w:val="TableText"/>
            </w:pPr>
            <w:r>
              <w:rPr>
                <w:sz w:val="18"/>
                <w:szCs w:val="18"/>
              </w:rPr>
              <w:t xml:space="preserve">output_dir</w:t>
            </w:r>
          </w:p>
        </w:tc>
        <w:tc>
          <w:tcPr>
            <w:tcW w:w="1376" w:type="dxa"/>
          </w:tcPr>
          <w:p>
            <w:pPr>
              <w:pStyle w:val="TableText"/>
            </w:pPr>
            <w:r>
              <w:rPr>
                <w:sz w:val="18"/>
                <w:szCs w:val="18"/>
              </w:rPr>
              <w:t xml:space="preserve">reports</w:t>
            </w:r>
          </w:p>
        </w:tc>
        <w:tc>
          <w:tcPr>
            <w:tcW w:w="6058" w:type="dxa"/>
          </w:tcPr>
          <w:p>
            <w:pPr>
              <w:pStyle w:val="TableText"/>
            </w:pPr>
            <w:r>
              <w:rPr>
                <w:sz w:val="18"/>
                <w:szCs w:val="18"/>
              </w:rPr>
              <w:t xml:space="preserve">Dossier des rapports Excel</w:t>
            </w:r>
          </w:p>
        </w:tc>
      </w:tr>
      <w:tr>
        <w:trPr>
          <w:cantSplit/>
        </w:trPr>
        <w:tc>
          <w:tcPr>
            <w:tcW w:w="2202" w:type="dxa"/>
            <w:shd w:val="clear" w:color="auto" w:fill="F4F7FC"/>
          </w:tcPr>
          <w:p>
            <w:pPr>
              <w:pStyle w:val="TableText"/>
            </w:pPr>
            <w:r>
              <w:rPr>
                <w:sz w:val="18"/>
                <w:szCs w:val="18"/>
              </w:rPr>
              <w:t xml:space="preserve">top_n_chart</w:t>
            </w:r>
          </w:p>
        </w:tc>
        <w:tc>
          <w:tcPr>
            <w:tcW w:w="1376" w:type="dxa"/>
            <w:shd w:val="clear" w:color="auto" w:fill="F4F7FC"/>
          </w:tcPr>
          <w:p>
            <w:pPr>
              <w:pStyle w:val="TableText"/>
            </w:pPr>
            <w:r>
              <w:rPr>
                <w:sz w:val="18"/>
                <w:szCs w:val="18"/>
              </w:rPr>
              <w:t xml:space="preserve">10</w:t>
            </w:r>
          </w:p>
        </w:tc>
        <w:tc>
          <w:tcPr>
            <w:tcW w:w="6058" w:type="dxa"/>
            <w:shd w:val="clear" w:color="auto" w:fill="F4F7FC"/>
          </w:tcPr>
          <w:p>
            <w:pPr>
              <w:pStyle w:val="TableText"/>
            </w:pPr>
            <w:r>
              <w:rPr>
                <w:sz w:val="18"/>
                <w:szCs w:val="18"/>
              </w:rPr>
              <w:t xml:space="preserve">Nombre d'éléments dans les graphiques Excel</w:t>
            </w:r>
          </w:p>
        </w:tc>
      </w:tr>
      <w:tr>
        <w:trPr>
          <w:cantSplit/>
        </w:trPr>
        <w:tc>
          <w:tcPr>
            <w:tcW w:w="2202" w:type="dxa"/>
          </w:tcPr>
          <w:p>
            <w:pPr>
              <w:pStyle w:val="TableText"/>
            </w:pPr>
            <w:r>
              <w:rPr>
                <w:sz w:val="18"/>
                <w:szCs w:val="18"/>
              </w:rPr>
              <w:t xml:space="preserve">business_hours</w:t>
            </w:r>
          </w:p>
        </w:tc>
        <w:tc>
          <w:tcPr>
            <w:tcW w:w="1376" w:type="dxa"/>
          </w:tcPr>
          <w:p>
            <w:pPr>
              <w:pStyle w:val="TableText"/>
            </w:pPr>
            <w:r>
              <w:rPr>
                <w:sz w:val="18"/>
                <w:szCs w:val="18"/>
              </w:rPr>
              <w:t xml:space="preserve">[8, 19]</w:t>
            </w:r>
          </w:p>
        </w:tc>
        <w:tc>
          <w:tcPr>
            <w:tcW w:w="6058" w:type="dxa"/>
          </w:tcPr>
          <w:p>
            <w:pPr>
              <w:pStyle w:val="TableText"/>
            </w:pPr>
            <w:r>
              <w:rPr>
                <w:sz w:val="18"/>
                <w:szCs w:val="18"/>
              </w:rPr>
              <w:t xml:space="preserve">Plage des heures ouvrées (jours ouvrés du lundi au vendredi)</w:t>
            </w:r>
          </w:p>
        </w:tc>
      </w:tr>
      <w:tr>
        <w:trPr>
          <w:cantSplit/>
        </w:trPr>
        <w:tc>
          <w:tcPr>
            <w:tcW w:w="2202" w:type="dxa"/>
            <w:shd w:val="clear" w:color="auto" w:fill="F4F7FC"/>
          </w:tcPr>
          <w:p>
            <w:pPr>
              <w:pStyle w:val="TableText"/>
            </w:pPr>
            <w:r>
              <w:rPr>
                <w:sz w:val="18"/>
                <w:szCs w:val="18"/>
              </w:rPr>
              <w:t xml:space="preserve">currency</w:t>
            </w:r>
          </w:p>
        </w:tc>
        <w:tc>
          <w:tcPr>
            <w:tcW w:w="1376" w:type="dxa"/>
            <w:shd w:val="clear" w:color="auto" w:fill="F4F7FC"/>
          </w:tcPr>
          <w:p>
            <w:pPr>
              <w:pStyle w:val="TableText"/>
            </w:pPr>
            <w:r>
              <w:rPr>
                <w:sz w:val="18"/>
                <w:szCs w:val="18"/>
              </w:rPr>
              <w:t xml:space="preserve">€</w:t>
            </w:r>
          </w:p>
        </w:tc>
        <w:tc>
          <w:tcPr>
            <w:tcW w:w="6058" w:type="dxa"/>
            <w:shd w:val="clear" w:color="auto" w:fill="F4F7FC"/>
          </w:tcPr>
          <w:p>
            <w:pPr>
              <w:pStyle w:val="TableText"/>
            </w:pPr>
            <w:r>
              <w:rPr>
                <w:sz w:val="18"/>
                <w:szCs w:val="18"/>
              </w:rPr>
              <w:t xml:space="preserve">Devise des coûts</w:t>
            </w:r>
          </w:p>
        </w:tc>
      </w:tr>
      <w:tr>
        <w:trPr>
          <w:cantSplit/>
        </w:trPr>
        <w:tc>
          <w:tcPr>
            <w:tcW w:w="2202" w:type="dxa"/>
          </w:tcPr>
          <w:p>
            <w:pPr>
              <w:pStyle w:val="TableText"/>
            </w:pPr>
            <w:r>
              <w:rPr>
                <w:sz w:val="18"/>
                <w:szCs w:val="18"/>
              </w:rPr>
              <w:t xml:space="preserve">target_coverage</w:t>
            </w:r>
          </w:p>
        </w:tc>
        <w:tc>
          <w:tcPr>
            <w:tcW w:w="1376" w:type="dxa"/>
          </w:tcPr>
          <w:p>
            <w:pPr>
              <w:pStyle w:val="TableText"/>
            </w:pPr>
            <w:r>
              <w:rPr>
                <w:sz w:val="18"/>
                <w:szCs w:val="18"/>
              </w:rPr>
              <w:t xml:space="preserve">0.95</w:t>
            </w:r>
          </w:p>
        </w:tc>
        <w:tc>
          <w:tcPr>
            <w:tcW w:w="6058" w:type="dxa"/>
          </w:tcPr>
          <w:p>
            <w:pPr>
              <w:pStyle w:val="TableText"/>
            </w:pPr>
            <w:r>
              <w:rPr>
                <w:sz w:val="18"/>
                <w:szCs w:val="18"/>
              </w:rPr>
              <w:t xml:space="preserve">Part du temps ouvré couverte par le nombre de jetons recommandé (0,5 à 0,999)</w:t>
            </w:r>
          </w:p>
        </w:tc>
      </w:tr>
    </w:tbl>
    <w:p>
      <w:pPr>
        <w:spacing w:after="80"/>
      </w:pPr>
    </w:p>
    <w:p>
      <w:pPr>
        <w:pStyle w:val="Heading3"/>
      </w:pPr>
      <w:bookmarkStart w:id="59" w:name="_Toc00059"/>
      <w:r>
        <w:rPr/>
        <w:t xml:space="preserve">web et web.auth</w:t>
      </w:r>
      <w:bookmarkEnd w:id="59"/>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166"/>
        <w:gridCol w:w="2065"/>
        <w:gridCol w:w="4405"/>
      </w:tblGrid>
      <w:tr>
        <w:trPr>
          <w:tblHeader/>
          <w:cantSplit/>
        </w:trPr>
        <w:tc>
          <w:tcPr>
            <w:tcW w:w="3166" w:type="dxa"/>
            <w:shd w:val="clear" w:color="auto" w:fill="2A78D6"/>
          </w:tcPr>
          <w:p>
            <w:pPr>
              <w:pStyle w:val="TableText"/>
            </w:pPr>
            <w:r>
              <w:rPr>
                <w:b/>
                <w:color w:val="FFFFFF"/>
                <w:sz w:val="18"/>
                <w:szCs w:val="18"/>
              </w:rPr>
              <w:t xml:space="preserve">Paramètre</w:t>
            </w:r>
          </w:p>
        </w:tc>
        <w:tc>
          <w:tcPr>
            <w:tcW w:w="2065" w:type="dxa"/>
            <w:shd w:val="clear" w:color="auto" w:fill="2A78D6"/>
          </w:tcPr>
          <w:p>
            <w:pPr>
              <w:pStyle w:val="TableText"/>
            </w:pPr>
            <w:r>
              <w:rPr>
                <w:b/>
                <w:color w:val="FFFFFF"/>
                <w:sz w:val="18"/>
                <w:szCs w:val="18"/>
              </w:rPr>
              <w:t xml:space="preserve">Défaut</w:t>
            </w:r>
          </w:p>
        </w:tc>
        <w:tc>
          <w:tcPr>
            <w:tcW w:w="4405" w:type="dxa"/>
            <w:shd w:val="clear" w:color="auto" w:fill="2A78D6"/>
          </w:tcPr>
          <w:p>
            <w:pPr>
              <w:pStyle w:val="TableText"/>
            </w:pPr>
            <w:r>
              <w:rPr>
                <w:b/>
                <w:color w:val="FFFFFF"/>
                <w:sz w:val="18"/>
                <w:szCs w:val="18"/>
              </w:rPr>
              <w:t xml:space="preserve">Description</w:t>
            </w:r>
          </w:p>
        </w:tc>
      </w:tr>
      <w:tr>
        <w:trPr>
          <w:cantSplit/>
        </w:trPr>
        <w:tc>
          <w:tcPr>
            <w:tcW w:w="3166" w:type="dxa"/>
          </w:tcPr>
          <w:p>
            <w:pPr>
              <w:pStyle w:val="TableText"/>
            </w:pPr>
            <w:r>
              <w:rPr>
                <w:sz w:val="18"/>
                <w:szCs w:val="18"/>
              </w:rPr>
              <w:t xml:space="preserve">host</w:t>
            </w:r>
          </w:p>
        </w:tc>
        <w:tc>
          <w:tcPr>
            <w:tcW w:w="2065" w:type="dxa"/>
          </w:tcPr>
          <w:p>
            <w:pPr>
              <w:pStyle w:val="TableText"/>
            </w:pPr>
            <w:r>
              <w:rPr>
                <w:sz w:val="18"/>
                <w:szCs w:val="18"/>
              </w:rPr>
              <w:t xml:space="preserve">127.0.0.1</w:t>
            </w:r>
          </w:p>
        </w:tc>
        <w:tc>
          <w:tcPr>
            <w:tcW w:w="4405" w:type="dxa"/>
          </w:tcPr>
          <w:p>
            <w:pPr>
              <w:pStyle w:val="TableText"/>
            </w:pPr>
            <w:r>
              <w:rPr>
                <w:sz w:val="18"/>
                <w:szCs w:val="18"/>
              </w:rPr>
              <w:t xml:space="preserve">Adresse d'écoute ; </w:t>
            </w:r>
            <w:r>
              <w:rPr>
                <w:rFonts w:ascii="Consolas" w:hAnsi="Consolas" w:cs="Consolas"/>
                <w:color w:val="1C5CAB"/>
                <w:sz w:val="18"/>
                <w:szCs w:val="18"/>
                <w:shd w:val="clear" w:color="auto" w:fill="EEF3FA"/>
              </w:rPr>
              <w:t xml:space="preserve">0.0.0.0</w:t>
            </w:r>
            <w:r>
              <w:rPr>
                <w:sz w:val="18"/>
                <w:szCs w:val="18"/>
              </w:rPr>
              <w:t xml:space="preserve"> pour le réseau (avec authentification et HTTPS)</w:t>
            </w:r>
          </w:p>
        </w:tc>
      </w:tr>
      <w:tr>
        <w:trPr>
          <w:cantSplit/>
        </w:trPr>
        <w:tc>
          <w:tcPr>
            <w:tcW w:w="3166" w:type="dxa"/>
            <w:shd w:val="clear" w:color="auto" w:fill="F4F7FC"/>
          </w:tcPr>
          <w:p>
            <w:pPr>
              <w:pStyle w:val="TableText"/>
            </w:pPr>
            <w:r>
              <w:rPr>
                <w:sz w:val="18"/>
                <w:szCs w:val="18"/>
              </w:rPr>
              <w:t xml:space="preserve">port</w:t>
            </w:r>
          </w:p>
        </w:tc>
        <w:tc>
          <w:tcPr>
            <w:tcW w:w="2065" w:type="dxa"/>
            <w:shd w:val="clear" w:color="auto" w:fill="F4F7FC"/>
          </w:tcPr>
          <w:p>
            <w:pPr>
              <w:pStyle w:val="TableText"/>
            </w:pPr>
            <w:r>
              <w:rPr>
                <w:sz w:val="18"/>
                <w:szCs w:val="18"/>
              </w:rPr>
              <w:t xml:space="preserve">8765</w:t>
            </w:r>
          </w:p>
        </w:tc>
        <w:tc>
          <w:tcPr>
            <w:tcW w:w="4405" w:type="dxa"/>
            <w:shd w:val="clear" w:color="auto" w:fill="F4F7FC"/>
          </w:tcPr>
          <w:p>
            <w:pPr>
              <w:pStyle w:val="TableText"/>
            </w:pPr>
            <w:r>
              <w:rPr>
                <w:sz w:val="18"/>
                <w:szCs w:val="18"/>
              </w:rPr>
              <w:t xml:space="preserve">Port ; si occupé, les 9 ports suivants sont essayés</w:t>
            </w:r>
          </w:p>
        </w:tc>
      </w:tr>
      <w:tr>
        <w:trPr>
          <w:cantSplit/>
        </w:trPr>
        <w:tc>
          <w:tcPr>
            <w:tcW w:w="3166" w:type="dxa"/>
          </w:tcPr>
          <w:p>
            <w:pPr>
              <w:pStyle w:val="TableText"/>
            </w:pPr>
            <w:r>
              <w:rPr>
                <w:sz w:val="18"/>
                <w:szCs w:val="18"/>
              </w:rPr>
              <w:t xml:space="preserve">tls_cert / tls_key</w:t>
            </w:r>
          </w:p>
        </w:tc>
        <w:tc>
          <w:tcPr>
            <w:tcW w:w="2065" w:type="dxa"/>
          </w:tcPr>
          <w:p>
            <w:pPr>
              <w:pStyle w:val="TableText"/>
            </w:pPr>
            <w:r>
              <w:rPr>
                <w:sz w:val="18"/>
                <w:szCs w:val="18"/>
              </w:rPr>
              <w:t xml:space="preserve">—</w:t>
            </w:r>
          </w:p>
        </w:tc>
        <w:tc>
          <w:tcPr>
            <w:tcW w:w="4405" w:type="dxa"/>
          </w:tcPr>
          <w:p>
            <w:pPr>
              <w:pStyle w:val="TableText"/>
            </w:pPr>
            <w:r>
              <w:rPr>
                <w:sz w:val="18"/>
                <w:szCs w:val="18"/>
              </w:rPr>
              <w:t xml:space="preserve">Certificat et clé PEM : active HTTPS</w:t>
            </w:r>
          </w:p>
        </w:tc>
      </w:tr>
      <w:tr>
        <w:trPr>
          <w:cantSplit/>
        </w:trPr>
        <w:tc>
          <w:tcPr>
            <w:tcW w:w="3166" w:type="dxa"/>
            <w:shd w:val="clear" w:color="auto" w:fill="F4F7FC"/>
          </w:tcPr>
          <w:p>
            <w:pPr>
              <w:pStyle w:val="TableText"/>
            </w:pPr>
            <w:r>
              <w:rPr>
                <w:sz w:val="18"/>
                <w:szCs w:val="18"/>
              </w:rPr>
              <w:t xml:space="preserve">public_url</w:t>
            </w:r>
          </w:p>
        </w:tc>
        <w:tc>
          <w:tcPr>
            <w:tcW w:w="2065" w:type="dxa"/>
            <w:shd w:val="clear" w:color="auto" w:fill="F4F7FC"/>
          </w:tcPr>
          <w:p>
            <w:pPr>
              <w:pStyle w:val="TableText"/>
            </w:pPr>
            <w:r>
              <w:rPr>
                <w:sz w:val="18"/>
                <w:szCs w:val="18"/>
              </w:rPr>
              <w:t xml:space="preserve">—</w:t>
            </w:r>
          </w:p>
        </w:tc>
        <w:tc>
          <w:tcPr>
            <w:tcW w:w="4405" w:type="dxa"/>
            <w:shd w:val="clear" w:color="auto" w:fill="F4F7FC"/>
          </w:tcPr>
          <w:p>
            <w:pPr>
              <w:pStyle w:val="TableText"/>
            </w:pPr>
            <w:r>
              <w:rPr>
                <w:sz w:val="18"/>
                <w:szCs w:val="18"/>
              </w:rPr>
              <w:t xml:space="preserve">Adresse publique (liens des e-mails, contrôle de l'en-tête Host)</w:t>
            </w:r>
          </w:p>
        </w:tc>
      </w:tr>
      <w:tr>
        <w:trPr>
          <w:cantSplit/>
        </w:trPr>
        <w:tc>
          <w:tcPr>
            <w:tcW w:w="3166" w:type="dxa"/>
          </w:tcPr>
          <w:p>
            <w:pPr>
              <w:pStyle w:val="TableText"/>
            </w:pPr>
            <w:r>
              <w:rPr>
                <w:sz w:val="18"/>
                <w:szCs w:val="18"/>
              </w:rPr>
              <w:t xml:space="preserve">allowed_hosts</w:t>
            </w:r>
          </w:p>
        </w:tc>
        <w:tc>
          <w:tcPr>
            <w:tcW w:w="2065" w:type="dxa"/>
          </w:tcPr>
          <w:p>
            <w:pPr>
              <w:pStyle w:val="TableText"/>
            </w:pPr>
            <w:r>
              <w:rPr>
                <w:sz w:val="18"/>
                <w:szCs w:val="18"/>
              </w:rPr>
              <w:t xml:space="preserve">[]</w:t>
            </w:r>
          </w:p>
        </w:tc>
        <w:tc>
          <w:tcPr>
            <w:tcW w:w="4405" w:type="dxa"/>
          </w:tcPr>
          <w:p>
            <w:pPr>
              <w:pStyle w:val="TableText"/>
            </w:pPr>
            <w:r>
              <w:rPr>
                <w:sz w:val="18"/>
                <w:szCs w:val="18"/>
              </w:rPr>
              <w:t xml:space="preserve">Noms ou IP acceptés en plus (protection contre le DNS rebinding)</w:t>
            </w:r>
          </w:p>
        </w:tc>
      </w:tr>
      <w:tr>
        <w:trPr>
          <w:cantSplit/>
        </w:trPr>
        <w:tc>
          <w:tcPr>
            <w:tcW w:w="3166" w:type="dxa"/>
            <w:shd w:val="clear" w:color="auto" w:fill="F4F7FC"/>
          </w:tcPr>
          <w:p>
            <w:pPr>
              <w:pStyle w:val="TableText"/>
            </w:pPr>
            <w:r>
              <w:rPr>
                <w:sz w:val="18"/>
                <w:szCs w:val="18"/>
              </w:rPr>
              <w:t xml:space="preserve">request_timeout_s</w:t>
            </w:r>
          </w:p>
        </w:tc>
        <w:tc>
          <w:tcPr>
            <w:tcW w:w="2065" w:type="dxa"/>
            <w:shd w:val="clear" w:color="auto" w:fill="F4F7FC"/>
          </w:tcPr>
          <w:p>
            <w:pPr>
              <w:pStyle w:val="TableText"/>
            </w:pPr>
            <w:r>
              <w:rPr>
                <w:sz w:val="18"/>
                <w:szCs w:val="18"/>
              </w:rPr>
              <w:t xml:space="preserve">30</w:t>
            </w:r>
          </w:p>
        </w:tc>
        <w:tc>
          <w:tcPr>
            <w:tcW w:w="4405" w:type="dxa"/>
            <w:shd w:val="clear" w:color="auto" w:fill="F4F7FC"/>
          </w:tcPr>
          <w:p>
            <w:pPr>
              <w:pStyle w:val="TableText"/>
            </w:pPr>
            <w:r>
              <w:rPr>
                <w:sz w:val="18"/>
                <w:szCs w:val="18"/>
              </w:rPr>
              <w:t xml:space="preserve">Coupe les connexions inactives ou trop lentes</w:t>
            </w:r>
          </w:p>
        </w:tc>
      </w:tr>
      <w:tr>
        <w:trPr>
          <w:cantSplit/>
        </w:trPr>
        <w:tc>
          <w:tcPr>
            <w:tcW w:w="3166" w:type="dxa"/>
          </w:tcPr>
          <w:p>
            <w:pPr>
              <w:pStyle w:val="TableText"/>
            </w:pPr>
            <w:r>
              <w:rPr>
                <w:sz w:val="18"/>
                <w:szCs w:val="18"/>
              </w:rPr>
              <w:t xml:space="preserve">max_connections</w:t>
            </w:r>
          </w:p>
        </w:tc>
        <w:tc>
          <w:tcPr>
            <w:tcW w:w="2065" w:type="dxa"/>
          </w:tcPr>
          <w:p>
            <w:pPr>
              <w:pStyle w:val="TableText"/>
            </w:pPr>
            <w:r>
              <w:rPr>
                <w:sz w:val="18"/>
                <w:szCs w:val="18"/>
              </w:rPr>
              <w:t xml:space="preserve">64</w:t>
            </w:r>
          </w:p>
        </w:tc>
        <w:tc>
          <w:tcPr>
            <w:tcW w:w="4405" w:type="dxa"/>
          </w:tcPr>
          <w:p>
            <w:pPr>
              <w:pStyle w:val="TableText"/>
            </w:pPr>
            <w:r>
              <w:rPr>
                <w:sz w:val="18"/>
                <w:szCs w:val="18"/>
              </w:rPr>
              <w:t xml:space="preserve">Requêtes simultanées maximales</w:t>
            </w:r>
          </w:p>
        </w:tc>
      </w:tr>
      <w:tr>
        <w:trPr>
          <w:cantSplit/>
        </w:trPr>
        <w:tc>
          <w:tcPr>
            <w:tcW w:w="3166" w:type="dxa"/>
            <w:shd w:val="clear" w:color="auto" w:fill="F4F7FC"/>
          </w:tcPr>
          <w:p>
            <w:pPr>
              <w:pStyle w:val="TableText"/>
            </w:pPr>
            <w:r>
              <w:rPr>
                <w:sz w:val="18"/>
                <w:szCs w:val="18"/>
              </w:rPr>
              <w:t xml:space="preserve">auth.mode</w:t>
            </w:r>
          </w:p>
        </w:tc>
        <w:tc>
          <w:tcPr>
            <w:tcW w:w="2065" w:type="dxa"/>
            <w:shd w:val="clear" w:color="auto" w:fill="F4F7FC"/>
          </w:tcPr>
          <w:p>
            <w:pPr>
              <w:pStyle w:val="TableText"/>
            </w:pPr>
            <w:r>
              <w:rPr>
                <w:sz w:val="18"/>
                <w:szCs w:val="18"/>
              </w:rPr>
              <w:t xml:space="preserve">none</w:t>
            </w:r>
          </w:p>
        </w:tc>
        <w:tc>
          <w:tcPr>
            <w:tcW w:w="4405" w:type="dxa"/>
            <w:shd w:val="clear" w:color="auto" w:fill="F4F7FC"/>
          </w:tcPr>
          <w:p>
            <w:pPr>
              <w:pStyle w:val="TableText"/>
            </w:pPr>
            <w:r>
              <w:rPr>
                <w:rFonts w:ascii="Consolas" w:hAnsi="Consolas" w:cs="Consolas"/>
                <w:color w:val="1C5CAB"/>
                <w:sz w:val="18"/>
                <w:szCs w:val="18"/>
                <w:shd w:val="clear" w:color="auto" w:fill="EEF3FA"/>
              </w:rPr>
              <w:t xml:space="preserve">none</w:t>
            </w:r>
            <w:r>
              <w:rPr>
                <w:sz w:val="18"/>
                <w:szCs w:val="18"/>
              </w:rPr>
              <w:t xml:space="preserve"> (poste local), </w:t>
            </w:r>
            <w:r>
              <w:rPr>
                <w:rFonts w:ascii="Consolas" w:hAnsi="Consolas" w:cs="Consolas"/>
                <w:color w:val="1C5CAB"/>
                <w:sz w:val="18"/>
                <w:szCs w:val="18"/>
                <w:shd w:val="clear" w:color="auto" w:fill="EEF3FA"/>
              </w:rPr>
              <w:t xml:space="preserve">ldap</w:t>
            </w:r>
            <w:r>
              <w:rPr>
                <w:sz w:val="18"/>
                <w:szCs w:val="18"/>
              </w:rPr>
              <w:t xml:space="preserve"> (identifiants Windows) ou </w:t>
            </w:r>
            <w:r>
              <w:rPr>
                <w:rFonts w:ascii="Consolas" w:hAnsi="Consolas" w:cs="Consolas"/>
                <w:color w:val="1C5CAB"/>
                <w:sz w:val="18"/>
                <w:szCs w:val="18"/>
                <w:shd w:val="clear" w:color="auto" w:fill="EEF3FA"/>
              </w:rPr>
              <w:t xml:space="preserve">header</w:t>
            </w:r>
            <w:r>
              <w:rPr>
                <w:sz w:val="18"/>
                <w:szCs w:val="18"/>
              </w:rPr>
              <w:t xml:space="preserve"> (SSO via IIS)</w:t>
            </w:r>
          </w:p>
        </w:tc>
      </w:tr>
      <w:tr>
        <w:trPr>
          <w:cantSplit/>
        </w:trPr>
        <w:tc>
          <w:tcPr>
            <w:tcW w:w="3166" w:type="dxa"/>
          </w:tcPr>
          <w:p>
            <w:pPr>
              <w:pStyle w:val="TableText"/>
            </w:pPr>
            <w:r>
              <w:rPr>
                <w:sz w:val="18"/>
                <w:szCs w:val="18"/>
              </w:rPr>
              <w:t xml:space="preserve">auth.ldap_servers</w:t>
            </w:r>
          </w:p>
        </w:tc>
        <w:tc>
          <w:tcPr>
            <w:tcW w:w="2065" w:type="dxa"/>
          </w:tcPr>
          <w:p>
            <w:pPr>
              <w:pStyle w:val="TableText"/>
            </w:pPr>
            <w:r>
              <w:rPr>
                <w:sz w:val="18"/>
                <w:szCs w:val="18"/>
              </w:rPr>
              <w:t xml:space="preserve">[]</w:t>
            </w:r>
          </w:p>
        </w:tc>
        <w:tc>
          <w:tcPr>
            <w:tcW w:w="4405" w:type="dxa"/>
          </w:tcPr>
          <w:p>
            <w:pPr>
              <w:pStyle w:val="TableText"/>
            </w:pPr>
            <w:r>
              <w:rPr>
                <w:sz w:val="18"/>
                <w:szCs w:val="18"/>
              </w:rPr>
              <w:t xml:space="preserve">Contrôleurs de domaine (</w:t>
            </w:r>
            <w:r>
              <w:rPr>
                <w:rFonts w:ascii="Consolas" w:hAnsi="Consolas" w:cs="Consolas"/>
                <w:color w:val="1C5CAB"/>
                <w:sz w:val="18"/>
                <w:szCs w:val="18"/>
                <w:shd w:val="clear" w:color="auto" w:fill="EEF3FA"/>
              </w:rPr>
              <w:t xml:space="preserve">ldaps://…</w:t>
            </w:r>
            <w:r>
              <w:rPr>
                <w:sz w:val="18"/>
                <w:szCs w:val="18"/>
              </w:rPr>
              <w:t xml:space="preserve">)</w:t>
            </w:r>
          </w:p>
        </w:tc>
      </w:tr>
      <w:tr>
        <w:trPr>
          <w:cantSplit/>
        </w:trPr>
        <w:tc>
          <w:tcPr>
            <w:tcW w:w="3166" w:type="dxa"/>
            <w:shd w:val="clear" w:color="auto" w:fill="F4F7FC"/>
          </w:tcPr>
          <w:p>
            <w:pPr>
              <w:pStyle w:val="TableText"/>
            </w:pPr>
            <w:r>
              <w:rPr>
                <w:sz w:val="18"/>
                <w:szCs w:val="18"/>
              </w:rPr>
              <w:t xml:space="preserve">auth.base_dn / upn_suffix</w:t>
            </w:r>
          </w:p>
        </w:tc>
        <w:tc>
          <w:tcPr>
            <w:tcW w:w="2065" w:type="dxa"/>
            <w:shd w:val="clear" w:color="auto" w:fill="F4F7FC"/>
          </w:tcPr>
          <w:p>
            <w:pPr>
              <w:pStyle w:val="TableText"/>
            </w:pPr>
            <w:r>
              <w:rPr>
                <w:sz w:val="18"/>
                <w:szCs w:val="18"/>
              </w:rPr>
              <w:t xml:space="preserve">—</w:t>
            </w:r>
          </w:p>
        </w:tc>
        <w:tc>
          <w:tcPr>
            <w:tcW w:w="4405" w:type="dxa"/>
            <w:shd w:val="clear" w:color="auto" w:fill="F4F7FC"/>
          </w:tcPr>
          <w:p>
            <w:pPr>
              <w:pStyle w:val="TableText"/>
            </w:pPr>
            <w:r>
              <w:rPr>
                <w:sz w:val="18"/>
                <w:szCs w:val="18"/>
              </w:rPr>
              <w:t xml:space="preserve">Base de recherche et suffixe UPN des comptes</w:t>
            </w:r>
          </w:p>
        </w:tc>
      </w:tr>
      <w:tr>
        <w:trPr>
          <w:cantSplit/>
        </w:trPr>
        <w:tc>
          <w:tcPr>
            <w:tcW w:w="3166" w:type="dxa"/>
          </w:tcPr>
          <w:p>
            <w:pPr>
              <w:pStyle w:val="TableText"/>
            </w:pPr>
            <w:r>
              <w:rPr>
                <w:sz w:val="18"/>
                <w:szCs w:val="18"/>
              </w:rPr>
              <w:t xml:space="preserve">auth.allowed_groups</w:t>
            </w:r>
          </w:p>
        </w:tc>
        <w:tc>
          <w:tcPr>
            <w:tcW w:w="2065" w:type="dxa"/>
          </w:tcPr>
          <w:p>
            <w:pPr>
              <w:pStyle w:val="TableText"/>
            </w:pPr>
            <w:r>
              <w:rPr>
                <w:sz w:val="18"/>
                <w:szCs w:val="18"/>
              </w:rPr>
              <w:t xml:space="preserve">[]</w:t>
            </w:r>
          </w:p>
        </w:tc>
        <w:tc>
          <w:tcPr>
            <w:tcW w:w="4405" w:type="dxa"/>
          </w:tcPr>
          <w:p>
            <w:pPr>
              <w:pStyle w:val="TableText"/>
            </w:pPr>
            <w:r>
              <w:rPr>
                <w:sz w:val="18"/>
                <w:szCs w:val="18"/>
              </w:rPr>
              <w:t xml:space="preserve">Groupes autorisés (imbriqués acceptés) ; vide = tout le domaine</w:t>
            </w:r>
          </w:p>
        </w:tc>
      </w:tr>
      <w:tr>
        <w:trPr>
          <w:cantSplit/>
        </w:trPr>
        <w:tc>
          <w:tcPr>
            <w:tcW w:w="3166" w:type="dxa"/>
            <w:shd w:val="clear" w:color="auto" w:fill="F4F7FC"/>
          </w:tcPr>
          <w:p>
            <w:pPr>
              <w:pStyle w:val="TableText"/>
            </w:pPr>
            <w:r>
              <w:rPr>
                <w:sz w:val="18"/>
                <w:szCs w:val="18"/>
              </w:rPr>
              <w:t xml:space="preserve">auth.ldap_ca_file</w:t>
            </w:r>
          </w:p>
        </w:tc>
        <w:tc>
          <w:tcPr>
            <w:tcW w:w="2065" w:type="dxa"/>
            <w:shd w:val="clear" w:color="auto" w:fill="F4F7FC"/>
          </w:tcPr>
          <w:p>
            <w:pPr>
              <w:pStyle w:val="TableText"/>
            </w:pPr>
            <w:r>
              <w:rPr>
                <w:sz w:val="18"/>
                <w:szCs w:val="18"/>
              </w:rPr>
              <w:t xml:space="preserve">—</w:t>
            </w:r>
          </w:p>
        </w:tc>
        <w:tc>
          <w:tcPr>
            <w:tcW w:w="4405" w:type="dxa"/>
            <w:shd w:val="clear" w:color="auto" w:fill="F4F7FC"/>
          </w:tcPr>
          <w:p>
            <w:pPr>
              <w:pStyle w:val="TableText"/>
            </w:pPr>
            <w:r>
              <w:rPr>
                <w:sz w:val="18"/>
                <w:szCs w:val="18"/>
              </w:rPr>
              <w:t xml:space="preserve">Certificat de l'AC interne pour valider LDAPS</w:t>
            </w:r>
          </w:p>
        </w:tc>
      </w:tr>
      <w:tr>
        <w:trPr>
          <w:cantSplit/>
        </w:trPr>
        <w:tc>
          <w:tcPr>
            <w:tcW w:w="3166" w:type="dxa"/>
          </w:tcPr>
          <w:p>
            <w:pPr>
              <w:pStyle w:val="TableText"/>
            </w:pPr>
            <w:r>
              <w:rPr>
                <w:sz w:val="18"/>
                <w:szCs w:val="18"/>
              </w:rPr>
              <w:t xml:space="preserve">auth.session_hours</w:t>
            </w:r>
          </w:p>
        </w:tc>
        <w:tc>
          <w:tcPr>
            <w:tcW w:w="2065" w:type="dxa"/>
          </w:tcPr>
          <w:p>
            <w:pPr>
              <w:pStyle w:val="TableText"/>
            </w:pPr>
            <w:r>
              <w:rPr>
                <w:sz w:val="18"/>
                <w:szCs w:val="18"/>
              </w:rPr>
              <w:t xml:space="preserve">8</w:t>
            </w:r>
          </w:p>
        </w:tc>
        <w:tc>
          <w:tcPr>
            <w:tcW w:w="4405" w:type="dxa"/>
          </w:tcPr>
          <w:p>
            <w:pPr>
              <w:pStyle w:val="TableText"/>
            </w:pPr>
            <w:r>
              <w:rPr>
                <w:sz w:val="18"/>
                <w:szCs w:val="18"/>
              </w:rPr>
              <w:t xml:space="preserve">Durée de session</w:t>
            </w:r>
          </w:p>
        </w:tc>
      </w:tr>
      <w:tr>
        <w:trPr>
          <w:cantSplit/>
        </w:trPr>
        <w:tc>
          <w:tcPr>
            <w:tcW w:w="3166" w:type="dxa"/>
            <w:shd w:val="clear" w:color="auto" w:fill="F4F7FC"/>
          </w:tcPr>
          <w:p>
            <w:pPr>
              <w:pStyle w:val="TableText"/>
            </w:pPr>
            <w:r>
              <w:rPr>
                <w:sz w:val="18"/>
                <w:szCs w:val="18"/>
              </w:rPr>
              <w:t xml:space="preserve">auth.max_failures / lockout_minutes</w:t>
            </w:r>
          </w:p>
        </w:tc>
        <w:tc>
          <w:tcPr>
            <w:tcW w:w="2065" w:type="dxa"/>
            <w:shd w:val="clear" w:color="auto" w:fill="F4F7FC"/>
          </w:tcPr>
          <w:p>
            <w:pPr>
              <w:pStyle w:val="TableText"/>
            </w:pPr>
            <w:r>
              <w:rPr>
                <w:sz w:val="18"/>
                <w:szCs w:val="18"/>
              </w:rPr>
              <w:t xml:space="preserve">5 / 15</w:t>
            </w:r>
          </w:p>
        </w:tc>
        <w:tc>
          <w:tcPr>
            <w:tcW w:w="4405" w:type="dxa"/>
            <w:shd w:val="clear" w:color="auto" w:fill="F4F7FC"/>
          </w:tcPr>
          <w:p>
            <w:pPr>
              <w:pStyle w:val="TableText"/>
            </w:pPr>
            <w:r>
              <w:rPr>
                <w:sz w:val="18"/>
                <w:szCs w:val="18"/>
              </w:rPr>
              <w:t xml:space="preserve">Blocage temporaire après échecs de connexion</w:t>
            </w:r>
          </w:p>
        </w:tc>
      </w:tr>
      <w:tr>
        <w:trPr>
          <w:cantSplit/>
        </w:trPr>
        <w:tc>
          <w:tcPr>
            <w:tcW w:w="3166" w:type="dxa"/>
          </w:tcPr>
          <w:p>
            <w:pPr>
              <w:pStyle w:val="TableText"/>
            </w:pPr>
            <w:r>
              <w:rPr>
                <w:sz w:val="18"/>
                <w:szCs w:val="18"/>
              </w:rPr>
              <w:t xml:space="preserve">auth.header_name / trusted_proxies</w:t>
            </w:r>
          </w:p>
        </w:tc>
        <w:tc>
          <w:tcPr>
            <w:tcW w:w="2065" w:type="dxa"/>
          </w:tcPr>
          <w:p>
            <w:pPr>
              <w:pStyle w:val="TableText"/>
            </w:pPr>
            <w:r>
              <w:rPr>
                <w:sz w:val="18"/>
                <w:szCs w:val="18"/>
              </w:rPr>
              <w:t xml:space="preserve">X-Remote-User / 127.0.0.1</w:t>
            </w:r>
          </w:p>
        </w:tc>
        <w:tc>
          <w:tcPr>
            <w:tcW w:w="4405" w:type="dxa"/>
          </w:tcPr>
          <w:p>
            <w:pPr>
              <w:pStyle w:val="TableText"/>
            </w:pPr>
            <w:r>
              <w:rPr>
                <w:sz w:val="18"/>
                <w:szCs w:val="18"/>
              </w:rPr>
              <w:t xml:space="preserve">Mode header : en-tête et proxys de confiance</w:t>
            </w:r>
          </w:p>
        </w:tc>
      </w:tr>
      <w:tr>
        <w:trPr>
          <w:cantSplit/>
        </w:trPr>
        <w:tc>
          <w:tcPr>
            <w:tcW w:w="3166" w:type="dxa"/>
            <w:shd w:val="clear" w:color="auto" w:fill="F4F7FC"/>
          </w:tcPr>
          <w:p>
            <w:pPr>
              <w:pStyle w:val="TableText"/>
            </w:pPr>
            <w:r>
              <w:rPr>
                <w:sz w:val="18"/>
                <w:szCs w:val="18"/>
              </w:rPr>
              <w:t xml:space="preserve">auth.groups_header</w:t>
            </w:r>
          </w:p>
        </w:tc>
        <w:tc>
          <w:tcPr>
            <w:tcW w:w="2065" w:type="dxa"/>
            <w:shd w:val="clear" w:color="auto" w:fill="F4F7FC"/>
          </w:tcPr>
          <w:p>
            <w:pPr>
              <w:pStyle w:val="TableText"/>
            </w:pPr>
            <w:r>
              <w:rPr>
                <w:sz w:val="18"/>
                <w:szCs w:val="18"/>
              </w:rPr>
              <w:t xml:space="preserve">X-Remote-Groups</w:t>
            </w:r>
          </w:p>
        </w:tc>
        <w:tc>
          <w:tcPr>
            <w:tcW w:w="4405" w:type="dxa"/>
            <w:shd w:val="clear" w:color="auto" w:fill="F4F7FC"/>
          </w:tcPr>
          <w:p>
            <w:pPr>
              <w:pStyle w:val="TableText"/>
            </w:pPr>
            <w:r>
              <w:rPr>
                <w:sz w:val="18"/>
                <w:szCs w:val="18"/>
              </w:rPr>
              <w:t xml:space="preserve">Mode header : groupes Windows transmis par le module IIS (rôles)</w:t>
            </w:r>
          </w:p>
        </w:tc>
      </w:tr>
      <w:tr>
        <w:trPr>
          <w:cantSplit/>
        </w:trPr>
        <w:tc>
          <w:tcPr>
            <w:tcW w:w="3166" w:type="dxa"/>
          </w:tcPr>
          <w:p>
            <w:pPr>
              <w:pStyle w:val="TableText"/>
            </w:pPr>
            <w:r>
              <w:rPr>
                <w:sz w:val="18"/>
                <w:szCs w:val="18"/>
              </w:rPr>
              <w:t xml:space="preserve">roles.admins / readers</w:t>
            </w:r>
          </w:p>
        </w:tc>
        <w:tc>
          <w:tcPr>
            <w:tcW w:w="2065" w:type="dxa"/>
          </w:tcPr>
          <w:p>
            <w:pPr>
              <w:pStyle w:val="TableText"/>
            </w:pPr>
            <w:r>
              <w:rPr>
                <w:sz w:val="18"/>
                <w:szCs w:val="18"/>
              </w:rPr>
              <w:t xml:space="preserve">[]</w:t>
            </w:r>
          </w:p>
        </w:tc>
        <w:tc>
          <w:tcPr>
            <w:tcW w:w="4405" w:type="dxa"/>
          </w:tcPr>
          <w:p>
            <w:pPr>
              <w:pStyle w:val="TableText"/>
            </w:pPr>
            <w:r>
              <w:rPr>
                <w:sz w:val="18"/>
                <w:szCs w:val="18"/>
              </w:rPr>
              <w:t xml:space="preserve">Groupes ou comptes à vue globale (section absente : tout le monde voit tout)</w:t>
            </w:r>
          </w:p>
        </w:tc>
      </w:tr>
      <w:tr>
        <w:trPr>
          <w:cantSplit/>
        </w:trPr>
        <w:tc>
          <w:tcPr>
            <w:tcW w:w="3166" w:type="dxa"/>
            <w:shd w:val="clear" w:color="auto" w:fill="F4F7FC"/>
          </w:tcPr>
          <w:p>
            <w:pPr>
              <w:pStyle w:val="TableText"/>
            </w:pPr>
            <w:r>
              <w:rPr>
                <w:sz w:val="18"/>
                <w:szCs w:val="18"/>
              </w:rPr>
              <w:t xml:space="preserve">roles.departments[]</w:t>
            </w:r>
          </w:p>
        </w:tc>
        <w:tc>
          <w:tcPr>
            <w:tcW w:w="2065" w:type="dxa"/>
            <w:shd w:val="clear" w:color="auto" w:fill="F4F7FC"/>
          </w:tcPr>
          <w:p>
            <w:pPr>
              <w:pStyle w:val="TableText"/>
            </w:pPr>
            <w:r>
              <w:rPr>
                <w:sz w:val="18"/>
                <w:szCs w:val="18"/>
              </w:rPr>
              <w:t xml:space="preserve">—</w:t>
            </w:r>
          </w:p>
        </w:tc>
        <w:tc>
          <w:tcPr>
            <w:tcW w:w="4405" w:type="dxa"/>
            <w:shd w:val="clear" w:color="auto" w:fill="F4F7FC"/>
          </w:tcPr>
          <w:p>
            <w:pPr>
              <w:pStyle w:val="TableText"/>
            </w:pPr>
            <w:r>
              <w:rPr>
                <w:sz w:val="18"/>
                <w:szCs w:val="18"/>
              </w:rPr>
              <w:t xml:space="preserve">Responsables de service : group ou user, departments, servers / products optionnels</w:t>
            </w:r>
          </w:p>
        </w:tc>
      </w:tr>
      <w:tr>
        <w:trPr>
          <w:cantSplit/>
        </w:trPr>
        <w:tc>
          <w:tcPr>
            <w:tcW w:w="3166" w:type="dxa"/>
          </w:tcPr>
          <w:p>
            <w:pPr>
              <w:pStyle w:val="TableText"/>
            </w:pPr>
            <w:r>
              <w:rPr>
                <w:sz w:val="18"/>
                <w:szCs w:val="18"/>
              </w:rPr>
              <w:t xml:space="preserve">roles.default</w:t>
            </w:r>
          </w:p>
        </w:tc>
        <w:tc>
          <w:tcPr>
            <w:tcW w:w="2065" w:type="dxa"/>
          </w:tcPr>
          <w:p>
            <w:pPr>
              <w:pStyle w:val="TableText"/>
            </w:pPr>
            <w:r>
              <w:rPr>
                <w:sz w:val="18"/>
                <w:szCs w:val="18"/>
              </w:rPr>
              <w:t xml:space="preserve">none</w:t>
            </w:r>
          </w:p>
        </w:tc>
        <w:tc>
          <w:tcPr>
            <w:tcW w:w="4405" w:type="dxa"/>
          </w:tcPr>
          <w:p>
            <w:pPr>
              <w:pStyle w:val="TableText"/>
            </w:pPr>
            <w:r>
              <w:rPr>
                <w:sz w:val="18"/>
                <w:szCs w:val="18"/>
              </w:rPr>
              <w:t xml:space="preserve">Utilisateur sans rôle : </w:t>
            </w:r>
            <w:r>
              <w:rPr>
                <w:rFonts w:ascii="Consolas" w:hAnsi="Consolas" w:cs="Consolas"/>
                <w:color w:val="1C5CAB"/>
                <w:sz w:val="18"/>
                <w:szCs w:val="18"/>
                <w:shd w:val="clear" w:color="auto" w:fill="EEF3FA"/>
              </w:rPr>
              <w:t xml:space="preserve">none</w:t>
            </w:r>
            <w:r>
              <w:rPr>
                <w:sz w:val="18"/>
                <w:szCs w:val="18"/>
              </w:rPr>
              <w:t xml:space="preserve"> (refusé) ou </w:t>
            </w:r>
            <w:r>
              <w:rPr>
                <w:rFonts w:ascii="Consolas" w:hAnsi="Consolas" w:cs="Consolas"/>
                <w:color w:val="1C5CAB"/>
                <w:sz w:val="18"/>
                <w:szCs w:val="18"/>
                <w:shd w:val="clear" w:color="auto" w:fill="EEF3FA"/>
              </w:rPr>
              <w:t xml:space="preserve">reader</w:t>
            </w:r>
          </w:p>
        </w:tc>
      </w:tr>
    </w:tbl>
    <w:p>
      <w:pPr>
        <w:spacing w:after="80"/>
      </w:pPr>
    </w:p>
    <w:p>
      <w:pPr>
        <w:pStyle w:val="Heading3"/>
      </w:pPr>
      <w:bookmarkStart w:id="60" w:name="_Toc00060"/>
      <w:r>
        <w:rPr/>
        <w:t xml:space="preserve">email</w:t>
      </w:r>
      <w:bookmarkEnd w:id="60"/>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304"/>
        <w:gridCol w:w="2065"/>
        <w:gridCol w:w="4268"/>
      </w:tblGrid>
      <w:tr>
        <w:trPr>
          <w:tblHeader/>
          <w:cantSplit/>
        </w:trPr>
        <w:tc>
          <w:tcPr>
            <w:tcW w:w="3304" w:type="dxa"/>
            <w:shd w:val="clear" w:color="auto" w:fill="2A78D6"/>
          </w:tcPr>
          <w:p>
            <w:pPr>
              <w:pStyle w:val="TableText"/>
            </w:pPr>
            <w:r>
              <w:rPr>
                <w:b/>
                <w:color w:val="FFFFFF"/>
                <w:sz w:val="18"/>
                <w:szCs w:val="18"/>
              </w:rPr>
              <w:t xml:space="preserve">Paramètre</w:t>
            </w:r>
          </w:p>
        </w:tc>
        <w:tc>
          <w:tcPr>
            <w:tcW w:w="2065" w:type="dxa"/>
            <w:shd w:val="clear" w:color="auto" w:fill="2A78D6"/>
          </w:tcPr>
          <w:p>
            <w:pPr>
              <w:pStyle w:val="TableText"/>
            </w:pPr>
            <w:r>
              <w:rPr>
                <w:b/>
                <w:color w:val="FFFFFF"/>
                <w:sz w:val="18"/>
                <w:szCs w:val="18"/>
              </w:rPr>
              <w:t xml:space="preserve">Défaut</w:t>
            </w:r>
          </w:p>
        </w:tc>
        <w:tc>
          <w:tcPr>
            <w:tcW w:w="4268" w:type="dxa"/>
            <w:shd w:val="clear" w:color="auto" w:fill="2A78D6"/>
          </w:tcPr>
          <w:p>
            <w:pPr>
              <w:pStyle w:val="TableText"/>
            </w:pPr>
            <w:r>
              <w:rPr>
                <w:b/>
                <w:color w:val="FFFFFF"/>
                <w:sz w:val="18"/>
                <w:szCs w:val="18"/>
              </w:rPr>
              <w:t xml:space="preserve">Description</w:t>
            </w:r>
          </w:p>
        </w:tc>
      </w:tr>
      <w:tr>
        <w:trPr>
          <w:cantSplit/>
        </w:trPr>
        <w:tc>
          <w:tcPr>
            <w:tcW w:w="3304" w:type="dxa"/>
          </w:tcPr>
          <w:p>
            <w:pPr>
              <w:pStyle w:val="TableText"/>
            </w:pPr>
            <w:r>
              <w:rPr>
                <w:sz w:val="18"/>
                <w:szCs w:val="18"/>
              </w:rPr>
              <w:t xml:space="preserve">smtp_host / smtp_port</w:t>
            </w:r>
          </w:p>
        </w:tc>
        <w:tc>
          <w:tcPr>
            <w:tcW w:w="2065" w:type="dxa"/>
          </w:tcPr>
          <w:p>
            <w:pPr>
              <w:pStyle w:val="TableText"/>
            </w:pPr>
            <w:r>
              <w:rPr>
                <w:sz w:val="18"/>
                <w:szCs w:val="18"/>
              </w:rPr>
              <w:t xml:space="preserve">— / 25</w:t>
            </w:r>
          </w:p>
        </w:tc>
        <w:tc>
          <w:tcPr>
            <w:tcW w:w="4268" w:type="dxa"/>
          </w:tcPr>
          <w:p>
            <w:pPr>
              <w:pStyle w:val="TableText"/>
            </w:pPr>
            <w:r>
              <w:rPr>
                <w:sz w:val="18"/>
                <w:szCs w:val="18"/>
              </w:rPr>
              <w:t xml:space="preserve">Relais SMTP (587 avec STARTTLS, 465 avec SSL)</w:t>
            </w:r>
          </w:p>
        </w:tc>
      </w:tr>
      <w:tr>
        <w:trPr>
          <w:cantSplit/>
        </w:trPr>
        <w:tc>
          <w:tcPr>
            <w:tcW w:w="3304" w:type="dxa"/>
            <w:shd w:val="clear" w:color="auto" w:fill="F4F7FC"/>
          </w:tcPr>
          <w:p>
            <w:pPr>
              <w:pStyle w:val="TableText"/>
            </w:pPr>
            <w:r>
              <w:rPr>
                <w:sz w:val="18"/>
                <w:szCs w:val="18"/>
              </w:rPr>
              <w:t xml:space="preserve">security</w:t>
            </w:r>
          </w:p>
        </w:tc>
        <w:tc>
          <w:tcPr>
            <w:tcW w:w="2065" w:type="dxa"/>
            <w:shd w:val="clear" w:color="auto" w:fill="F4F7FC"/>
          </w:tcPr>
          <w:p>
            <w:pPr>
              <w:pStyle w:val="TableText"/>
            </w:pPr>
            <w:r>
              <w:rPr>
                <w:sz w:val="18"/>
                <w:szCs w:val="18"/>
              </w:rPr>
              <w:t xml:space="preserve">starttls</w:t>
            </w:r>
          </w:p>
        </w:tc>
        <w:tc>
          <w:tcPr>
            <w:tcW w:w="4268" w:type="dxa"/>
            <w:shd w:val="clear" w:color="auto" w:fill="F4F7FC"/>
          </w:tcPr>
          <w:p>
            <w:pPr>
              <w:pStyle w:val="TableText"/>
            </w:pPr>
            <w:r>
              <w:rPr>
                <w:rFonts w:ascii="Consolas" w:hAnsi="Consolas" w:cs="Consolas"/>
                <w:color w:val="1C5CAB"/>
                <w:sz w:val="18"/>
                <w:szCs w:val="18"/>
                <w:shd w:val="clear" w:color="auto" w:fill="EEF3FA"/>
              </w:rPr>
              <w:t xml:space="preserve">starttls</w:t>
            </w:r>
            <w:r>
              <w:rPr>
                <w:sz w:val="18"/>
                <w:szCs w:val="18"/>
              </w:rPr>
              <w:t xml:space="preserve">, </w:t>
            </w:r>
            <w:r>
              <w:rPr>
                <w:rFonts w:ascii="Consolas" w:hAnsi="Consolas" w:cs="Consolas"/>
                <w:color w:val="1C5CAB"/>
                <w:sz w:val="18"/>
                <w:szCs w:val="18"/>
                <w:shd w:val="clear" w:color="auto" w:fill="EEF3FA"/>
              </w:rPr>
              <w:t xml:space="preserve">ssl</w:t>
            </w:r>
            <w:r>
              <w:rPr>
                <w:sz w:val="18"/>
                <w:szCs w:val="18"/>
              </w:rPr>
              <w:t xml:space="preserve"> ou </w:t>
            </w:r>
            <w:r>
              <w:rPr>
                <w:rFonts w:ascii="Consolas" w:hAnsi="Consolas" w:cs="Consolas"/>
                <w:color w:val="1C5CAB"/>
                <w:sz w:val="18"/>
                <w:szCs w:val="18"/>
                <w:shd w:val="clear" w:color="auto" w:fill="EEF3FA"/>
              </w:rPr>
              <w:t xml:space="preserve">none</w:t>
            </w:r>
            <w:r>
              <w:rPr>
                <w:sz w:val="18"/>
                <w:szCs w:val="18"/>
              </w:rPr>
              <w:t xml:space="preserve"> (none interdit avec authentification)</w:t>
            </w:r>
          </w:p>
        </w:tc>
      </w:tr>
      <w:tr>
        <w:trPr>
          <w:cantSplit/>
        </w:trPr>
        <w:tc>
          <w:tcPr>
            <w:tcW w:w="3304" w:type="dxa"/>
          </w:tcPr>
          <w:p>
            <w:pPr>
              <w:pStyle w:val="TableText"/>
            </w:pPr>
            <w:r>
              <w:rPr>
                <w:sz w:val="18"/>
                <w:szCs w:val="18"/>
              </w:rPr>
              <w:t xml:space="preserve">username / password</w:t>
            </w:r>
          </w:p>
        </w:tc>
        <w:tc>
          <w:tcPr>
            <w:tcW w:w="2065" w:type="dxa"/>
          </w:tcPr>
          <w:p>
            <w:pPr>
              <w:pStyle w:val="TableText"/>
            </w:pPr>
            <w:r>
              <w:rPr>
                <w:sz w:val="18"/>
                <w:szCs w:val="18"/>
              </w:rPr>
              <w:t xml:space="preserve">—</w:t>
            </w:r>
          </w:p>
        </w:tc>
        <w:tc>
          <w:tcPr>
            <w:tcW w:w="4268" w:type="dxa"/>
          </w:tcPr>
          <w:p>
            <w:pPr>
              <w:pStyle w:val="TableText"/>
            </w:pPr>
            <w:r>
              <w:rPr>
                <w:sz w:val="18"/>
                <w:szCs w:val="18"/>
              </w:rPr>
              <w:t xml:space="preserve">Authentification SMTP (mot de passe via variable d'environnement)</w:t>
            </w:r>
          </w:p>
        </w:tc>
      </w:tr>
      <w:tr>
        <w:trPr>
          <w:cantSplit/>
        </w:trPr>
        <w:tc>
          <w:tcPr>
            <w:tcW w:w="3304" w:type="dxa"/>
            <w:shd w:val="clear" w:color="auto" w:fill="F4F7FC"/>
          </w:tcPr>
          <w:p>
            <w:pPr>
              <w:pStyle w:val="TableText"/>
            </w:pPr>
            <w:r>
              <w:rPr>
                <w:sz w:val="18"/>
                <w:szCs w:val="18"/>
              </w:rPr>
              <w:t xml:space="preserve">sender</w:t>
            </w:r>
          </w:p>
        </w:tc>
        <w:tc>
          <w:tcPr>
            <w:tcW w:w="2065" w:type="dxa"/>
            <w:shd w:val="clear" w:color="auto" w:fill="F4F7FC"/>
          </w:tcPr>
          <w:p>
            <w:pPr>
              <w:pStyle w:val="TableText"/>
            </w:pPr>
            <w:r>
              <w:rPr>
                <w:sz w:val="18"/>
                <w:szCs w:val="18"/>
              </w:rPr>
              <w:t xml:space="preserve">HeptagonesLM &lt;heptagoneslm@localhost&gt;</w:t>
            </w:r>
          </w:p>
        </w:tc>
        <w:tc>
          <w:tcPr>
            <w:tcW w:w="4268" w:type="dxa"/>
            <w:shd w:val="clear" w:color="auto" w:fill="F4F7FC"/>
          </w:tcPr>
          <w:p>
            <w:pPr>
              <w:pStyle w:val="TableText"/>
            </w:pPr>
            <w:r>
              <w:rPr>
                <w:sz w:val="18"/>
                <w:szCs w:val="18"/>
              </w:rPr>
              <w:t xml:space="preserve">Expéditeur</w:t>
            </w:r>
          </w:p>
        </w:tc>
      </w:tr>
      <w:tr>
        <w:trPr>
          <w:cantSplit/>
        </w:trPr>
        <w:tc>
          <w:tcPr>
            <w:tcW w:w="3304" w:type="dxa"/>
          </w:tcPr>
          <w:p>
            <w:pPr>
              <w:pStyle w:val="TableText"/>
            </w:pPr>
            <w:r>
              <w:rPr>
                <w:sz w:val="18"/>
                <w:szCs w:val="18"/>
              </w:rPr>
              <w:t xml:space="preserve">max_attachment_mb</w:t>
            </w:r>
          </w:p>
        </w:tc>
        <w:tc>
          <w:tcPr>
            <w:tcW w:w="2065" w:type="dxa"/>
          </w:tcPr>
          <w:p>
            <w:pPr>
              <w:pStyle w:val="TableText"/>
            </w:pPr>
            <w:r>
              <w:rPr>
                <w:sz w:val="18"/>
                <w:szCs w:val="18"/>
              </w:rPr>
              <w:t xml:space="preserve">15</w:t>
            </w:r>
          </w:p>
        </w:tc>
        <w:tc>
          <w:tcPr>
            <w:tcW w:w="4268" w:type="dxa"/>
          </w:tcPr>
          <w:p>
            <w:pPr>
              <w:pStyle w:val="TableText"/>
            </w:pPr>
            <w:r>
              <w:rPr>
                <w:sz w:val="18"/>
                <w:szCs w:val="18"/>
              </w:rPr>
              <w:t xml:space="preserve">Taille maximale du classeur joint</w:t>
            </w:r>
          </w:p>
        </w:tc>
      </w:tr>
      <w:tr>
        <w:trPr>
          <w:cantSplit/>
        </w:trPr>
        <w:tc>
          <w:tcPr>
            <w:tcW w:w="3304" w:type="dxa"/>
            <w:shd w:val="clear" w:color="auto" w:fill="F4F7FC"/>
          </w:tcPr>
          <w:p>
            <w:pPr>
              <w:pStyle w:val="TableText"/>
            </w:pPr>
            <w:r>
              <w:rPr>
                <w:sz w:val="18"/>
                <w:szCs w:val="18"/>
              </w:rPr>
              <w:t xml:space="preserve">subscriptions[].name / recipients</w:t>
            </w:r>
          </w:p>
        </w:tc>
        <w:tc>
          <w:tcPr>
            <w:tcW w:w="2065" w:type="dxa"/>
            <w:shd w:val="clear" w:color="auto" w:fill="F4F7FC"/>
          </w:tcPr>
          <w:p>
            <w:pPr>
              <w:pStyle w:val="TableText"/>
            </w:pPr>
            <w:r>
              <w:rPr>
                <w:sz w:val="18"/>
                <w:szCs w:val="18"/>
              </w:rPr>
              <w:t xml:space="preserve">—</w:t>
            </w:r>
          </w:p>
        </w:tc>
        <w:tc>
          <w:tcPr>
            <w:tcW w:w="4268" w:type="dxa"/>
            <w:shd w:val="clear" w:color="auto" w:fill="F4F7FC"/>
          </w:tcPr>
          <w:p>
            <w:pPr>
              <w:pStyle w:val="TableText"/>
            </w:pPr>
            <w:r>
              <w:rPr>
                <w:sz w:val="18"/>
                <w:szCs w:val="18"/>
              </w:rPr>
              <w:t xml:space="preserve">Nom de l'abonnement et destinataires</w:t>
            </w:r>
          </w:p>
        </w:tc>
      </w:tr>
      <w:tr>
        <w:trPr>
          <w:cantSplit/>
        </w:trPr>
        <w:tc>
          <w:tcPr>
            <w:tcW w:w="3304" w:type="dxa"/>
          </w:tcPr>
          <w:p>
            <w:pPr>
              <w:pStyle w:val="TableText"/>
            </w:pPr>
            <w:r>
              <w:rPr>
                <w:sz w:val="18"/>
                <w:szCs w:val="18"/>
              </w:rPr>
              <w:t xml:space="preserve">subscriptions[].period</w:t>
            </w:r>
          </w:p>
        </w:tc>
        <w:tc>
          <w:tcPr>
            <w:tcW w:w="2065" w:type="dxa"/>
          </w:tcPr>
          <w:p>
            <w:pPr>
              <w:pStyle w:val="TableText"/>
            </w:pPr>
            <w:r>
              <w:rPr>
                <w:sz w:val="18"/>
                <w:szCs w:val="18"/>
              </w:rPr>
              <w:t xml:space="preserve">last-month</w:t>
            </w:r>
          </w:p>
        </w:tc>
        <w:tc>
          <w:tcPr>
            <w:tcW w:w="4268" w:type="dxa"/>
          </w:tcPr>
          <w:p>
            <w:pPr>
              <w:pStyle w:val="TableText"/>
            </w:pPr>
            <w:r>
              <w:rPr>
                <w:sz w:val="18"/>
                <w:szCs w:val="18"/>
              </w:rPr>
              <w:t xml:space="preserve">last-month, last-week, last-7d, this-month, last-year</w:t>
            </w:r>
          </w:p>
        </w:tc>
      </w:tr>
      <w:tr>
        <w:trPr>
          <w:cantSplit/>
        </w:trPr>
        <w:tc>
          <w:tcPr>
            <w:tcW w:w="3304" w:type="dxa"/>
            <w:shd w:val="clear" w:color="auto" w:fill="F4F7FC"/>
          </w:tcPr>
          <w:p>
            <w:pPr>
              <w:pStyle w:val="TableText"/>
            </w:pPr>
            <w:r>
              <w:rPr>
                <w:sz w:val="18"/>
                <w:szCs w:val="18"/>
              </w:rPr>
              <w:t xml:space="preserve">subscriptions[].servers / products</w:t>
            </w:r>
          </w:p>
        </w:tc>
        <w:tc>
          <w:tcPr>
            <w:tcW w:w="2065" w:type="dxa"/>
            <w:shd w:val="clear" w:color="auto" w:fill="F4F7FC"/>
          </w:tcPr>
          <w:p>
            <w:pPr>
              <w:pStyle w:val="TableText"/>
            </w:pPr>
            <w:r>
              <w:rPr>
                <w:sz w:val="18"/>
                <w:szCs w:val="18"/>
              </w:rPr>
              <w:t xml:space="preserve">[]</w:t>
            </w:r>
          </w:p>
        </w:tc>
        <w:tc>
          <w:tcPr>
            <w:tcW w:w="4268" w:type="dxa"/>
            <w:shd w:val="clear" w:color="auto" w:fill="F4F7FC"/>
          </w:tcPr>
          <w:p>
            <w:pPr>
              <w:pStyle w:val="TableText"/>
            </w:pPr>
            <w:r>
              <w:rPr>
                <w:sz w:val="18"/>
                <w:szCs w:val="18"/>
              </w:rPr>
              <w:t xml:space="preserve">Filtres optionnels</w:t>
            </w:r>
          </w:p>
        </w:tc>
      </w:tr>
      <w:tr>
        <w:trPr>
          <w:cantSplit/>
        </w:trPr>
        <w:tc>
          <w:tcPr>
            <w:tcW w:w="3304" w:type="dxa"/>
          </w:tcPr>
          <w:p>
            <w:pPr>
              <w:pStyle w:val="TableText"/>
            </w:pPr>
            <w:r>
              <w:rPr>
                <w:sz w:val="18"/>
                <w:szCs w:val="18"/>
              </w:rPr>
              <w:t xml:space="preserve">subscriptions[].attach_excel / subject</w:t>
            </w:r>
          </w:p>
        </w:tc>
        <w:tc>
          <w:tcPr>
            <w:tcW w:w="2065" w:type="dxa"/>
          </w:tcPr>
          <w:p>
            <w:pPr>
              <w:pStyle w:val="TableText"/>
            </w:pPr>
            <w:r>
              <w:rPr>
                <w:sz w:val="18"/>
                <w:szCs w:val="18"/>
              </w:rPr>
              <w:t xml:space="preserve">true / —</w:t>
            </w:r>
          </w:p>
        </w:tc>
        <w:tc>
          <w:tcPr>
            <w:tcW w:w="4268" w:type="dxa"/>
          </w:tcPr>
          <w:p>
            <w:pPr>
              <w:pStyle w:val="TableText"/>
            </w:pPr>
            <w:r>
              <w:rPr>
                <w:sz w:val="18"/>
                <w:szCs w:val="18"/>
              </w:rPr>
              <w:t xml:space="preserve">Joindre le classeur ; objet personnalisé</w:t>
            </w:r>
          </w:p>
        </w:tc>
      </w:tr>
    </w:tbl>
    <w:p>
      <w:pPr>
        <w:spacing w:after="80"/>
      </w:pPr>
    </w:p>
    <w:p>
      <w:pPr>
        <w:pStyle w:val="Heading3"/>
      </w:pPr>
      <w:bookmarkStart w:id="61" w:name="_Toc00061"/>
      <w:r>
        <w:rPr/>
        <w:t xml:space="preserve">alerts (alertes immédiates et tickets ITSM)</w:t>
      </w:r>
      <w:bookmarkEnd w:id="61"/>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304"/>
        <w:gridCol w:w="2065"/>
        <w:gridCol w:w="4268"/>
      </w:tblGrid>
      <w:tr>
        <w:trPr>
          <w:tblHeader/>
          <w:cantSplit/>
        </w:trPr>
        <w:tc>
          <w:tcPr>
            <w:tcW w:w="3304" w:type="dxa"/>
            <w:shd w:val="clear" w:color="auto" w:fill="2A78D6"/>
          </w:tcPr>
          <w:p>
            <w:pPr>
              <w:pStyle w:val="TableText"/>
            </w:pPr>
            <w:r>
              <w:rPr>
                <w:b/>
                <w:color w:val="FFFFFF"/>
                <w:sz w:val="18"/>
                <w:szCs w:val="18"/>
              </w:rPr>
              <w:t xml:space="preserve">Paramètre</w:t>
            </w:r>
          </w:p>
        </w:tc>
        <w:tc>
          <w:tcPr>
            <w:tcW w:w="2065" w:type="dxa"/>
            <w:shd w:val="clear" w:color="auto" w:fill="2A78D6"/>
          </w:tcPr>
          <w:p>
            <w:pPr>
              <w:pStyle w:val="TableText"/>
            </w:pPr>
            <w:r>
              <w:rPr>
                <w:b/>
                <w:color w:val="FFFFFF"/>
                <w:sz w:val="18"/>
                <w:szCs w:val="18"/>
              </w:rPr>
              <w:t xml:space="preserve">Défaut</w:t>
            </w:r>
          </w:p>
        </w:tc>
        <w:tc>
          <w:tcPr>
            <w:tcW w:w="4268" w:type="dxa"/>
            <w:shd w:val="clear" w:color="auto" w:fill="2A78D6"/>
          </w:tcPr>
          <w:p>
            <w:pPr>
              <w:pStyle w:val="TableText"/>
            </w:pPr>
            <w:r>
              <w:rPr>
                <w:b/>
                <w:color w:val="FFFFFF"/>
                <w:sz w:val="18"/>
                <w:szCs w:val="18"/>
              </w:rPr>
              <w:t xml:space="preserve">Description</w:t>
            </w:r>
          </w:p>
        </w:tc>
      </w:tr>
      <w:tr>
        <w:trPr>
          <w:cantSplit/>
        </w:trPr>
        <w:tc>
          <w:tcPr>
            <w:tcW w:w="3304" w:type="dxa"/>
          </w:tcPr>
          <w:p>
            <w:pPr>
              <w:pStyle w:val="TableText"/>
            </w:pPr>
            <w:r>
              <w:rPr>
                <w:sz w:val="18"/>
                <w:szCs w:val="18"/>
              </w:rPr>
              <w:t xml:space="preserve">recipients</w:t>
            </w:r>
          </w:p>
        </w:tc>
        <w:tc>
          <w:tcPr>
            <w:tcW w:w="2065" w:type="dxa"/>
          </w:tcPr>
          <w:p>
            <w:pPr>
              <w:pStyle w:val="TableText"/>
            </w:pPr>
            <w:r>
              <w:rPr>
                <w:sz w:val="18"/>
                <w:szCs w:val="18"/>
              </w:rPr>
              <w:t xml:space="preserve">[]</w:t>
            </w:r>
          </w:p>
        </w:tc>
        <w:tc>
          <w:tcPr>
            <w:tcW w:w="4268" w:type="dxa"/>
          </w:tcPr>
          <w:p>
            <w:pPr>
              <w:pStyle w:val="TableText"/>
            </w:pPr>
            <w:r>
              <w:rPr>
                <w:sz w:val="18"/>
                <w:szCs w:val="18"/>
              </w:rPr>
              <w:t xml:space="preserve">Destinataires e-mail (nécessite email.smtp_host) ; vide : pas d'e-mail</w:t>
            </w:r>
          </w:p>
        </w:tc>
      </w:tr>
      <w:tr>
        <w:trPr>
          <w:cantSplit/>
        </w:trPr>
        <w:tc>
          <w:tcPr>
            <w:tcW w:w="3304" w:type="dxa"/>
            <w:shd w:val="clear" w:color="auto" w:fill="F4F7FC"/>
          </w:tcPr>
          <w:p>
            <w:pPr>
              <w:pStyle w:val="TableText"/>
            </w:pPr>
            <w:r>
              <w:rPr>
                <w:sz w:val="18"/>
                <w:szCs w:val="18"/>
              </w:rPr>
              <w:t xml:space="preserve">types</w:t>
            </w:r>
          </w:p>
        </w:tc>
        <w:tc>
          <w:tcPr>
            <w:tcW w:w="2065" w:type="dxa"/>
            <w:shd w:val="clear" w:color="auto" w:fill="F4F7FC"/>
          </w:tcPr>
          <w:p>
            <w:pPr>
              <w:pStyle w:val="TableText"/>
            </w:pPr>
            <w:r>
              <w:rPr>
                <w:sz w:val="18"/>
                <w:szCs w:val="18"/>
              </w:rPr>
              <w:t xml:space="preserve">toutes</w:t>
            </w:r>
          </w:p>
        </w:tc>
        <w:tc>
          <w:tcPr>
            <w:tcW w:w="4268" w:type="dxa"/>
            <w:shd w:val="clear" w:color="auto" w:fill="F4F7FC"/>
          </w:tcPr>
          <w:p>
            <w:pPr>
              <w:pStyle w:val="TableText"/>
            </w:pPr>
            <w:r>
              <w:rPr>
                <w:sz w:val="18"/>
                <w:szCs w:val="18"/>
              </w:rPr>
              <w:t xml:space="preserve">collection, denial, saturation, expiry</w:t>
            </w:r>
          </w:p>
        </w:tc>
      </w:tr>
      <w:tr>
        <w:trPr>
          <w:cantSplit/>
        </w:trPr>
        <w:tc>
          <w:tcPr>
            <w:tcW w:w="3304" w:type="dxa"/>
          </w:tcPr>
          <w:p>
            <w:pPr>
              <w:pStyle w:val="TableText"/>
            </w:pPr>
            <w:r>
              <w:rPr>
                <w:sz w:val="18"/>
                <w:szCs w:val="18"/>
              </w:rPr>
              <w:t xml:space="preserve">servers / products</w:t>
            </w:r>
          </w:p>
        </w:tc>
        <w:tc>
          <w:tcPr>
            <w:tcW w:w="2065" w:type="dxa"/>
          </w:tcPr>
          <w:p>
            <w:pPr>
              <w:pStyle w:val="TableText"/>
            </w:pPr>
            <w:r>
              <w:rPr>
                <w:sz w:val="18"/>
                <w:szCs w:val="18"/>
              </w:rPr>
              <w:t xml:space="preserve">[]</w:t>
            </w:r>
          </w:p>
        </w:tc>
        <w:tc>
          <w:tcPr>
            <w:tcW w:w="4268" w:type="dxa"/>
          </w:tcPr>
          <w:p>
            <w:pPr>
              <w:pStyle w:val="TableText"/>
            </w:pPr>
            <w:r>
              <w:rPr>
                <w:sz w:val="18"/>
                <w:szCs w:val="18"/>
              </w:rPr>
              <w:t xml:space="preserve">Filtres optionnels</w:t>
            </w:r>
          </w:p>
        </w:tc>
      </w:tr>
      <w:tr>
        <w:trPr>
          <w:cantSplit/>
        </w:trPr>
        <w:tc>
          <w:tcPr>
            <w:tcW w:w="3304" w:type="dxa"/>
            <w:shd w:val="clear" w:color="auto" w:fill="F4F7FC"/>
          </w:tcPr>
          <w:p>
            <w:pPr>
              <w:pStyle w:val="TableText"/>
            </w:pPr>
            <w:r>
              <w:rPr>
                <w:sz w:val="18"/>
                <w:szCs w:val="18"/>
              </w:rPr>
              <w:t xml:space="preserve">expiry_days</w:t>
            </w:r>
          </w:p>
        </w:tc>
        <w:tc>
          <w:tcPr>
            <w:tcW w:w="2065" w:type="dxa"/>
            <w:shd w:val="clear" w:color="auto" w:fill="F4F7FC"/>
          </w:tcPr>
          <w:p>
            <w:pPr>
              <w:pStyle w:val="TableText"/>
            </w:pPr>
            <w:r>
              <w:rPr>
                <w:sz w:val="18"/>
                <w:szCs w:val="18"/>
              </w:rPr>
              <w:t xml:space="preserve">30</w:t>
            </w:r>
          </w:p>
        </w:tc>
        <w:tc>
          <w:tcPr>
            <w:tcW w:w="4268" w:type="dxa"/>
            <w:shd w:val="clear" w:color="auto" w:fill="F4F7FC"/>
          </w:tcPr>
          <w:p>
            <w:pPr>
              <w:pStyle w:val="TableText"/>
            </w:pPr>
            <w:r>
              <w:rPr>
                <w:sz w:val="18"/>
                <w:szCs w:val="18"/>
              </w:rPr>
              <w:t xml:space="preserve">Préavis avant l'échéance d'une licence (puis J-7 et expiration)</w:t>
            </w:r>
          </w:p>
        </w:tc>
      </w:tr>
      <w:tr>
        <w:trPr>
          <w:cantSplit/>
        </w:trPr>
        <w:tc>
          <w:tcPr>
            <w:tcW w:w="3304" w:type="dxa"/>
          </w:tcPr>
          <w:p>
            <w:pPr>
              <w:pStyle w:val="TableText"/>
            </w:pPr>
            <w:r>
              <w:rPr>
                <w:sz w:val="18"/>
                <w:szCs w:val="18"/>
              </w:rPr>
              <w:t xml:space="preserve">repeat_hours</w:t>
            </w:r>
          </w:p>
        </w:tc>
        <w:tc>
          <w:tcPr>
            <w:tcW w:w="2065" w:type="dxa"/>
          </w:tcPr>
          <w:p>
            <w:pPr>
              <w:pStyle w:val="TableText"/>
            </w:pPr>
            <w:r>
              <w:rPr>
                <w:sz w:val="18"/>
                <w:szCs w:val="18"/>
              </w:rPr>
              <w:t xml:space="preserve">24</w:t>
            </w:r>
          </w:p>
        </w:tc>
        <w:tc>
          <w:tcPr>
            <w:tcW w:w="4268" w:type="dxa"/>
          </w:tcPr>
          <w:p>
            <w:pPr>
              <w:pStyle w:val="TableText"/>
            </w:pPr>
            <w:r>
              <w:rPr>
                <w:sz w:val="18"/>
                <w:szCs w:val="18"/>
              </w:rPr>
              <w:t xml:space="preserve">Rappel d'une alerte toujours présente (et commentaire sur le ticket)</w:t>
            </w:r>
          </w:p>
        </w:tc>
      </w:tr>
      <w:tr>
        <w:trPr>
          <w:cantSplit/>
        </w:trPr>
        <w:tc>
          <w:tcPr>
            <w:tcW w:w="3304" w:type="dxa"/>
            <w:shd w:val="clear" w:color="auto" w:fill="F4F7FC"/>
          </w:tcPr>
          <w:p>
            <w:pPr>
              <w:pStyle w:val="TableText"/>
            </w:pPr>
            <w:r>
              <w:rPr>
                <w:sz w:val="18"/>
                <w:szCs w:val="18"/>
              </w:rPr>
              <w:t xml:space="preserve">min_denials</w:t>
            </w:r>
          </w:p>
        </w:tc>
        <w:tc>
          <w:tcPr>
            <w:tcW w:w="2065" w:type="dxa"/>
            <w:shd w:val="clear" w:color="auto" w:fill="F4F7FC"/>
          </w:tcPr>
          <w:p>
            <w:pPr>
              <w:pStyle w:val="TableText"/>
            </w:pPr>
            <w:r>
              <w:rPr>
                <w:sz w:val="18"/>
                <w:szCs w:val="18"/>
              </w:rPr>
              <w:t xml:space="preserve">1</w:t>
            </w:r>
          </w:p>
        </w:tc>
        <w:tc>
          <w:tcPr>
            <w:tcW w:w="4268" w:type="dxa"/>
            <w:shd w:val="clear" w:color="auto" w:fill="F4F7FC"/>
          </w:tcPr>
          <w:p>
            <w:pPr>
              <w:pStyle w:val="TableText"/>
            </w:pPr>
            <w:r>
              <w:rPr>
                <w:sz w:val="18"/>
                <w:szCs w:val="18"/>
              </w:rPr>
              <w:t xml:space="preserve">Refus minimum pour alerter sur un produit</w:t>
            </w:r>
          </w:p>
        </w:tc>
      </w:tr>
      <w:tr>
        <w:trPr>
          <w:cantSplit/>
        </w:trPr>
        <w:tc>
          <w:tcPr>
            <w:tcW w:w="3304" w:type="dxa"/>
          </w:tcPr>
          <w:p>
            <w:pPr>
              <w:pStyle w:val="TableText"/>
            </w:pPr>
            <w:r>
              <w:rPr>
                <w:sz w:val="18"/>
                <w:szCs w:val="18"/>
              </w:rPr>
              <w:t xml:space="preserve">itsm[].type / url</w:t>
            </w:r>
          </w:p>
        </w:tc>
        <w:tc>
          <w:tcPr>
            <w:tcW w:w="2065" w:type="dxa"/>
          </w:tcPr>
          <w:p>
            <w:pPr>
              <w:pStyle w:val="TableText"/>
            </w:pPr>
            <w:r>
              <w:rPr>
                <w:sz w:val="18"/>
                <w:szCs w:val="18"/>
              </w:rPr>
              <w:t xml:space="preserve">—</w:t>
            </w:r>
          </w:p>
        </w:tc>
        <w:tc>
          <w:tcPr>
            <w:tcW w:w="4268" w:type="dxa"/>
          </w:tcPr>
          <w:p>
            <w:pPr>
              <w:pStyle w:val="TableText"/>
            </w:pPr>
            <w:r>
              <w:rPr>
                <w:rFonts w:ascii="Consolas" w:hAnsi="Consolas" w:cs="Consolas"/>
                <w:color w:val="1C5CAB"/>
                <w:sz w:val="18"/>
                <w:szCs w:val="18"/>
                <w:shd w:val="clear" w:color="auto" w:fill="EEF3FA"/>
              </w:rPr>
              <w:t xml:space="preserve">servicenow</w:t>
            </w:r>
            <w:r>
              <w:rPr>
                <w:sz w:val="18"/>
                <w:szCs w:val="18"/>
              </w:rPr>
              <w:t xml:space="preserve">, </w:t>
            </w:r>
            <w:r>
              <w:rPr>
                <w:rFonts w:ascii="Consolas" w:hAnsi="Consolas" w:cs="Consolas"/>
                <w:color w:val="1C5CAB"/>
                <w:sz w:val="18"/>
                <w:szCs w:val="18"/>
                <w:shd w:val="clear" w:color="auto" w:fill="EEF3FA"/>
              </w:rPr>
              <w:t xml:space="preserve">jira</w:t>
            </w:r>
            <w:r>
              <w:rPr>
                <w:sz w:val="18"/>
                <w:szCs w:val="18"/>
              </w:rPr>
              <w:t xml:space="preserve">, </w:t>
            </w:r>
            <w:r>
              <w:rPr>
                <w:rFonts w:ascii="Consolas" w:hAnsi="Consolas" w:cs="Consolas"/>
                <w:color w:val="1C5CAB"/>
                <w:sz w:val="18"/>
                <w:szCs w:val="18"/>
                <w:shd w:val="clear" w:color="auto" w:fill="EEF3FA"/>
              </w:rPr>
              <w:t xml:space="preserve">glpi</w:t>
            </w:r>
            <w:r>
              <w:rPr>
                <w:sz w:val="18"/>
                <w:szCs w:val="18"/>
              </w:rPr>
              <w:t xml:space="preserve"> ou </w:t>
            </w:r>
            <w:r>
              <w:rPr>
                <w:rFonts w:ascii="Consolas" w:hAnsi="Consolas" w:cs="Consolas"/>
                <w:color w:val="1C5CAB"/>
                <w:sz w:val="18"/>
                <w:szCs w:val="18"/>
                <w:shd w:val="clear" w:color="auto" w:fill="EEF3FA"/>
              </w:rPr>
              <w:t xml:space="preserve">webhook</w:t>
            </w:r>
            <w:r>
              <w:rPr>
                <w:sz w:val="18"/>
                <w:szCs w:val="18"/>
              </w:rPr>
              <w:t xml:space="preserve"> ; adresse https://</w:t>
            </w:r>
          </w:p>
        </w:tc>
      </w:tr>
      <w:tr>
        <w:trPr>
          <w:cantSplit/>
        </w:trPr>
        <w:tc>
          <w:tcPr>
            <w:tcW w:w="3304" w:type="dxa"/>
            <w:shd w:val="clear" w:color="auto" w:fill="F4F7FC"/>
          </w:tcPr>
          <w:p>
            <w:pPr>
              <w:pStyle w:val="TableText"/>
            </w:pPr>
            <w:r>
              <w:rPr>
                <w:sz w:val="18"/>
                <w:szCs w:val="18"/>
              </w:rPr>
              <w:t xml:space="preserve">itsm[].username / password / token</w:t>
            </w:r>
          </w:p>
        </w:tc>
        <w:tc>
          <w:tcPr>
            <w:tcW w:w="2065" w:type="dxa"/>
            <w:shd w:val="clear" w:color="auto" w:fill="F4F7FC"/>
          </w:tcPr>
          <w:p>
            <w:pPr>
              <w:pStyle w:val="TableText"/>
            </w:pPr>
            <w:r>
              <w:rPr>
                <w:sz w:val="18"/>
                <w:szCs w:val="18"/>
              </w:rPr>
              <w:t xml:space="preserve">—</w:t>
            </w:r>
          </w:p>
        </w:tc>
        <w:tc>
          <w:tcPr>
            <w:tcW w:w="4268" w:type="dxa"/>
            <w:shd w:val="clear" w:color="auto" w:fill="F4F7FC"/>
          </w:tcPr>
          <w:p>
            <w:pPr>
              <w:pStyle w:val="TableText"/>
            </w:pPr>
            <w:r>
              <w:rPr>
                <w:sz w:val="18"/>
                <w:szCs w:val="18"/>
              </w:rPr>
              <w:t xml:space="preserve">ServiceNow : compte + mot de passe ; Jira : e-mail + jeton (Cloud) ou jeton seul (Data Center)</w:t>
            </w:r>
          </w:p>
        </w:tc>
      </w:tr>
      <w:tr>
        <w:trPr>
          <w:cantSplit/>
        </w:trPr>
        <w:tc>
          <w:tcPr>
            <w:tcW w:w="3304" w:type="dxa"/>
          </w:tcPr>
          <w:p>
            <w:pPr>
              <w:pStyle w:val="TableText"/>
            </w:pPr>
            <w:r>
              <w:rPr>
                <w:sz w:val="18"/>
                <w:szCs w:val="18"/>
              </w:rPr>
              <w:t xml:space="preserve">itsm[].app_token / user_token</w:t>
            </w:r>
          </w:p>
        </w:tc>
        <w:tc>
          <w:tcPr>
            <w:tcW w:w="2065" w:type="dxa"/>
          </w:tcPr>
          <w:p>
            <w:pPr>
              <w:pStyle w:val="TableText"/>
            </w:pPr>
            <w:r>
              <w:rPr>
                <w:sz w:val="18"/>
                <w:szCs w:val="18"/>
              </w:rPr>
              <w:t xml:space="preserve">—</w:t>
            </w:r>
          </w:p>
        </w:tc>
        <w:tc>
          <w:tcPr>
            <w:tcW w:w="4268" w:type="dxa"/>
          </w:tcPr>
          <w:p>
            <w:pPr>
              <w:pStyle w:val="TableText"/>
            </w:pPr>
            <w:r>
              <w:rPr>
                <w:sz w:val="18"/>
                <w:szCs w:val="18"/>
              </w:rPr>
              <w:t xml:space="preserve">GLPI : jetons d'application et d'utilisateur</w:t>
            </w:r>
          </w:p>
        </w:tc>
      </w:tr>
      <w:tr>
        <w:trPr>
          <w:cantSplit/>
        </w:trPr>
        <w:tc>
          <w:tcPr>
            <w:tcW w:w="3304" w:type="dxa"/>
            <w:shd w:val="clear" w:color="auto" w:fill="F4F7FC"/>
          </w:tcPr>
          <w:p>
            <w:pPr>
              <w:pStyle w:val="TableText"/>
            </w:pPr>
            <w:r>
              <w:rPr>
                <w:sz w:val="18"/>
                <w:szCs w:val="18"/>
              </w:rPr>
              <w:t xml:space="preserve">itsm[].project / issue_type</w:t>
            </w:r>
          </w:p>
        </w:tc>
        <w:tc>
          <w:tcPr>
            <w:tcW w:w="2065" w:type="dxa"/>
            <w:shd w:val="clear" w:color="auto" w:fill="F4F7FC"/>
          </w:tcPr>
          <w:p>
            <w:pPr>
              <w:pStyle w:val="TableText"/>
            </w:pPr>
            <w:r>
              <w:rPr>
                <w:sz w:val="18"/>
                <w:szCs w:val="18"/>
              </w:rPr>
              <w:t xml:space="preserve">— / Incident</w:t>
            </w:r>
          </w:p>
        </w:tc>
        <w:tc>
          <w:tcPr>
            <w:tcW w:w="4268" w:type="dxa"/>
            <w:shd w:val="clear" w:color="auto" w:fill="F4F7FC"/>
          </w:tcPr>
          <w:p>
            <w:pPr>
              <w:pStyle w:val="TableText"/>
            </w:pPr>
            <w:r>
              <w:rPr>
                <w:sz w:val="18"/>
                <w:szCs w:val="18"/>
              </w:rPr>
              <w:t xml:space="preserve">Jira : projet et type de ticket</w:t>
            </w:r>
          </w:p>
        </w:tc>
      </w:tr>
      <w:tr>
        <w:trPr>
          <w:cantSplit/>
        </w:trPr>
        <w:tc>
          <w:tcPr>
            <w:tcW w:w="3304" w:type="dxa"/>
          </w:tcPr>
          <w:p>
            <w:pPr>
              <w:pStyle w:val="TableText"/>
            </w:pPr>
            <w:r>
              <w:rPr>
                <w:sz w:val="18"/>
                <w:szCs w:val="18"/>
              </w:rPr>
              <w:t xml:space="preserve">itsm[].assignment_group / caller</w:t>
            </w:r>
          </w:p>
        </w:tc>
        <w:tc>
          <w:tcPr>
            <w:tcW w:w="2065" w:type="dxa"/>
          </w:tcPr>
          <w:p>
            <w:pPr>
              <w:pStyle w:val="TableText"/>
            </w:pPr>
            <w:r>
              <w:rPr>
                <w:sz w:val="18"/>
                <w:szCs w:val="18"/>
              </w:rPr>
              <w:t xml:space="preserve">—</w:t>
            </w:r>
          </w:p>
        </w:tc>
        <w:tc>
          <w:tcPr>
            <w:tcW w:w="4268" w:type="dxa"/>
          </w:tcPr>
          <w:p>
            <w:pPr>
              <w:pStyle w:val="TableText"/>
            </w:pPr>
            <w:r>
              <w:rPr>
                <w:sz w:val="18"/>
                <w:szCs w:val="18"/>
              </w:rPr>
              <w:t xml:space="preserve">ServiceNow : groupe d'affectation, appelant</w:t>
            </w:r>
          </w:p>
        </w:tc>
      </w:tr>
      <w:tr>
        <w:trPr>
          <w:cantSplit/>
        </w:trPr>
        <w:tc>
          <w:tcPr>
            <w:tcW w:w="3304" w:type="dxa"/>
            <w:shd w:val="clear" w:color="auto" w:fill="F4F7FC"/>
          </w:tcPr>
          <w:p>
            <w:pPr>
              <w:pStyle w:val="TableText"/>
            </w:pPr>
            <w:r>
              <w:rPr>
                <w:sz w:val="18"/>
                <w:szCs w:val="18"/>
              </w:rPr>
              <w:t xml:space="preserve">itsm[].format / headers</w:t>
            </w:r>
          </w:p>
        </w:tc>
        <w:tc>
          <w:tcPr>
            <w:tcW w:w="2065" w:type="dxa"/>
            <w:shd w:val="clear" w:color="auto" w:fill="F4F7FC"/>
          </w:tcPr>
          <w:p>
            <w:pPr>
              <w:pStyle w:val="TableText"/>
            </w:pPr>
            <w:r>
              <w:rPr>
                <w:sz w:val="18"/>
                <w:szCs w:val="18"/>
              </w:rPr>
              <w:t xml:space="preserve">json / —</w:t>
            </w:r>
          </w:p>
        </w:tc>
        <w:tc>
          <w:tcPr>
            <w:tcW w:w="4268" w:type="dxa"/>
            <w:shd w:val="clear" w:color="auto" w:fill="F4F7FC"/>
          </w:tcPr>
          <w:p>
            <w:pPr>
              <w:pStyle w:val="TableText"/>
            </w:pPr>
            <w:r>
              <w:rPr>
                <w:sz w:val="18"/>
                <w:szCs w:val="18"/>
              </w:rPr>
              <w:t xml:space="preserve">Webhook : json, teams, slack ; en-têtes (authentification)</w:t>
            </w:r>
          </w:p>
        </w:tc>
      </w:tr>
      <w:tr>
        <w:trPr>
          <w:cantSplit/>
        </w:trPr>
        <w:tc>
          <w:tcPr>
            <w:tcW w:w="3304" w:type="dxa"/>
          </w:tcPr>
          <w:p>
            <w:pPr>
              <w:pStyle w:val="TableText"/>
            </w:pPr>
            <w:r>
              <w:rPr>
                <w:sz w:val="18"/>
                <w:szCs w:val="18"/>
              </w:rPr>
              <w:t xml:space="preserve">itsm[].min_severity</w:t>
            </w:r>
          </w:p>
        </w:tc>
        <w:tc>
          <w:tcPr>
            <w:tcW w:w="2065" w:type="dxa"/>
          </w:tcPr>
          <w:p>
            <w:pPr>
              <w:pStyle w:val="TableText"/>
            </w:pPr>
            <w:r>
              <w:rPr>
                <w:sz w:val="18"/>
                <w:szCs w:val="18"/>
              </w:rPr>
              <w:t xml:space="preserve">serious</w:t>
            </w:r>
          </w:p>
        </w:tc>
        <w:tc>
          <w:tcPr>
            <w:tcW w:w="4268" w:type="dxa"/>
          </w:tcPr>
          <w:p>
            <w:pPr>
              <w:pStyle w:val="TableText"/>
            </w:pPr>
            <w:r>
              <w:rPr>
                <w:sz w:val="18"/>
                <w:szCs w:val="18"/>
              </w:rPr>
              <w:t xml:space="preserve">Gravité minimale pour ouvrir un ticket (info, warning, serious, critical)</w:t>
            </w:r>
          </w:p>
        </w:tc>
      </w:tr>
    </w:tbl>
    <w:p>
      <w:pPr>
        <w:spacing w:after="80"/>
      </w:pPr>
    </w:p>
    <w:p>
      <w:pPr>
        <w:pStyle w:val="Heading3"/>
      </w:pPr>
      <w:bookmarkStart w:id="62" w:name="_Toc00062"/>
      <w:r>
        <w:rPr/>
        <w:t xml:space="preserve">sites</w:t>
      </w:r>
      <w:bookmarkEnd w:id="62"/>
    </w:p>
    <w:p>
      <w:pPr/>
      <w:r>
        <w:rPr/>
        <w:t xml:space="preserve">Liste de règles </w:t>
      </w:r>
      <w:r>
        <w:rPr>
          <w:rFonts w:ascii="Consolas" w:hAnsi="Consolas" w:cs="Consolas"/>
          <w:color w:val="1C5CAB"/>
          <w:sz w:val="18"/>
          <w:szCs w:val="18"/>
          <w:shd w:val="clear" w:color="auto" w:fill="EEF3FA"/>
        </w:rPr>
        <w:t xml:space="preserve">{pattern, site}</w:t>
      </w:r>
      <w:r>
        <w:rPr/>
        <w:t xml:space="preserve"> : motif (fnmatch, insensible à la casse) sur le nom du poste ; la première règle trouvée donne le site. Filtre et répartition « Site » dans l'interface ; </w:t>
      </w:r>
      <w:r>
        <w:rPr>
          <w:rFonts w:ascii="Consolas" w:hAnsi="Consolas" w:cs="Consolas"/>
          <w:color w:val="1C5CAB"/>
          <w:sz w:val="18"/>
          <w:szCs w:val="18"/>
          <w:shd w:val="clear" w:color="auto" w:fill="EEF3FA"/>
        </w:rPr>
        <w:t xml:space="preserve">apply-products</w:t>
      </w:r>
      <w:r>
        <w:rPr/>
        <w:t xml:space="preserve"> réapplique les règles à l'historique.</w:t>
      </w:r>
    </w:p>
    <w:p>
      <w:pPr>
        <w:pStyle w:val="Heading3"/>
      </w:pPr>
      <w:bookmarkStart w:id="63" w:name="_Toc00063"/>
      <w:r>
        <w:rPr/>
        <w:t xml:space="preserve">autodesk (licences « utilisateur nommé »)</w:t>
      </w:r>
      <w:bookmarkEnd w:id="63"/>
    </w:p>
    <w:p>
      <w:pPr/>
      <w:r>
        <w:rPr/>
        <w:t xml:space="preserve">Abonnements Autodesk nominatifs (sans serveur de licences) : l'usage est exporté depuis le portail Autodesk Account (Reporting › Usage report › Export, CSV ou Excel) puis importé par HeptagonesLM.</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202"/>
        <w:gridCol w:w="1376"/>
        <w:gridCol w:w="6058"/>
      </w:tblGrid>
      <w:tr>
        <w:trPr>
          <w:tblHeader/>
          <w:cantSplit/>
        </w:trPr>
        <w:tc>
          <w:tcPr>
            <w:tcW w:w="2202" w:type="dxa"/>
            <w:shd w:val="clear" w:color="auto" w:fill="2A78D6"/>
          </w:tcPr>
          <w:p>
            <w:pPr>
              <w:pStyle w:val="TableText"/>
            </w:pPr>
            <w:r>
              <w:rPr>
                <w:b/>
                <w:color w:val="FFFFFF"/>
                <w:sz w:val="18"/>
                <w:szCs w:val="18"/>
              </w:rPr>
              <w:t xml:space="preserve">Paramètre</w:t>
            </w:r>
          </w:p>
        </w:tc>
        <w:tc>
          <w:tcPr>
            <w:tcW w:w="1376" w:type="dxa"/>
            <w:shd w:val="clear" w:color="auto" w:fill="2A78D6"/>
          </w:tcPr>
          <w:p>
            <w:pPr>
              <w:pStyle w:val="TableText"/>
            </w:pPr>
            <w:r>
              <w:rPr>
                <w:b/>
                <w:color w:val="FFFFFF"/>
                <w:sz w:val="18"/>
                <w:szCs w:val="18"/>
              </w:rPr>
              <w:t xml:space="preserve">Défaut</w:t>
            </w:r>
          </w:p>
        </w:tc>
        <w:tc>
          <w:tcPr>
            <w:tcW w:w="6058" w:type="dxa"/>
            <w:shd w:val="clear" w:color="auto" w:fill="2A78D6"/>
          </w:tcPr>
          <w:p>
            <w:pPr>
              <w:pStyle w:val="TableText"/>
            </w:pPr>
            <w:r>
              <w:rPr>
                <w:b/>
                <w:color w:val="FFFFFF"/>
                <w:sz w:val="18"/>
                <w:szCs w:val="18"/>
              </w:rPr>
              <w:t xml:space="preserve">Description</w:t>
            </w:r>
          </w:p>
        </w:tc>
      </w:tr>
      <w:tr>
        <w:trPr>
          <w:cantSplit/>
        </w:trPr>
        <w:tc>
          <w:tcPr>
            <w:tcW w:w="2202" w:type="dxa"/>
          </w:tcPr>
          <w:p>
            <w:pPr>
              <w:pStyle w:val="TableText"/>
            </w:pPr>
            <w:r>
              <w:rPr>
                <w:sz w:val="18"/>
                <w:szCs w:val="18"/>
              </w:rPr>
              <w:t xml:space="preserve">import_dir</w:t>
            </w:r>
          </w:p>
        </w:tc>
        <w:tc>
          <w:tcPr>
            <w:tcW w:w="1376" w:type="dxa"/>
          </w:tcPr>
          <w:p>
            <w:pPr>
              <w:pStyle w:val="TableText"/>
            </w:pPr>
            <w:r>
              <w:rPr>
                <w:sz w:val="18"/>
                <w:szCs w:val="18"/>
              </w:rPr>
              <w:t xml:space="preserve">—</w:t>
            </w:r>
          </w:p>
        </w:tc>
        <w:tc>
          <w:tcPr>
            <w:tcW w:w="6058" w:type="dxa"/>
          </w:tcPr>
          <w:p>
            <w:pPr>
              <w:pStyle w:val="TableText"/>
            </w:pPr>
            <w:r>
              <w:rPr>
                <w:sz w:val="18"/>
                <w:szCs w:val="18"/>
              </w:rPr>
              <w:t xml:space="preserve">Dossier surveillé : chaque export déposé est importé à la collecte suivante, une seule fois (empreinte du fichier)</w:t>
            </w:r>
          </w:p>
        </w:tc>
      </w:tr>
      <w:tr>
        <w:trPr>
          <w:cantSplit/>
        </w:trPr>
        <w:tc>
          <w:tcPr>
            <w:tcW w:w="2202" w:type="dxa"/>
            <w:shd w:val="clear" w:color="auto" w:fill="F4F7FC"/>
          </w:tcPr>
          <w:p>
            <w:pPr>
              <w:pStyle w:val="TableText"/>
            </w:pPr>
            <w:r>
              <w:rPr>
                <w:sz w:val="18"/>
                <w:szCs w:val="18"/>
              </w:rPr>
              <w:t xml:space="preserve">inactive_days</w:t>
            </w:r>
          </w:p>
        </w:tc>
        <w:tc>
          <w:tcPr>
            <w:tcW w:w="1376" w:type="dxa"/>
            <w:shd w:val="clear" w:color="auto" w:fill="F4F7FC"/>
          </w:tcPr>
          <w:p>
            <w:pPr>
              <w:pStyle w:val="TableText"/>
            </w:pPr>
            <w:r>
              <w:rPr>
                <w:sz w:val="18"/>
                <w:szCs w:val="18"/>
              </w:rPr>
              <w:t xml:space="preserve">30</w:t>
            </w:r>
          </w:p>
        </w:tc>
        <w:tc>
          <w:tcPr>
            <w:tcW w:w="6058" w:type="dxa"/>
            <w:shd w:val="clear" w:color="auto" w:fill="F4F7FC"/>
          </w:tcPr>
          <w:p>
            <w:pPr>
              <w:pStyle w:val="TableText"/>
            </w:pPr>
            <w:r>
              <w:rPr>
                <w:sz w:val="18"/>
                <w:szCs w:val="18"/>
              </w:rPr>
              <w:t xml:space="preserve">Licence inactive au-delà de ce nombre de jours sans utilisation</w:t>
            </w:r>
          </w:p>
        </w:tc>
      </w:tr>
      <w:tr>
        <w:trPr>
          <w:cantSplit/>
        </w:trPr>
        <w:tc>
          <w:tcPr>
            <w:tcW w:w="2202" w:type="dxa"/>
          </w:tcPr>
          <w:p>
            <w:pPr>
              <w:pStyle w:val="TableText"/>
            </w:pPr>
            <w:r>
              <w:rPr>
                <w:sz w:val="18"/>
                <w:szCs w:val="18"/>
              </w:rPr>
              <w:t xml:space="preserve">annual_costs</w:t>
            </w:r>
          </w:p>
        </w:tc>
        <w:tc>
          <w:tcPr>
            <w:tcW w:w="1376" w:type="dxa"/>
          </w:tcPr>
          <w:p>
            <w:pPr>
              <w:pStyle w:val="TableText"/>
            </w:pPr>
            <w:r>
              <w:rPr>
                <w:sz w:val="18"/>
                <w:szCs w:val="18"/>
              </w:rPr>
              <w:t xml:space="preserve">—</w:t>
            </w:r>
          </w:p>
        </w:tc>
        <w:tc>
          <w:tcPr>
            <w:tcW w:w="6058" w:type="dxa"/>
          </w:tcPr>
          <w:p>
            <w:pPr>
              <w:pStyle w:val="TableText"/>
            </w:pPr>
            <w:r>
              <w:rPr>
                <w:sz w:val="18"/>
                <w:szCs w:val="18"/>
              </w:rPr>
              <w:t xml:space="preserve">Coût annuel d'une licence par produit (motif </w:t>
            </w:r>
            <w:r>
              <w:rPr>
                <w:rFonts w:ascii="Consolas" w:hAnsi="Consolas" w:cs="Consolas"/>
                <w:color w:val="1C5CAB"/>
                <w:sz w:val="18"/>
                <w:szCs w:val="18"/>
                <w:shd w:val="clear" w:color="auto" w:fill="EEF3FA"/>
              </w:rPr>
              <w:t xml:space="preserve">*</w:t>
            </w:r>
            <w:r>
              <w:rPr>
                <w:sz w:val="18"/>
                <w:szCs w:val="18"/>
              </w:rPr>
              <w:t xml:space="preserve"> accepté) : coût récupérable</w:t>
            </w:r>
          </w:p>
        </w:tc>
      </w:tr>
    </w:tbl>
    <w:p>
      <w:pPr>
        <w:spacing w:after="80"/>
      </w:pPr>
    </w:p>
    <w:p>
      <w:pPr>
        <w:pStyle w:val="Heading3"/>
      </w:pPr>
      <w:bookmarkStart w:id="64" w:name="_Toc00064"/>
      <w:r>
        <w:rPr/>
        <w:t xml:space="preserve">retention</w:t>
      </w:r>
      <w:bookmarkEnd w:id="64"/>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202"/>
        <w:gridCol w:w="1376"/>
        <w:gridCol w:w="6058"/>
      </w:tblGrid>
      <w:tr>
        <w:trPr>
          <w:tblHeader/>
          <w:cantSplit/>
        </w:trPr>
        <w:tc>
          <w:tcPr>
            <w:tcW w:w="2202" w:type="dxa"/>
            <w:shd w:val="clear" w:color="auto" w:fill="2A78D6"/>
          </w:tcPr>
          <w:p>
            <w:pPr>
              <w:pStyle w:val="TableText"/>
            </w:pPr>
            <w:r>
              <w:rPr>
                <w:b/>
                <w:color w:val="FFFFFF"/>
                <w:sz w:val="18"/>
                <w:szCs w:val="18"/>
              </w:rPr>
              <w:t xml:space="preserve">Paramètre</w:t>
            </w:r>
          </w:p>
        </w:tc>
        <w:tc>
          <w:tcPr>
            <w:tcW w:w="1376" w:type="dxa"/>
            <w:shd w:val="clear" w:color="auto" w:fill="2A78D6"/>
          </w:tcPr>
          <w:p>
            <w:pPr>
              <w:pStyle w:val="TableText"/>
            </w:pPr>
            <w:r>
              <w:rPr>
                <w:b/>
                <w:color w:val="FFFFFF"/>
                <w:sz w:val="18"/>
                <w:szCs w:val="18"/>
              </w:rPr>
              <w:t xml:space="preserve">Défaut</w:t>
            </w:r>
          </w:p>
        </w:tc>
        <w:tc>
          <w:tcPr>
            <w:tcW w:w="6058" w:type="dxa"/>
            <w:shd w:val="clear" w:color="auto" w:fill="2A78D6"/>
          </w:tcPr>
          <w:p>
            <w:pPr>
              <w:pStyle w:val="TableText"/>
            </w:pPr>
            <w:r>
              <w:rPr>
                <w:b/>
                <w:color w:val="FFFFFF"/>
                <w:sz w:val="18"/>
                <w:szCs w:val="18"/>
              </w:rPr>
              <w:t xml:space="preserve">Description</w:t>
            </w:r>
          </w:p>
        </w:tc>
      </w:tr>
      <w:tr>
        <w:trPr>
          <w:cantSplit/>
        </w:trPr>
        <w:tc>
          <w:tcPr>
            <w:tcW w:w="2202" w:type="dxa"/>
          </w:tcPr>
          <w:p>
            <w:pPr>
              <w:pStyle w:val="TableText"/>
            </w:pPr>
            <w:r>
              <w:rPr>
                <w:sz w:val="18"/>
                <w:szCs w:val="18"/>
              </w:rPr>
              <w:t xml:space="preserve">snapshots_days</w:t>
            </w:r>
          </w:p>
        </w:tc>
        <w:tc>
          <w:tcPr>
            <w:tcW w:w="1376" w:type="dxa"/>
          </w:tcPr>
          <w:p>
            <w:pPr>
              <w:pStyle w:val="TableText"/>
            </w:pPr>
            <w:r>
              <w:rPr>
                <w:sz w:val="18"/>
                <w:szCs w:val="18"/>
              </w:rPr>
              <w:t xml:space="preserve">90</w:t>
            </w:r>
          </w:p>
        </w:tc>
        <w:tc>
          <w:tcPr>
            <w:tcW w:w="6058" w:type="dxa"/>
          </w:tcPr>
          <w:p>
            <w:pPr>
              <w:pStyle w:val="TableText"/>
            </w:pPr>
            <w:r>
              <w:rPr>
                <w:sz w:val="18"/>
                <w:szCs w:val="18"/>
              </w:rPr>
              <w:t xml:space="preserve">Conservation des sondages bruts (les agrégats horaires sont conservés sans limite)</w:t>
            </w:r>
          </w:p>
        </w:tc>
      </w:tr>
      <w:tr>
        <w:trPr>
          <w:cantSplit/>
        </w:trPr>
        <w:tc>
          <w:tcPr>
            <w:tcW w:w="2202" w:type="dxa"/>
            <w:shd w:val="clear" w:color="auto" w:fill="F4F7FC"/>
          </w:tcPr>
          <w:p>
            <w:pPr>
              <w:pStyle w:val="TableText"/>
            </w:pPr>
            <w:r>
              <w:rPr>
                <w:sz w:val="18"/>
                <w:szCs w:val="18"/>
              </w:rPr>
              <w:t xml:space="preserve">events_days</w:t>
            </w:r>
          </w:p>
        </w:tc>
        <w:tc>
          <w:tcPr>
            <w:tcW w:w="1376" w:type="dxa"/>
            <w:shd w:val="clear" w:color="auto" w:fill="F4F7FC"/>
          </w:tcPr>
          <w:p>
            <w:pPr>
              <w:pStyle w:val="TableText"/>
            </w:pPr>
            <w:r>
              <w:rPr>
                <w:sz w:val="18"/>
                <w:szCs w:val="18"/>
              </w:rPr>
              <w:t xml:space="preserve">730</w:t>
            </w:r>
          </w:p>
        </w:tc>
        <w:tc>
          <w:tcPr>
            <w:tcW w:w="6058" w:type="dxa"/>
            <w:shd w:val="clear" w:color="auto" w:fill="F4F7FC"/>
          </w:tcPr>
          <w:p>
            <w:pPr>
              <w:pStyle w:val="TableText"/>
            </w:pPr>
            <w:r>
              <w:rPr>
                <w:sz w:val="18"/>
                <w:szCs w:val="18"/>
              </w:rPr>
              <w:t xml:space="preserve">Conservation des refus et du journal des collectes</w:t>
            </w:r>
          </w:p>
        </w:tc>
      </w:tr>
    </w:tbl>
    <w:p>
      <w:pPr>
        <w:spacing w:after="80"/>
      </w:pPr>
    </w:p>
    <w:p>
      <w:pPr>
        <w:pStyle w:val="Heading2"/>
      </w:pPr>
      <w:bookmarkStart w:id="65" w:name="_Toc00065"/>
      <w:r>
        <w:rPr/>
        <w:t xml:space="preserve">6.3 Procédure de modification de la configuration</w:t>
      </w:r>
      <w:bookmarkEnd w:id="65"/>
    </w:p>
    <w:p>
      <w:pPr>
        <w:pStyle w:val="ListParagraph"/>
        <w:numPr>
          <w:ilvl w:val="0"/>
          <w:numId w:val="6"/>
        </w:numPr>
      </w:pPr>
      <w:r>
        <w:rPr/>
        <w:t xml:space="preserve">Copier </w:t>
      </w:r>
      <w:r>
        <w:rPr>
          <w:rFonts w:ascii="Consolas" w:hAnsi="Consolas" w:cs="Consolas"/>
          <w:color w:val="1C5CAB"/>
          <w:sz w:val="18"/>
          <w:szCs w:val="18"/>
          <w:shd w:val="clear" w:color="auto" w:fill="EEF3FA"/>
        </w:rPr>
        <w:t xml:space="preserve">heptagoneslm.yaml</w:t>
      </w:r>
      <w:r>
        <w:rPr/>
        <w:t xml:space="preserve"> en </w:t>
      </w:r>
      <w:r>
        <w:rPr>
          <w:rFonts w:ascii="Consolas" w:hAnsi="Consolas" w:cs="Consolas"/>
          <w:color w:val="1C5CAB"/>
          <w:sz w:val="18"/>
          <w:szCs w:val="18"/>
          <w:shd w:val="clear" w:color="auto" w:fill="EEF3FA"/>
        </w:rPr>
        <w:t xml:space="preserve">heptagoneslm.yaml.AAAAMMJJ</w:t>
      </w:r>
      <w:r>
        <w:rPr/>
        <w:t xml:space="preserve"> (retour arrière).</w:t>
      </w:r>
    </w:p>
    <w:p>
      <w:pPr>
        <w:pStyle w:val="ListParagraph"/>
        <w:numPr>
          <w:ilvl w:val="0"/>
          <w:numId w:val="6"/>
        </w:numPr>
      </w:pPr>
      <w:r>
        <w:rPr/>
        <w:t xml:space="preserve">Modifier le fichier (éditeur en UTF-8, indentation par espaces, jamais de tabulation).</w:t>
      </w:r>
    </w:p>
    <w:p>
      <w:pPr>
        <w:pStyle w:val="ListParagraph"/>
        <w:numPr>
          <w:ilvl w:val="0"/>
          <w:numId w:val="6"/>
        </w:numPr>
      </w:pPr>
      <w:r>
        <w:rPr/>
        <w:t xml:space="preserve">Valider : </w:t>
      </w:r>
      <w:r>
        <w:rPr>
          <w:rFonts w:ascii="Consolas" w:hAnsi="Consolas" w:cs="Consolas"/>
          <w:color w:val="1C5CAB"/>
          <w:sz w:val="18"/>
          <w:szCs w:val="18"/>
          <w:shd w:val="clear" w:color="auto" w:fill="EEF3FA"/>
        </w:rPr>
        <w:t xml:space="preserve">.\HeptagonesLM.exe -c heptagoneslm.yaml test-server --server &lt;NOM&gt;</w:t>
      </w:r>
      <w:r>
        <w:rPr/>
        <w:t xml:space="preserve"> (une erreur de syntaxe est signalée par « Erreur de configuration »).</w:t>
      </w:r>
    </w:p>
    <w:p>
      <w:pPr>
        <w:pStyle w:val="ListParagraph"/>
        <w:numPr>
          <w:ilvl w:val="0"/>
          <w:numId w:val="6"/>
        </w:numPr>
      </w:pPr>
      <w:r>
        <w:rPr/>
        <w:t xml:space="preserve">Si les règles </w:t>
      </w:r>
      <w:r>
        <w:rPr>
          <w:rFonts w:ascii="Consolas" w:hAnsi="Consolas" w:cs="Consolas"/>
          <w:color w:val="1C5CAB"/>
          <w:sz w:val="18"/>
          <w:szCs w:val="18"/>
          <w:shd w:val="clear" w:color="auto" w:fill="EEF3FA"/>
        </w:rPr>
        <w:t xml:space="preserve">products</w:t>
      </w:r>
      <w:r>
        <w:rPr/>
        <w:t xml:space="preserve"> ont changé : </w:t>
      </w:r>
      <w:r>
        <w:rPr>
          <w:rFonts w:ascii="Consolas" w:hAnsi="Consolas" w:cs="Consolas"/>
          <w:color w:val="1C5CAB"/>
          <w:sz w:val="18"/>
          <w:szCs w:val="18"/>
          <w:shd w:val="clear" w:color="auto" w:fill="EEF3FA"/>
        </w:rPr>
        <w:t xml:space="preserve">.\HeptagonesLM.exe -c heptagoneslm.yaml apply-products</w:t>
      </w:r>
      <w:r>
        <w:rPr/>
        <w:t xml:space="preserve">.</w:t>
      </w:r>
    </w:p>
    <w:p>
      <w:pPr>
        <w:pStyle w:val="ListParagraph"/>
        <w:numPr>
          <w:ilvl w:val="0"/>
          <w:numId w:val="6"/>
        </w:numPr>
      </w:pPr>
      <w:r>
        <w:rPr/>
        <w:t xml:space="preserve">Si la section </w:t>
      </w:r>
      <w:r>
        <w:rPr>
          <w:rFonts w:ascii="Consolas" w:hAnsi="Consolas" w:cs="Consolas"/>
          <w:color w:val="1C5CAB"/>
          <w:sz w:val="18"/>
          <w:szCs w:val="18"/>
          <w:shd w:val="clear" w:color="auto" w:fill="EEF3FA"/>
        </w:rPr>
        <w:t xml:space="preserve">web</w:t>
      </w:r>
      <w:r>
        <w:rPr/>
        <w:t xml:space="preserve"> a changé : redémarrer la tâche « HeptagonesLM - Interface web ».</w:t>
      </w:r>
    </w:p>
    <w:p>
      <w:pPr>
        <w:pStyle w:val="ListParagraph"/>
        <w:numPr>
          <w:ilvl w:val="0"/>
          <w:numId w:val="6"/>
        </w:numPr>
      </w:pPr>
      <w:r>
        <w:rPr/>
        <w:t xml:space="preserve">Les autres tâches relisent la configuration à chaque exécution : aucun redémarrage nécessaire.</w:t>
      </w:r>
    </w:p>
    <w:p>
      <w:pPr>
        <w:pStyle w:val="Heading1"/>
      </w:pPr>
      <w:bookmarkStart w:id="66" w:name="_Toc00066"/>
      <w:r>
        <w:rPr/>
        <w:t xml:space="preserve">7. Exploitation courante</w:t>
      </w:r>
      <w:bookmarkEnd w:id="66"/>
    </w:p>
    <w:p>
      <w:pPr>
        <w:pStyle w:val="Heading2"/>
      </w:pPr>
      <w:bookmarkStart w:id="67" w:name="_Toc00067"/>
      <w:r>
        <w:rPr/>
        <w:t xml:space="preserve">7.1 Ordonnancement</w:t>
      </w:r>
      <w:bookmarkEnd w:id="67"/>
    </w:p>
    <w:p>
      <w:pPr/>
      <w:r>
        <w:rPr/>
        <w:t xml:space="preserve">Toutes les tâches sont créées par </w:t>
      </w:r>
      <w:r>
        <w:rPr>
          <w:rFonts w:ascii="Consolas" w:hAnsi="Consolas" w:cs="Consolas"/>
          <w:color w:val="1C5CAB"/>
          <w:sz w:val="18"/>
          <w:szCs w:val="18"/>
          <w:shd w:val="clear" w:color="auto" w:fill="EEF3FA"/>
        </w:rPr>
        <w:t xml:space="preserve">register_tasks.ps1</w:t>
      </w:r>
      <w:r>
        <w:rPr/>
        <w:t xml:space="preserve"> dans le dossier </w:t>
      </w:r>
      <w:r>
        <w:rPr>
          <w:rFonts w:ascii="Consolas" w:hAnsi="Consolas" w:cs="Consolas"/>
          <w:color w:val="1C5CAB"/>
          <w:sz w:val="18"/>
          <w:szCs w:val="18"/>
          <w:shd w:val="clear" w:color="auto" w:fill="EEF3FA"/>
        </w:rPr>
        <w:t xml:space="preserve">\HeptagonesLM\</w:t>
      </w:r>
      <w:r>
        <w:rPr/>
        <w:t xml:space="preserve"> du Planificateur de tâches, sous le compte de service. Elles sont configurées pour démarrer dès que possible si une exécution a été manquée (serveur arrêté), sans exécution simultanée, avec une durée maximale de 30 minutes.</w:t>
      </w:r>
    </w:p>
    <w:p>
      <w:pPr>
        <w:pStyle w:val="Caption"/>
        <w:keepNext/>
      </w:pPr>
      <w:r>
        <w:rPr/>
        <w:t xml:space="preserve">Tableau 15 – Tâches planifiées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927"/>
        <w:gridCol w:w="2289"/>
        <w:gridCol w:w="1927"/>
        <w:gridCol w:w="1084"/>
        <w:gridCol w:w="2409"/>
      </w:tblGrid>
      <w:tr>
        <w:trPr>
          <w:tblHeader/>
          <w:cantSplit/>
        </w:trPr>
        <w:tc>
          <w:tcPr>
            <w:tcW w:w="1927" w:type="dxa"/>
            <w:shd w:val="clear" w:color="auto" w:fill="2A78D6"/>
          </w:tcPr>
          <w:p>
            <w:pPr>
              <w:pStyle w:val="TableText"/>
            </w:pPr>
            <w:r>
              <w:rPr>
                <w:b/>
                <w:color w:val="FFFFFF"/>
                <w:sz w:val="18"/>
                <w:szCs w:val="18"/>
              </w:rPr>
              <w:t xml:space="preserve">Tâche</w:t>
            </w:r>
          </w:p>
        </w:tc>
        <w:tc>
          <w:tcPr>
            <w:tcW w:w="2289" w:type="dxa"/>
            <w:shd w:val="clear" w:color="auto" w:fill="2A78D6"/>
          </w:tcPr>
          <w:p>
            <w:pPr>
              <w:pStyle w:val="TableText"/>
            </w:pPr>
            <w:r>
              <w:rPr>
                <w:b/>
                <w:color w:val="FFFFFF"/>
                <w:sz w:val="18"/>
                <w:szCs w:val="18"/>
              </w:rPr>
              <w:t xml:space="preserve">Commande</w:t>
            </w:r>
          </w:p>
        </w:tc>
        <w:tc>
          <w:tcPr>
            <w:tcW w:w="1927" w:type="dxa"/>
            <w:shd w:val="clear" w:color="auto" w:fill="2A78D6"/>
          </w:tcPr>
          <w:p>
            <w:pPr>
              <w:pStyle w:val="TableText"/>
            </w:pPr>
            <w:r>
              <w:rPr>
                <w:b/>
                <w:color w:val="FFFFFF"/>
                <w:sz w:val="18"/>
                <w:szCs w:val="18"/>
              </w:rPr>
              <w:t xml:space="preserve">Planification</w:t>
            </w:r>
          </w:p>
        </w:tc>
        <w:tc>
          <w:tcPr>
            <w:tcW w:w="1084" w:type="dxa"/>
            <w:shd w:val="clear" w:color="auto" w:fill="2A78D6"/>
          </w:tcPr>
          <w:p>
            <w:pPr>
              <w:pStyle w:val="TableText"/>
            </w:pPr>
            <w:r>
              <w:rPr>
                <w:b/>
                <w:color w:val="FFFFFF"/>
                <w:sz w:val="18"/>
                <w:szCs w:val="18"/>
              </w:rPr>
              <w:t xml:space="preserve">Durée typique</w:t>
            </w:r>
          </w:p>
        </w:tc>
        <w:tc>
          <w:tcPr>
            <w:tcW w:w="2409" w:type="dxa"/>
            <w:shd w:val="clear" w:color="auto" w:fill="2A78D6"/>
          </w:tcPr>
          <w:p>
            <w:pPr>
              <w:pStyle w:val="TableText"/>
            </w:pPr>
            <w:r>
              <w:rPr>
                <w:b/>
                <w:color w:val="FFFFFF"/>
                <w:sz w:val="18"/>
                <w:szCs w:val="18"/>
              </w:rPr>
              <w:t xml:space="preserve">Rôle</w:t>
            </w:r>
          </w:p>
        </w:tc>
      </w:tr>
      <w:tr>
        <w:trPr>
          <w:cantSplit/>
        </w:trPr>
        <w:tc>
          <w:tcPr>
            <w:tcW w:w="1927" w:type="dxa"/>
          </w:tcPr>
          <w:p>
            <w:pPr>
              <w:pStyle w:val="TableText"/>
            </w:pPr>
            <w:r>
              <w:rPr>
                <w:sz w:val="18"/>
                <w:szCs w:val="18"/>
              </w:rPr>
              <w:t xml:space="preserve">HeptagonesLM - Collecte</w:t>
            </w:r>
          </w:p>
        </w:tc>
        <w:tc>
          <w:tcPr>
            <w:tcW w:w="2289" w:type="dxa"/>
          </w:tcPr>
          <w:p>
            <w:pPr>
              <w:pStyle w:val="TableText"/>
            </w:pPr>
            <w:r>
              <w:rPr>
                <w:rFonts w:ascii="Consolas" w:hAnsi="Consolas" w:cs="Consolas"/>
                <w:color w:val="1C5CAB"/>
                <w:sz w:val="18"/>
                <w:szCs w:val="18"/>
                <w:shd w:val="clear" w:color="auto" w:fill="EEF3FA"/>
              </w:rPr>
              <w:t xml:space="preserve">collect</w:t>
            </w:r>
          </w:p>
        </w:tc>
        <w:tc>
          <w:tcPr>
            <w:tcW w:w="1927" w:type="dxa"/>
          </w:tcPr>
          <w:p>
            <w:pPr>
              <w:pStyle w:val="TableText"/>
            </w:pPr>
            <w:r>
              <w:rPr>
                <w:sz w:val="18"/>
                <w:szCs w:val="18"/>
              </w:rPr>
              <w:t xml:space="preserve">Toutes les 5 minutes, en continu</w:t>
            </w:r>
          </w:p>
        </w:tc>
        <w:tc>
          <w:tcPr>
            <w:tcW w:w="1084" w:type="dxa"/>
          </w:tcPr>
          <w:p>
            <w:pPr>
              <w:pStyle w:val="TableText"/>
            </w:pPr>
            <w:r>
              <w:rPr>
                <w:sz w:val="18"/>
                <w:szCs w:val="18"/>
              </w:rPr>
              <w:t xml:space="preserve">5 à 30 s</w:t>
            </w:r>
          </w:p>
        </w:tc>
        <w:tc>
          <w:tcPr>
            <w:tcW w:w="2409" w:type="dxa"/>
          </w:tcPr>
          <w:p>
            <w:pPr>
              <w:pStyle w:val="TableText"/>
            </w:pPr>
            <w:r>
              <w:rPr>
                <w:sz w:val="18"/>
                <w:szCs w:val="18"/>
              </w:rPr>
              <w:t xml:space="preserve">Sondage lmstat et lecture des logs</w:t>
            </w:r>
          </w:p>
        </w:tc>
      </w:tr>
      <w:tr>
        <w:trPr>
          <w:cantSplit/>
        </w:trPr>
        <w:tc>
          <w:tcPr>
            <w:tcW w:w="1927" w:type="dxa"/>
            <w:shd w:val="clear" w:color="auto" w:fill="F4F7FC"/>
          </w:tcPr>
          <w:p>
            <w:pPr>
              <w:pStyle w:val="TableText"/>
            </w:pPr>
            <w:r>
              <w:rPr>
                <w:sz w:val="18"/>
                <w:szCs w:val="18"/>
              </w:rPr>
              <w:t xml:space="preserve">HeptagonesLM - Rapport mensuel</w:t>
            </w:r>
          </w:p>
        </w:tc>
        <w:tc>
          <w:tcPr>
            <w:tcW w:w="2289" w:type="dxa"/>
            <w:shd w:val="clear" w:color="auto" w:fill="F4F7FC"/>
          </w:tcPr>
          <w:p>
            <w:pPr>
              <w:pStyle w:val="TableText"/>
            </w:pPr>
            <w:r>
              <w:rPr>
                <w:rFonts w:ascii="Consolas" w:hAnsi="Consolas" w:cs="Consolas"/>
                <w:color w:val="1C5CAB"/>
                <w:sz w:val="18"/>
                <w:szCs w:val="18"/>
                <w:shd w:val="clear" w:color="auto" w:fill="EEF3FA"/>
              </w:rPr>
              <w:t xml:space="preserve">report --period last-month --skip-existing</w:t>
            </w:r>
          </w:p>
        </w:tc>
        <w:tc>
          <w:tcPr>
            <w:tcW w:w="1927" w:type="dxa"/>
            <w:shd w:val="clear" w:color="auto" w:fill="F4F7FC"/>
          </w:tcPr>
          <w:p>
            <w:pPr>
              <w:pStyle w:val="TableText"/>
            </w:pPr>
            <w:r>
              <w:rPr>
                <w:sz w:val="18"/>
                <w:szCs w:val="18"/>
              </w:rPr>
              <w:t xml:space="preserve">Chaque jour à 06:00</w:t>
            </w:r>
          </w:p>
        </w:tc>
        <w:tc>
          <w:tcPr>
            <w:tcW w:w="1084" w:type="dxa"/>
            <w:shd w:val="clear" w:color="auto" w:fill="F4F7FC"/>
          </w:tcPr>
          <w:p>
            <w:pPr>
              <w:pStyle w:val="TableText"/>
            </w:pPr>
            <w:r>
              <w:rPr>
                <w:sz w:val="18"/>
                <w:szCs w:val="18"/>
              </w:rPr>
              <w:t xml:space="preserve">10 à 60 s</w:t>
            </w:r>
          </w:p>
        </w:tc>
        <w:tc>
          <w:tcPr>
            <w:tcW w:w="2409" w:type="dxa"/>
            <w:shd w:val="clear" w:color="auto" w:fill="F4F7FC"/>
          </w:tcPr>
          <w:p>
            <w:pPr>
              <w:pStyle w:val="TableText"/>
            </w:pPr>
            <w:r>
              <w:rPr>
                <w:sz w:val="18"/>
                <w:szCs w:val="18"/>
              </w:rPr>
              <w:t xml:space="preserve">Classeur Excel du mois précédent, produit une seule fois par mois (rattrape un 1er manqué)</w:t>
            </w:r>
          </w:p>
        </w:tc>
      </w:tr>
      <w:tr>
        <w:trPr>
          <w:cantSplit/>
        </w:trPr>
        <w:tc>
          <w:tcPr>
            <w:tcW w:w="1927" w:type="dxa"/>
          </w:tcPr>
          <w:p>
            <w:pPr>
              <w:pStyle w:val="TableText"/>
            </w:pPr>
            <w:r>
              <w:rPr>
                <w:sz w:val="18"/>
                <w:szCs w:val="18"/>
              </w:rPr>
              <w:t xml:space="preserve">HeptagonesLM - Envoi des rapports</w:t>
            </w:r>
          </w:p>
        </w:tc>
        <w:tc>
          <w:tcPr>
            <w:tcW w:w="2289" w:type="dxa"/>
          </w:tcPr>
          <w:p>
            <w:pPr>
              <w:pStyle w:val="TableText"/>
            </w:pPr>
            <w:r>
              <w:rPr>
                <w:rFonts w:ascii="Consolas" w:hAnsi="Consolas" w:cs="Consolas"/>
                <w:color w:val="1C5CAB"/>
                <w:sz w:val="18"/>
                <w:szCs w:val="18"/>
                <w:shd w:val="clear" w:color="auto" w:fill="EEF3FA"/>
              </w:rPr>
              <w:t xml:space="preserve">send-report --skip-sent</w:t>
            </w:r>
          </w:p>
        </w:tc>
        <w:tc>
          <w:tcPr>
            <w:tcW w:w="1927" w:type="dxa"/>
          </w:tcPr>
          <w:p>
            <w:pPr>
              <w:pStyle w:val="TableText"/>
            </w:pPr>
            <w:r>
              <w:rPr>
                <w:sz w:val="18"/>
                <w:szCs w:val="18"/>
              </w:rPr>
              <w:t xml:space="preserve">Chaque jour à 07:00</w:t>
            </w:r>
          </w:p>
        </w:tc>
        <w:tc>
          <w:tcPr>
            <w:tcW w:w="1084" w:type="dxa"/>
          </w:tcPr>
          <w:p>
            <w:pPr>
              <w:pStyle w:val="TableText"/>
            </w:pPr>
            <w:r>
              <w:rPr>
                <w:sz w:val="18"/>
                <w:szCs w:val="18"/>
              </w:rPr>
              <w:t xml:space="preserve">&lt; 1 min</w:t>
            </w:r>
          </w:p>
        </w:tc>
        <w:tc>
          <w:tcPr>
            <w:tcW w:w="2409" w:type="dxa"/>
          </w:tcPr>
          <w:p>
            <w:pPr>
              <w:pStyle w:val="TableText"/>
            </w:pPr>
            <w:r>
              <w:rPr>
                <w:sz w:val="18"/>
                <w:szCs w:val="18"/>
              </w:rPr>
              <w:t xml:space="preserve">E-mail aux abonnés, une seule fois par période</w:t>
            </w:r>
          </w:p>
        </w:tc>
      </w:tr>
      <w:tr>
        <w:trPr>
          <w:cantSplit/>
        </w:trPr>
        <w:tc>
          <w:tcPr>
            <w:tcW w:w="1927" w:type="dxa"/>
            <w:shd w:val="clear" w:color="auto" w:fill="F4F7FC"/>
          </w:tcPr>
          <w:p>
            <w:pPr>
              <w:pStyle w:val="TableText"/>
            </w:pPr>
            <w:r>
              <w:rPr>
                <w:sz w:val="18"/>
                <w:szCs w:val="18"/>
              </w:rPr>
              <w:t xml:space="preserve">HeptagonesLM - Purge</w:t>
            </w:r>
          </w:p>
        </w:tc>
        <w:tc>
          <w:tcPr>
            <w:tcW w:w="2289" w:type="dxa"/>
            <w:shd w:val="clear" w:color="auto" w:fill="F4F7FC"/>
          </w:tcPr>
          <w:p>
            <w:pPr>
              <w:pStyle w:val="TableText"/>
            </w:pPr>
            <w:r>
              <w:rPr>
                <w:rFonts w:ascii="Consolas" w:hAnsi="Consolas" w:cs="Consolas"/>
                <w:color w:val="1C5CAB"/>
                <w:sz w:val="18"/>
                <w:szCs w:val="18"/>
                <w:shd w:val="clear" w:color="auto" w:fill="EEF3FA"/>
              </w:rPr>
              <w:t xml:space="preserve">purge</w:t>
            </w:r>
          </w:p>
        </w:tc>
        <w:tc>
          <w:tcPr>
            <w:tcW w:w="1927" w:type="dxa"/>
            <w:shd w:val="clear" w:color="auto" w:fill="F4F7FC"/>
          </w:tcPr>
          <w:p>
            <w:pPr>
              <w:pStyle w:val="TableText"/>
            </w:pPr>
            <w:r>
              <w:rPr>
                <w:sz w:val="18"/>
                <w:szCs w:val="18"/>
              </w:rPr>
              <w:t xml:space="preserve">Chaque dimanche à 03:00</w:t>
            </w:r>
          </w:p>
        </w:tc>
        <w:tc>
          <w:tcPr>
            <w:tcW w:w="1084" w:type="dxa"/>
            <w:shd w:val="clear" w:color="auto" w:fill="F4F7FC"/>
          </w:tcPr>
          <w:p>
            <w:pPr>
              <w:pStyle w:val="TableText"/>
            </w:pPr>
            <w:r>
              <w:rPr>
                <w:sz w:val="18"/>
                <w:szCs w:val="18"/>
              </w:rPr>
              <w:t xml:space="preserve">&lt; 1 min</w:t>
            </w:r>
          </w:p>
        </w:tc>
        <w:tc>
          <w:tcPr>
            <w:tcW w:w="2409" w:type="dxa"/>
            <w:shd w:val="clear" w:color="auto" w:fill="F4F7FC"/>
          </w:tcPr>
          <w:p>
            <w:pPr>
              <w:pStyle w:val="TableText"/>
            </w:pPr>
            <w:r>
              <w:rPr>
                <w:sz w:val="18"/>
                <w:szCs w:val="18"/>
              </w:rPr>
              <w:t xml:space="preserve">Application de la politique de rétention</w:t>
            </w:r>
          </w:p>
        </w:tc>
      </w:tr>
      <w:tr>
        <w:trPr>
          <w:cantSplit/>
        </w:trPr>
        <w:tc>
          <w:tcPr>
            <w:tcW w:w="1927" w:type="dxa"/>
          </w:tcPr>
          <w:p>
            <w:pPr>
              <w:pStyle w:val="TableText"/>
            </w:pPr>
            <w:r>
              <w:rPr>
                <w:sz w:val="18"/>
                <w:szCs w:val="18"/>
              </w:rPr>
              <w:t xml:space="preserve">HeptagonesLM - Interface web (option)</w:t>
            </w:r>
          </w:p>
        </w:tc>
        <w:tc>
          <w:tcPr>
            <w:tcW w:w="2289" w:type="dxa"/>
          </w:tcPr>
          <w:p>
            <w:pPr>
              <w:pStyle w:val="TableText"/>
            </w:pPr>
            <w:r>
              <w:rPr>
                <w:rFonts w:ascii="Consolas" w:hAnsi="Consolas" w:cs="Consolas"/>
                <w:color w:val="1C5CAB"/>
                <w:sz w:val="18"/>
                <w:szCs w:val="18"/>
                <w:shd w:val="clear" w:color="auto" w:fill="EEF3FA"/>
              </w:rPr>
              <w:t xml:space="preserve">web</w:t>
            </w:r>
          </w:p>
        </w:tc>
        <w:tc>
          <w:tcPr>
            <w:tcW w:w="1927" w:type="dxa"/>
          </w:tcPr>
          <w:p>
            <w:pPr>
              <w:pStyle w:val="TableText"/>
            </w:pPr>
            <w:r>
              <w:rPr>
                <w:sz w:val="18"/>
                <w:szCs w:val="18"/>
              </w:rPr>
              <w:t xml:space="preserve">Au démarrage du serveur, relance automatique chaque minute en cas d'arrêt</w:t>
            </w:r>
          </w:p>
        </w:tc>
        <w:tc>
          <w:tcPr>
            <w:tcW w:w="1084" w:type="dxa"/>
          </w:tcPr>
          <w:p>
            <w:pPr>
              <w:pStyle w:val="TableText"/>
            </w:pPr>
            <w:r>
              <w:rPr>
                <w:sz w:val="18"/>
                <w:szCs w:val="18"/>
              </w:rPr>
              <w:t xml:space="preserve">Permanente</w:t>
            </w:r>
          </w:p>
        </w:tc>
        <w:tc>
          <w:tcPr>
            <w:tcW w:w="2409" w:type="dxa"/>
          </w:tcPr>
          <w:p>
            <w:pPr>
              <w:pStyle w:val="TableText"/>
            </w:pPr>
            <w:r>
              <w:rPr>
                <w:sz w:val="18"/>
                <w:szCs w:val="18"/>
              </w:rPr>
              <w:t xml:space="preserve">Interface web</w:t>
            </w:r>
          </w:p>
        </w:tc>
      </w:tr>
      <w:tr>
        <w:trPr>
          <w:cantSplit/>
        </w:trPr>
        <w:tc>
          <w:tcPr>
            <w:tcW w:w="1927" w:type="dxa"/>
            <w:shd w:val="clear" w:color="auto" w:fill="F4F7FC"/>
          </w:tcPr>
          <w:p>
            <w:pPr>
              <w:pStyle w:val="TableText"/>
            </w:pPr>
            <w:r>
              <w:rPr>
                <w:sz w:val="18"/>
                <w:szCs w:val="18"/>
              </w:rPr>
              <w:t xml:space="preserve">Import utilisateurs (à créer)</w:t>
            </w:r>
          </w:p>
        </w:tc>
        <w:tc>
          <w:tcPr>
            <w:tcW w:w="2289" w:type="dxa"/>
            <w:shd w:val="clear" w:color="auto" w:fill="F4F7FC"/>
          </w:tcPr>
          <w:p>
            <w:pPr>
              <w:pStyle w:val="TableText"/>
            </w:pPr>
            <w:r>
              <w:rPr>
                <w:rFonts w:ascii="Consolas" w:hAnsi="Consolas" w:cs="Consolas"/>
                <w:color w:val="1C5CAB"/>
                <w:sz w:val="18"/>
                <w:szCs w:val="18"/>
                <w:shd w:val="clear" w:color="auto" w:fill="EEF3FA"/>
              </w:rPr>
              <w:t xml:space="preserve">import-users users.csv</w:t>
            </w:r>
          </w:p>
        </w:tc>
        <w:tc>
          <w:tcPr>
            <w:tcW w:w="1927" w:type="dxa"/>
            <w:shd w:val="clear" w:color="auto" w:fill="F4F7FC"/>
          </w:tcPr>
          <w:p>
            <w:pPr>
              <w:pStyle w:val="TableText"/>
            </w:pPr>
            <w:r>
              <w:rPr>
                <w:sz w:val="18"/>
                <w:szCs w:val="18"/>
              </w:rPr>
              <w:t xml:space="preserve">Hebdomadaire (recommandé)</w:t>
            </w:r>
          </w:p>
        </w:tc>
        <w:tc>
          <w:tcPr>
            <w:tcW w:w="1084" w:type="dxa"/>
            <w:shd w:val="clear" w:color="auto" w:fill="F4F7FC"/>
          </w:tcPr>
          <w:p>
            <w:pPr>
              <w:pStyle w:val="TableText"/>
            </w:pPr>
            <w:r>
              <w:rPr>
                <w:sz w:val="18"/>
                <w:szCs w:val="18"/>
              </w:rPr>
              <w:t xml:space="preserve">&lt; 1 min</w:t>
            </w:r>
          </w:p>
        </w:tc>
        <w:tc>
          <w:tcPr>
            <w:tcW w:w="2409" w:type="dxa"/>
            <w:shd w:val="clear" w:color="auto" w:fill="F4F7FC"/>
          </w:tcPr>
          <w:p>
            <w:pPr>
              <w:pStyle w:val="TableText"/>
            </w:pPr>
            <w:r>
              <w:rPr>
                <w:sz w:val="18"/>
                <w:szCs w:val="18"/>
              </w:rPr>
              <w:t xml:space="preserve">Noms et services depuis l'AD</w:t>
            </w:r>
          </w:p>
        </w:tc>
      </w:tr>
      <w:tr>
        <w:trPr>
          <w:cantSplit/>
        </w:trPr>
        <w:tc>
          <w:tcPr>
            <w:tcW w:w="1927" w:type="dxa"/>
          </w:tcPr>
          <w:p>
            <w:pPr>
              <w:pStyle w:val="TableText"/>
            </w:pPr>
            <w:r>
              <w:rPr>
                <w:sz w:val="18"/>
                <w:szCs w:val="18"/>
              </w:rPr>
              <w:t xml:space="preserve">Export Autodesk (manuel)</w:t>
            </w:r>
          </w:p>
        </w:tc>
        <w:tc>
          <w:tcPr>
            <w:tcW w:w="2289" w:type="dxa"/>
          </w:tcPr>
          <w:p>
            <w:pPr>
              <w:pStyle w:val="TableText"/>
            </w:pPr>
            <w:r>
              <w:rPr>
                <w:sz w:val="18"/>
                <w:szCs w:val="18"/>
              </w:rPr>
              <w:t xml:space="preserve">dépôt dans </w:t>
            </w:r>
            <w:r>
              <w:rPr>
                <w:rFonts w:ascii="Consolas" w:hAnsi="Consolas" w:cs="Consolas"/>
                <w:color w:val="1C5CAB"/>
                <w:sz w:val="18"/>
                <w:szCs w:val="18"/>
                <w:shd w:val="clear" w:color="auto" w:fill="EEF3FA"/>
              </w:rPr>
              <w:t xml:space="preserve">autodesk.import_dir</w:t>
            </w:r>
            <w:r>
              <w:rPr>
                <w:sz w:val="18"/>
                <w:szCs w:val="18"/>
              </w:rPr>
              <w:t xml:space="preserve"> ou </w:t>
            </w:r>
            <w:r>
              <w:rPr>
                <w:rFonts w:ascii="Consolas" w:hAnsi="Consolas" w:cs="Consolas"/>
                <w:color w:val="1C5CAB"/>
                <w:sz w:val="18"/>
                <w:szCs w:val="18"/>
                <w:shd w:val="clear" w:color="auto" w:fill="EEF3FA"/>
              </w:rPr>
              <w:t xml:space="preserve">import-autodesk</w:t>
            </w:r>
          </w:p>
        </w:tc>
        <w:tc>
          <w:tcPr>
            <w:tcW w:w="1927" w:type="dxa"/>
          </w:tcPr>
          <w:p>
            <w:pPr>
              <w:pStyle w:val="TableText"/>
            </w:pPr>
            <w:r>
              <w:rPr>
                <w:sz w:val="18"/>
                <w:szCs w:val="18"/>
              </w:rPr>
              <w:t xml:space="preserve">Mensuel (recommandé)</w:t>
            </w:r>
          </w:p>
        </w:tc>
        <w:tc>
          <w:tcPr>
            <w:tcW w:w="1084" w:type="dxa"/>
          </w:tcPr>
          <w:p>
            <w:pPr>
              <w:pStyle w:val="TableText"/>
            </w:pPr>
            <w:r>
              <w:rPr>
                <w:sz w:val="18"/>
                <w:szCs w:val="18"/>
              </w:rPr>
              <w:t xml:space="preserve">&lt; 1 min</w:t>
            </w:r>
          </w:p>
        </w:tc>
        <w:tc>
          <w:tcPr>
            <w:tcW w:w="2409" w:type="dxa"/>
          </w:tcPr>
          <w:p>
            <w:pPr>
              <w:pStyle w:val="TableText"/>
            </w:pPr>
            <w:r>
              <w:rPr>
                <w:sz w:val="18"/>
                <w:szCs w:val="18"/>
              </w:rPr>
              <w:t xml:space="preserve">Licences Autodesk nommées, importées par la collecte suivante</w:t>
            </w:r>
          </w:p>
        </w:tc>
      </w:tr>
    </w:tbl>
    <w:p>
      <w:pPr>
        <w:spacing w:after="80"/>
      </w:pPr>
    </w:p>
    <w:p>
      <w:pPr>
        <w:pStyle w:val="Heading2"/>
      </w:pPr>
      <w:bookmarkStart w:id="68" w:name="_Toc00068"/>
      <w:r>
        <w:rPr/>
        <w:t xml:space="preserve">7.2 Démarrage et arrêt</w:t>
      </w:r>
      <w:bookmarkEnd w:id="68"/>
    </w:p>
    <w:p>
      <w:pPr/>
      <w:r>
        <w:rPr/>
        <w:t xml:space="preserve">HeptagonesLM n'est pas un service Windows : il n'y a rien à « démarrer » en dehors de l'interface web. Pour suspendre l'application (maintenance SQL, intervention sur les serveurs de licences) :</w:t>
      </w:r>
    </w:p>
    <w:p>
      <w:pPr>
        <w:pStyle w:val="Code"/>
      </w:pPr>
      <w:r>
        <w:t xml:space="preserve"># Arrêt complet</w:t>
      </w:r>
    </w:p>
    <w:p>
      <w:pPr>
        <w:pStyle w:val="Code"/>
      </w:pPr>
      <w:r>
        <w:t xml:space="preserve">Get-ScheduledTask -TaskPath "\HeptagonesLM\" | Disable-ScheduledTask</w:t>
      </w:r>
    </w:p>
    <w:p>
      <w:pPr>
        <w:pStyle w:val="Code"/>
      </w:pPr>
      <w:r>
        <w:t xml:space="preserve">Stop-ScheduledTask -TaskPath "\HeptagonesLM\" -TaskName "HeptagonesLM - Interface web"</w:t>
      </w:r>
    </w:p>
    <w:p>
      <w:pPr>
        <w:pStyle w:val="Code"/>
      </w:pPr>
      <w:r>
        <w:t xml:space="preserve"> </w:t>
      </w:r>
    </w:p>
    <w:p>
      <w:pPr>
        <w:pStyle w:val="Code"/>
      </w:pPr>
      <w:r>
        <w:t xml:space="preserve"># Redémarrage</w:t>
      </w:r>
    </w:p>
    <w:p>
      <w:pPr>
        <w:pStyle w:val="Code"/>
      </w:pPr>
      <w:r>
        <w:t xml:space="preserve">Get-ScheduledTask -TaskPath "\HeptagonesLM\" | Enable-ScheduledTask</w:t>
      </w:r>
    </w:p>
    <w:p>
      <w:pPr>
        <w:pStyle w:val="Code"/>
      </w:pPr>
      <w:r>
        <w:t xml:space="preserve">Start-ScheduledTask -TaskPath "\HeptagonesLM\" -TaskName "HeptagonesLM - Interface web"</w:t>
      </w:r>
    </w:p>
    <w:p>
      <w:pPr>
        <w:pStyle w:val="Code"/>
      </w:pPr>
      <w:r>
        <w:t xml:space="preserve"> </w:t>
      </w:r>
    </w:p>
    <w:p>
      <w:pPr>
        <w:pStyle w:val="Code"/>
      </w:pPr>
      <w:r>
        <w:t xml:space="preserve"># Collecte immédiate (sans attendre le prochain déclenchement)</w:t>
      </w:r>
    </w:p>
    <w:p>
      <w:pPr>
        <w:pStyle w:val="Code"/>
      </w:pPr>
      <w:r>
        <w:t xml:space="preserve">Start-ScheduledTask -TaskPath "\HeptagonesLM\" -TaskName "HeptagonesLM - Collecte"</w:t>
      </w:r>
    </w:p>
    <w:p>
      <w:pPr/>
      <w:r>
        <w:rPr/>
        <w:t xml:space="preserve">Pendant l'arrêt, aucune donnée n'est collectée. Avec le collecteur log, les évènements survenus pendant l'arrêt sont rattrapés à la reprise (lecture depuis le dernier offset) ; avec lmstat seul, la période d'arrêt reste sans données.</w:t>
      </w:r>
    </w:p>
    <w:p>
      <w:pPr>
        <w:pStyle w:val="Heading2"/>
      </w:pPr>
      <w:bookmarkStart w:id="69" w:name="_Toc00069"/>
      <w:r>
        <w:rPr/>
        <w:t xml:space="preserve">7.3 Contrôles quotidiens (N1, 5 minutes)</w:t>
      </w:r>
      <w:bookmarkEnd w:id="69"/>
    </w:p>
    <w:p>
      <w:pPr>
        <w:pStyle w:val="Caption"/>
        <w:keepNext/>
      </w:pPr>
      <w:r>
        <w:rPr/>
        <w:t xml:space="preserve">Tableau 16 – Contrôles quotidiens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500"/>
        <w:gridCol w:w="2503"/>
        <w:gridCol w:w="1877"/>
        <w:gridCol w:w="4756"/>
      </w:tblGrid>
      <w:tr>
        <w:trPr>
          <w:tblHeader/>
          <w:cantSplit/>
        </w:trPr>
        <w:tc>
          <w:tcPr>
            <w:tcW w:w="500" w:type="dxa"/>
            <w:shd w:val="clear" w:color="auto" w:fill="2A78D6"/>
          </w:tcPr>
          <w:p>
            <w:pPr>
              <w:pStyle w:val="TableText"/>
            </w:pPr>
            <w:r>
              <w:rPr>
                <w:b/>
                <w:color w:val="FFFFFF"/>
                <w:sz w:val="18"/>
                <w:szCs w:val="18"/>
              </w:rPr>
              <w:t xml:space="preserve">N°</w:t>
            </w:r>
          </w:p>
        </w:tc>
        <w:tc>
          <w:tcPr>
            <w:tcW w:w="2503" w:type="dxa"/>
            <w:shd w:val="clear" w:color="auto" w:fill="2A78D6"/>
          </w:tcPr>
          <w:p>
            <w:pPr>
              <w:pStyle w:val="TableText"/>
            </w:pPr>
            <w:r>
              <w:rPr>
                <w:b/>
                <w:color w:val="FFFFFF"/>
                <w:sz w:val="18"/>
                <w:szCs w:val="18"/>
              </w:rPr>
              <w:t xml:space="preserve">Contrôle</w:t>
            </w:r>
          </w:p>
        </w:tc>
        <w:tc>
          <w:tcPr>
            <w:tcW w:w="1877" w:type="dxa"/>
            <w:shd w:val="clear" w:color="auto" w:fill="2A78D6"/>
          </w:tcPr>
          <w:p>
            <w:pPr>
              <w:pStyle w:val="TableText"/>
            </w:pPr>
            <w:r>
              <w:rPr>
                <w:b/>
                <w:color w:val="FFFFFF"/>
                <w:sz w:val="18"/>
                <w:szCs w:val="18"/>
              </w:rPr>
              <w:t xml:space="preserve">Où</w:t>
            </w:r>
          </w:p>
        </w:tc>
        <w:tc>
          <w:tcPr>
            <w:tcW w:w="4756" w:type="dxa"/>
            <w:shd w:val="clear" w:color="auto" w:fill="2A78D6"/>
          </w:tcPr>
          <w:p>
            <w:pPr>
              <w:pStyle w:val="TableText"/>
            </w:pPr>
            <w:r>
              <w:rPr>
                <w:b/>
                <w:color w:val="FFFFFF"/>
                <w:sz w:val="18"/>
                <w:szCs w:val="18"/>
              </w:rPr>
              <w:t xml:space="preserve">Attendu / action</w:t>
            </w:r>
          </w:p>
        </w:tc>
      </w:tr>
      <w:tr>
        <w:trPr>
          <w:cantSplit/>
        </w:trPr>
        <w:tc>
          <w:tcPr>
            <w:tcW w:w="500" w:type="dxa"/>
          </w:tcPr>
          <w:p>
            <w:pPr>
              <w:pStyle w:val="TableText"/>
            </w:pPr>
            <w:r>
              <w:rPr>
                <w:sz w:val="18"/>
                <w:szCs w:val="18"/>
              </w:rPr>
              <w:t xml:space="preserve">1</w:t>
            </w:r>
          </w:p>
        </w:tc>
        <w:tc>
          <w:tcPr>
            <w:tcW w:w="2503" w:type="dxa"/>
          </w:tcPr>
          <w:p>
            <w:pPr>
              <w:pStyle w:val="TableText"/>
            </w:pPr>
            <w:r>
              <w:rPr>
                <w:sz w:val="18"/>
                <w:szCs w:val="18"/>
              </w:rPr>
              <w:t xml:space="preserve">Badge d'état en haut à droite</w:t>
            </w:r>
          </w:p>
        </w:tc>
        <w:tc>
          <w:tcPr>
            <w:tcW w:w="1877" w:type="dxa"/>
          </w:tcPr>
          <w:p>
            <w:pPr>
              <w:pStyle w:val="TableText"/>
            </w:pPr>
            <w:r>
              <w:rPr>
                <w:sz w:val="18"/>
                <w:szCs w:val="18"/>
              </w:rPr>
              <w:t xml:space="preserve">Interface web</w:t>
            </w:r>
          </w:p>
        </w:tc>
        <w:tc>
          <w:tcPr>
            <w:tcW w:w="4756" w:type="dxa"/>
          </w:tcPr>
          <w:p>
            <w:pPr>
              <w:pStyle w:val="TableText"/>
            </w:pPr>
            <w:r>
              <w:rPr>
                <w:sz w:val="18"/>
                <w:szCs w:val="18"/>
              </w:rPr>
              <w:t xml:space="preserve">« ✓ Collectes OK · il y a x min » (moins de 15 min). Sinon : § 11</w:t>
            </w:r>
          </w:p>
        </w:tc>
      </w:tr>
      <w:tr>
        <w:trPr>
          <w:cantSplit/>
        </w:trPr>
        <w:tc>
          <w:tcPr>
            <w:tcW w:w="500" w:type="dxa"/>
            <w:shd w:val="clear" w:color="auto" w:fill="F4F7FC"/>
          </w:tcPr>
          <w:p>
            <w:pPr>
              <w:pStyle w:val="TableText"/>
            </w:pPr>
            <w:r>
              <w:rPr>
                <w:sz w:val="18"/>
                <w:szCs w:val="18"/>
              </w:rPr>
              <w:t xml:space="preserve">2</w:t>
            </w:r>
          </w:p>
        </w:tc>
        <w:tc>
          <w:tcPr>
            <w:tcW w:w="2503" w:type="dxa"/>
            <w:shd w:val="clear" w:color="auto" w:fill="F4F7FC"/>
          </w:tcPr>
          <w:p>
            <w:pPr>
              <w:pStyle w:val="TableText"/>
            </w:pPr>
            <w:r>
              <w:rPr>
                <w:sz w:val="18"/>
                <w:szCs w:val="18"/>
              </w:rPr>
              <w:t xml:space="preserve">Bandeau d'alertes</w:t>
            </w:r>
          </w:p>
        </w:tc>
        <w:tc>
          <w:tcPr>
            <w:tcW w:w="1877" w:type="dxa"/>
            <w:shd w:val="clear" w:color="auto" w:fill="F4F7FC"/>
          </w:tcPr>
          <w:p>
            <w:pPr>
              <w:pStyle w:val="TableText"/>
            </w:pPr>
            <w:r>
              <w:rPr>
                <w:sz w:val="18"/>
                <w:szCs w:val="18"/>
              </w:rPr>
              <w:t xml:space="preserve">Tableau de bord</w:t>
            </w:r>
          </w:p>
        </w:tc>
        <w:tc>
          <w:tcPr>
            <w:tcW w:w="4756" w:type="dxa"/>
            <w:shd w:val="clear" w:color="auto" w:fill="F4F7FC"/>
          </w:tcPr>
          <w:p>
            <w:pPr>
              <w:pStyle w:val="TableText"/>
            </w:pPr>
            <w:r>
              <w:rPr>
                <w:sz w:val="18"/>
                <w:szCs w:val="18"/>
              </w:rPr>
              <w:t xml:space="preserve">Traiter les alertes critiques (collecte, expiration ≤ 7 j) ; informer le responsable applicatif des autres</w:t>
            </w:r>
          </w:p>
        </w:tc>
      </w:tr>
      <w:tr>
        <w:trPr>
          <w:cantSplit/>
        </w:trPr>
        <w:tc>
          <w:tcPr>
            <w:tcW w:w="500" w:type="dxa"/>
          </w:tcPr>
          <w:p>
            <w:pPr>
              <w:pStyle w:val="TableText"/>
            </w:pPr>
            <w:r>
              <w:rPr>
                <w:sz w:val="18"/>
                <w:szCs w:val="18"/>
              </w:rPr>
              <w:t xml:space="preserve">3</w:t>
            </w:r>
          </w:p>
        </w:tc>
        <w:tc>
          <w:tcPr>
            <w:tcW w:w="2503" w:type="dxa"/>
          </w:tcPr>
          <w:p>
            <w:pPr>
              <w:pStyle w:val="TableText"/>
            </w:pPr>
            <w:r>
              <w:rPr>
                <w:sz w:val="18"/>
                <w:szCs w:val="18"/>
              </w:rPr>
              <w:t xml:space="preserve">Bloc « Serveurs et échéances »</w:t>
            </w:r>
          </w:p>
        </w:tc>
        <w:tc>
          <w:tcPr>
            <w:tcW w:w="1877" w:type="dxa"/>
          </w:tcPr>
          <w:p>
            <w:pPr>
              <w:pStyle w:val="TableText"/>
            </w:pPr>
            <w:r>
              <w:rPr>
                <w:sz w:val="18"/>
                <w:szCs w:val="18"/>
              </w:rPr>
              <w:t xml:space="preserve">Tableau de bord</w:t>
            </w:r>
          </w:p>
        </w:tc>
        <w:tc>
          <w:tcPr>
            <w:tcW w:w="4756" w:type="dxa"/>
          </w:tcPr>
          <w:p>
            <w:pPr>
              <w:pStyle w:val="TableText"/>
            </w:pPr>
            <w:r>
              <w:rPr>
                <w:sz w:val="18"/>
                <w:szCs w:val="18"/>
              </w:rPr>
              <w:t xml:space="preserve">Tous les serveurs « Opérationnel »</w:t>
            </w:r>
          </w:p>
        </w:tc>
      </w:tr>
      <w:tr>
        <w:trPr>
          <w:cantSplit/>
        </w:trPr>
        <w:tc>
          <w:tcPr>
            <w:tcW w:w="500" w:type="dxa"/>
            <w:shd w:val="clear" w:color="auto" w:fill="F4F7FC"/>
          </w:tcPr>
          <w:p>
            <w:pPr>
              <w:pStyle w:val="TableText"/>
            </w:pPr>
            <w:r>
              <w:rPr>
                <w:sz w:val="18"/>
                <w:szCs w:val="18"/>
              </w:rPr>
              <w:t xml:space="preserve">4</w:t>
            </w:r>
          </w:p>
        </w:tc>
        <w:tc>
          <w:tcPr>
            <w:tcW w:w="2503" w:type="dxa"/>
            <w:shd w:val="clear" w:color="auto" w:fill="F4F7FC"/>
          </w:tcPr>
          <w:p>
            <w:pPr>
              <w:pStyle w:val="TableText"/>
            </w:pPr>
            <w:r>
              <w:rPr>
                <w:sz w:val="18"/>
                <w:szCs w:val="18"/>
              </w:rPr>
              <w:t xml:space="preserve">Dernier résultat des tâches</w:t>
            </w:r>
          </w:p>
        </w:tc>
        <w:tc>
          <w:tcPr>
            <w:tcW w:w="1877" w:type="dxa"/>
            <w:shd w:val="clear" w:color="auto" w:fill="F4F7FC"/>
          </w:tcPr>
          <w:p>
            <w:pPr>
              <w:pStyle w:val="TableText"/>
            </w:pPr>
            <w:r>
              <w:rPr>
                <w:sz w:val="18"/>
                <w:szCs w:val="18"/>
              </w:rPr>
              <w:t xml:space="preserve">Planificateur de tâches</w:t>
            </w:r>
          </w:p>
        </w:tc>
        <w:tc>
          <w:tcPr>
            <w:tcW w:w="4756" w:type="dxa"/>
            <w:shd w:val="clear" w:color="auto" w:fill="F4F7FC"/>
          </w:tcPr>
          <w:p>
            <w:pPr>
              <w:pStyle w:val="TableText"/>
            </w:pPr>
            <w:r>
              <w:rPr>
                <w:sz w:val="18"/>
                <w:szCs w:val="18"/>
              </w:rPr>
              <w:t xml:space="preserve">0x0 pour toutes les tâches</w:t>
            </w:r>
          </w:p>
        </w:tc>
      </w:tr>
    </w:tbl>
    <w:p>
      <w:pPr>
        <w:spacing w:after="80"/>
      </w:pPr>
    </w:p>
    <w:p>
      <w:pPr>
        <w:pStyle w:val="Heading2"/>
      </w:pPr>
      <w:bookmarkStart w:id="70" w:name="_Toc00070"/>
      <w:r>
        <w:rPr/>
        <w:t xml:space="preserve">7.4 Contrôles hebdomadaires et mensuels (N2)</w:t>
      </w:r>
      <w:bookmarkEnd w:id="70"/>
    </w:p>
    <w:p>
      <w:pPr>
        <w:pStyle w:val="Caption"/>
        <w:keepNext/>
      </w:pPr>
      <w:r>
        <w:rPr/>
        <w:t xml:space="preserve">Tableau 17 – Contrôles périodiques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740"/>
        <w:gridCol w:w="4015"/>
        <w:gridCol w:w="3881"/>
      </w:tblGrid>
      <w:tr>
        <w:trPr>
          <w:tblHeader/>
          <w:cantSplit/>
        </w:trPr>
        <w:tc>
          <w:tcPr>
            <w:tcW w:w="1740" w:type="dxa"/>
            <w:shd w:val="clear" w:color="auto" w:fill="2A78D6"/>
          </w:tcPr>
          <w:p>
            <w:pPr>
              <w:pStyle w:val="TableText"/>
            </w:pPr>
            <w:r>
              <w:rPr>
                <w:b/>
                <w:color w:val="FFFFFF"/>
                <w:sz w:val="18"/>
                <w:szCs w:val="18"/>
              </w:rPr>
              <w:t xml:space="preserve">Fréquence</w:t>
            </w:r>
          </w:p>
        </w:tc>
        <w:tc>
          <w:tcPr>
            <w:tcW w:w="4015" w:type="dxa"/>
            <w:shd w:val="clear" w:color="auto" w:fill="2A78D6"/>
          </w:tcPr>
          <w:p>
            <w:pPr>
              <w:pStyle w:val="TableText"/>
            </w:pPr>
            <w:r>
              <w:rPr>
                <w:b/>
                <w:color w:val="FFFFFF"/>
                <w:sz w:val="18"/>
                <w:szCs w:val="18"/>
              </w:rPr>
              <w:t xml:space="preserve">Contrôle</w:t>
            </w:r>
          </w:p>
        </w:tc>
        <w:tc>
          <w:tcPr>
            <w:tcW w:w="3881" w:type="dxa"/>
            <w:shd w:val="clear" w:color="auto" w:fill="2A78D6"/>
          </w:tcPr>
          <w:p>
            <w:pPr>
              <w:pStyle w:val="TableText"/>
            </w:pPr>
            <w:r>
              <w:rPr>
                <w:b/>
                <w:color w:val="FFFFFF"/>
                <w:sz w:val="18"/>
                <w:szCs w:val="18"/>
              </w:rPr>
              <w:t xml:space="preserve">Action</w:t>
            </w:r>
          </w:p>
        </w:tc>
      </w:tr>
      <w:tr>
        <w:trPr>
          <w:cantSplit/>
        </w:trPr>
        <w:tc>
          <w:tcPr>
            <w:tcW w:w="1740" w:type="dxa"/>
          </w:tcPr>
          <w:p>
            <w:pPr>
              <w:pStyle w:val="TableText"/>
            </w:pPr>
            <w:r>
              <w:rPr>
                <w:sz w:val="18"/>
                <w:szCs w:val="18"/>
              </w:rPr>
              <w:t xml:space="preserve">Hebdomadaire</w:t>
            </w:r>
          </w:p>
        </w:tc>
        <w:tc>
          <w:tcPr>
            <w:tcW w:w="4015" w:type="dxa"/>
          </w:tcPr>
          <w:p>
            <w:pPr>
              <w:pStyle w:val="TableText"/>
            </w:pPr>
            <w:r>
              <w:rPr>
                <w:sz w:val="18"/>
                <w:szCs w:val="18"/>
              </w:rPr>
              <w:t xml:space="preserve">Erreurs dans </w:t>
            </w:r>
            <w:r>
              <w:rPr>
                <w:rFonts w:ascii="Consolas" w:hAnsi="Consolas" w:cs="Consolas"/>
                <w:color w:val="1C5CAB"/>
                <w:sz w:val="18"/>
                <w:szCs w:val="18"/>
                <w:shd w:val="clear" w:color="auto" w:fill="EEF3FA"/>
              </w:rPr>
              <w:t xml:space="preserve">heptagoneslm.log</w:t>
            </w:r>
            <w:r>
              <w:rPr>
                <w:sz w:val="18"/>
                <w:szCs w:val="18"/>
              </w:rPr>
              <w:t xml:space="preserve"> (niveau ERROR / WARNING)</w:t>
            </w:r>
          </w:p>
        </w:tc>
        <w:tc>
          <w:tcPr>
            <w:tcW w:w="3881" w:type="dxa"/>
          </w:tcPr>
          <w:p>
            <w:pPr>
              <w:pStyle w:val="TableText"/>
            </w:pPr>
            <w:r>
              <w:rPr>
                <w:sz w:val="18"/>
                <w:szCs w:val="18"/>
              </w:rPr>
              <w:t xml:space="preserve">Analyser, ouvrir un incident si récurrent</w:t>
            </w:r>
          </w:p>
        </w:tc>
      </w:tr>
      <w:tr>
        <w:trPr>
          <w:cantSplit/>
        </w:trPr>
        <w:tc>
          <w:tcPr>
            <w:tcW w:w="1740" w:type="dxa"/>
            <w:shd w:val="clear" w:color="auto" w:fill="F4F7FC"/>
          </w:tcPr>
          <w:p>
            <w:pPr>
              <w:pStyle w:val="TableText"/>
            </w:pPr>
            <w:r>
              <w:rPr>
                <w:sz w:val="18"/>
                <w:szCs w:val="18"/>
              </w:rPr>
              <w:t xml:space="preserve">Hebdomadaire</w:t>
            </w:r>
          </w:p>
        </w:tc>
        <w:tc>
          <w:tcPr>
            <w:tcW w:w="4015" w:type="dxa"/>
            <w:shd w:val="clear" w:color="auto" w:fill="F4F7FC"/>
          </w:tcPr>
          <w:p>
            <w:pPr>
              <w:pStyle w:val="TableText"/>
            </w:pPr>
            <w:r>
              <w:rPr>
                <w:sz w:val="18"/>
                <w:szCs w:val="18"/>
              </w:rPr>
              <w:t xml:space="preserve">Espace disque du serveur et taille de la base</w:t>
            </w:r>
          </w:p>
        </w:tc>
        <w:tc>
          <w:tcPr>
            <w:tcW w:w="3881" w:type="dxa"/>
            <w:shd w:val="clear" w:color="auto" w:fill="F4F7FC"/>
          </w:tcPr>
          <w:p>
            <w:pPr>
              <w:pStyle w:val="TableText"/>
            </w:pPr>
            <w:r>
              <w:rPr>
                <w:sz w:val="18"/>
                <w:szCs w:val="18"/>
              </w:rPr>
              <w:t xml:space="preserve">Vérifier que la purge s'exécute</w:t>
            </w:r>
          </w:p>
        </w:tc>
      </w:tr>
      <w:tr>
        <w:trPr>
          <w:cantSplit/>
        </w:trPr>
        <w:tc>
          <w:tcPr>
            <w:tcW w:w="1740" w:type="dxa"/>
          </w:tcPr>
          <w:p>
            <w:pPr>
              <w:pStyle w:val="TableText"/>
            </w:pPr>
            <w:r>
              <w:rPr>
                <w:sz w:val="18"/>
                <w:szCs w:val="18"/>
              </w:rPr>
              <w:t xml:space="preserve">Hebdomadaire</w:t>
            </w:r>
          </w:p>
        </w:tc>
        <w:tc>
          <w:tcPr>
            <w:tcW w:w="4015" w:type="dxa"/>
          </w:tcPr>
          <w:p>
            <w:pPr>
              <w:pStyle w:val="TableText"/>
            </w:pPr>
            <w:r>
              <w:rPr>
                <w:sz w:val="18"/>
                <w:szCs w:val="18"/>
              </w:rPr>
              <w:t xml:space="preserve">Vue Collectes : taux d'échec par serveur</w:t>
            </w:r>
          </w:p>
        </w:tc>
        <w:tc>
          <w:tcPr>
            <w:tcW w:w="3881" w:type="dxa"/>
          </w:tcPr>
          <w:p>
            <w:pPr>
              <w:pStyle w:val="TableText"/>
            </w:pPr>
            <w:r>
              <w:rPr>
                <w:sz w:val="18"/>
                <w:szCs w:val="18"/>
              </w:rPr>
              <w:t xml:space="preserve">Échecs répétés → flux, serveur de licences, délai</w:t>
            </w:r>
          </w:p>
        </w:tc>
      </w:tr>
      <w:tr>
        <w:trPr>
          <w:cantSplit/>
        </w:trPr>
        <w:tc>
          <w:tcPr>
            <w:tcW w:w="1740" w:type="dxa"/>
            <w:shd w:val="clear" w:color="auto" w:fill="F4F7FC"/>
          </w:tcPr>
          <w:p>
            <w:pPr>
              <w:pStyle w:val="TableText"/>
            </w:pPr>
            <w:r>
              <w:rPr>
                <w:sz w:val="18"/>
                <w:szCs w:val="18"/>
              </w:rPr>
              <w:t xml:space="preserve">Mensuelle (le 2)</w:t>
            </w:r>
          </w:p>
        </w:tc>
        <w:tc>
          <w:tcPr>
            <w:tcW w:w="4015" w:type="dxa"/>
            <w:shd w:val="clear" w:color="auto" w:fill="F4F7FC"/>
          </w:tcPr>
          <w:p>
            <w:pPr>
              <w:pStyle w:val="TableText"/>
            </w:pPr>
            <w:r>
              <w:rPr>
                <w:sz w:val="18"/>
                <w:szCs w:val="18"/>
              </w:rPr>
              <w:t xml:space="preserve">Rapport mensuel présent dans </w:t>
            </w:r>
            <w:r>
              <w:rPr>
                <w:rFonts w:ascii="Consolas" w:hAnsi="Consolas" w:cs="Consolas"/>
                <w:color w:val="1C5CAB"/>
                <w:sz w:val="18"/>
                <w:szCs w:val="18"/>
                <w:shd w:val="clear" w:color="auto" w:fill="EEF3FA"/>
              </w:rPr>
              <w:t xml:space="preserve">reports\</w:t>
            </w:r>
          </w:p>
        </w:tc>
        <w:tc>
          <w:tcPr>
            <w:tcW w:w="3881" w:type="dxa"/>
            <w:shd w:val="clear" w:color="auto" w:fill="F4F7FC"/>
          </w:tcPr>
          <w:p>
            <w:pPr>
              <w:pStyle w:val="TableText"/>
            </w:pPr>
            <w:r>
              <w:rPr>
                <w:sz w:val="18"/>
                <w:szCs w:val="18"/>
              </w:rPr>
              <w:t xml:space="preserve">Sinon relancer « HeptagonesLM - Rapport mensuel »</w:t>
            </w:r>
          </w:p>
        </w:tc>
      </w:tr>
      <w:tr>
        <w:trPr>
          <w:cantSplit/>
        </w:trPr>
        <w:tc>
          <w:tcPr>
            <w:tcW w:w="1740" w:type="dxa"/>
          </w:tcPr>
          <w:p>
            <w:pPr>
              <w:pStyle w:val="TableText"/>
            </w:pPr>
            <w:r>
              <w:rPr>
                <w:sz w:val="18"/>
                <w:szCs w:val="18"/>
              </w:rPr>
              <w:t xml:space="preserve">Mensuelle (le 2)</w:t>
            </w:r>
          </w:p>
        </w:tc>
        <w:tc>
          <w:tcPr>
            <w:tcW w:w="4015" w:type="dxa"/>
          </w:tcPr>
          <w:p>
            <w:pPr>
              <w:pStyle w:val="TableText"/>
            </w:pPr>
            <w:r>
              <w:rPr>
                <w:sz w:val="18"/>
                <w:szCs w:val="18"/>
              </w:rPr>
              <w:t xml:space="preserve">E-mails envoyés (</w:t>
            </w:r>
            <w:r>
              <w:rPr>
                <w:rFonts w:ascii="Consolas" w:hAnsi="Consolas" w:cs="Consolas"/>
                <w:color w:val="1C5CAB"/>
                <w:sz w:val="18"/>
                <w:szCs w:val="18"/>
                <w:shd w:val="clear" w:color="auto" w:fill="EEF3FA"/>
              </w:rPr>
              <w:t xml:space="preserve">report_delivery</w:t>
            </w:r>
            <w:r>
              <w:rPr>
                <w:sz w:val="18"/>
                <w:szCs w:val="18"/>
              </w:rPr>
              <w:t xml:space="preserve">)</w:t>
            </w:r>
          </w:p>
        </w:tc>
        <w:tc>
          <w:tcPr>
            <w:tcW w:w="3881" w:type="dxa"/>
          </w:tcPr>
          <w:p>
            <w:pPr>
              <w:pStyle w:val="TableText"/>
            </w:pPr>
            <w:r>
              <w:rPr>
                <w:sz w:val="18"/>
                <w:szCs w:val="18"/>
              </w:rPr>
              <w:t xml:space="preserve">Sinon voir § 11</w:t>
            </w:r>
          </w:p>
        </w:tc>
      </w:tr>
      <w:tr>
        <w:trPr>
          <w:cantSplit/>
        </w:trPr>
        <w:tc>
          <w:tcPr>
            <w:tcW w:w="1740" w:type="dxa"/>
            <w:shd w:val="clear" w:color="auto" w:fill="F4F7FC"/>
          </w:tcPr>
          <w:p>
            <w:pPr>
              <w:pStyle w:val="TableText"/>
            </w:pPr>
            <w:r>
              <w:rPr>
                <w:sz w:val="18"/>
                <w:szCs w:val="18"/>
              </w:rPr>
              <w:t xml:space="preserve">Mensuelle</w:t>
            </w:r>
          </w:p>
        </w:tc>
        <w:tc>
          <w:tcPr>
            <w:tcW w:w="4015" w:type="dxa"/>
            <w:shd w:val="clear" w:color="auto" w:fill="F4F7FC"/>
          </w:tcPr>
          <w:p>
            <w:pPr>
              <w:pStyle w:val="TableText"/>
            </w:pPr>
            <w:r>
              <w:rPr>
                <w:sz w:val="18"/>
                <w:szCs w:val="18"/>
              </w:rPr>
              <w:t xml:space="preserve">Journal d'audit (connexions, échecs, exports)</w:t>
            </w:r>
          </w:p>
        </w:tc>
        <w:tc>
          <w:tcPr>
            <w:tcW w:w="3881" w:type="dxa"/>
            <w:shd w:val="clear" w:color="auto" w:fill="F4F7FC"/>
          </w:tcPr>
          <w:p>
            <w:pPr>
              <w:pStyle w:val="TableText"/>
            </w:pPr>
            <w:r>
              <w:rPr>
                <w:sz w:val="18"/>
                <w:szCs w:val="18"/>
              </w:rPr>
              <w:t xml:space="preserve">Signaler les anomalies au RSSI</w:t>
            </w:r>
          </w:p>
        </w:tc>
      </w:tr>
      <w:tr>
        <w:trPr>
          <w:cantSplit/>
        </w:trPr>
        <w:tc>
          <w:tcPr>
            <w:tcW w:w="1740" w:type="dxa"/>
          </w:tcPr>
          <w:p>
            <w:pPr>
              <w:pStyle w:val="TableText"/>
            </w:pPr>
            <w:r>
              <w:rPr>
                <w:sz w:val="18"/>
                <w:szCs w:val="18"/>
              </w:rPr>
              <w:t xml:space="preserve">Mensuelle</w:t>
            </w:r>
          </w:p>
        </w:tc>
        <w:tc>
          <w:tcPr>
            <w:tcW w:w="4015" w:type="dxa"/>
          </w:tcPr>
          <w:p>
            <w:pPr>
              <w:pStyle w:val="TableText"/>
            </w:pPr>
            <w:r>
              <w:rPr>
                <w:sz w:val="18"/>
                <w:szCs w:val="18"/>
              </w:rPr>
              <w:t xml:space="preserve">Échéances de licences à 120 jours</w:t>
            </w:r>
          </w:p>
        </w:tc>
        <w:tc>
          <w:tcPr>
            <w:tcW w:w="3881" w:type="dxa"/>
          </w:tcPr>
          <w:p>
            <w:pPr>
              <w:pStyle w:val="TableText"/>
            </w:pPr>
            <w:r>
              <w:rPr>
                <w:sz w:val="18"/>
                <w:szCs w:val="18"/>
              </w:rPr>
              <w:t xml:space="preserve">Transmettre au responsable applicatif / achats</w:t>
            </w:r>
          </w:p>
        </w:tc>
      </w:tr>
      <w:tr>
        <w:trPr>
          <w:cantSplit/>
        </w:trPr>
        <w:tc>
          <w:tcPr>
            <w:tcW w:w="1740" w:type="dxa"/>
            <w:shd w:val="clear" w:color="auto" w:fill="F4F7FC"/>
          </w:tcPr>
          <w:p>
            <w:pPr>
              <w:pStyle w:val="TableText"/>
            </w:pPr>
            <w:r>
              <w:rPr>
                <w:sz w:val="18"/>
                <w:szCs w:val="18"/>
              </w:rPr>
              <w:t xml:space="preserve">Trimestrielle</w:t>
            </w:r>
          </w:p>
        </w:tc>
        <w:tc>
          <w:tcPr>
            <w:tcW w:w="4015" w:type="dxa"/>
            <w:shd w:val="clear" w:color="auto" w:fill="F4F7FC"/>
          </w:tcPr>
          <w:p>
            <w:pPr>
              <w:pStyle w:val="TableText"/>
            </w:pPr>
            <w:r>
              <w:rPr>
                <w:sz w:val="18"/>
                <w:szCs w:val="18"/>
              </w:rPr>
              <w:t xml:space="preserve">Revue des membres du groupe d'accès</w:t>
            </w:r>
          </w:p>
        </w:tc>
        <w:tc>
          <w:tcPr>
            <w:tcW w:w="3881" w:type="dxa"/>
            <w:shd w:val="clear" w:color="auto" w:fill="F4F7FC"/>
          </w:tcPr>
          <w:p>
            <w:pPr>
              <w:pStyle w:val="TableText"/>
            </w:pPr>
            <w:r>
              <w:rPr>
                <w:sz w:val="18"/>
                <w:szCs w:val="18"/>
              </w:rPr>
              <w:t xml:space="preserve">Retirer les personnes sans besoin</w:t>
            </w:r>
          </w:p>
        </w:tc>
      </w:tr>
      <w:tr>
        <w:trPr>
          <w:cantSplit/>
        </w:trPr>
        <w:tc>
          <w:tcPr>
            <w:tcW w:w="1740" w:type="dxa"/>
          </w:tcPr>
          <w:p>
            <w:pPr>
              <w:pStyle w:val="TableText"/>
            </w:pPr>
            <w:r>
              <w:rPr>
                <w:sz w:val="18"/>
                <w:szCs w:val="18"/>
              </w:rPr>
              <w:t xml:space="preserve">Annuelle</w:t>
            </w:r>
          </w:p>
        </w:tc>
        <w:tc>
          <w:tcPr>
            <w:tcW w:w="4015" w:type="dxa"/>
          </w:tcPr>
          <w:p>
            <w:pPr>
              <w:pStyle w:val="TableText"/>
            </w:pPr>
            <w:r>
              <w:rPr>
                <w:sz w:val="18"/>
                <w:szCs w:val="18"/>
              </w:rPr>
              <w:t xml:space="preserve">Certificat HTTPS, test de restauration</w:t>
            </w:r>
          </w:p>
        </w:tc>
        <w:tc>
          <w:tcPr>
            <w:tcW w:w="3881" w:type="dxa"/>
          </w:tcPr>
          <w:p>
            <w:pPr>
              <w:pStyle w:val="TableText"/>
            </w:pPr>
            <w:r>
              <w:rPr>
                <w:sz w:val="18"/>
                <w:szCs w:val="18"/>
              </w:rPr>
              <w:t xml:space="preserve">Renouveler avant expiration ; restaurer sur un serveur de test</w:t>
            </w:r>
          </w:p>
        </w:tc>
      </w:tr>
    </w:tbl>
    <w:p>
      <w:pPr>
        <w:spacing w:after="80"/>
      </w:pPr>
    </w:p>
    <w:p>
      <w:pPr>
        <w:pStyle w:val="Heading2"/>
      </w:pPr>
      <w:bookmarkStart w:id="71" w:name="_Toc00071"/>
      <w:r>
        <w:rPr/>
        <w:t xml:space="preserve">7.5 Supervision</w:t>
      </w:r>
      <w:bookmarkEnd w:id="71"/>
    </w:p>
    <w:p>
      <w:pPr/>
      <w:r>
        <w:rPr/>
        <w:t xml:space="preserve">HeptagonesLM peut être supervisé par l'outil de l'entreprise (Centreon, Zabbix, SCOM, PRTG…) avec les sondes suivantes :</w:t>
      </w:r>
    </w:p>
    <w:p>
      <w:pPr>
        <w:pStyle w:val="Caption"/>
        <w:keepNext/>
      </w:pPr>
      <w:r>
        <w:rPr/>
        <w:t xml:space="preserve">Tableau 18 – Sondes de supervision</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478"/>
        <w:gridCol w:w="4130"/>
        <w:gridCol w:w="3029"/>
      </w:tblGrid>
      <w:tr>
        <w:trPr>
          <w:tblHeader/>
          <w:cantSplit/>
        </w:trPr>
        <w:tc>
          <w:tcPr>
            <w:tcW w:w="2478" w:type="dxa"/>
            <w:shd w:val="clear" w:color="auto" w:fill="2A78D6"/>
          </w:tcPr>
          <w:p>
            <w:pPr>
              <w:pStyle w:val="TableText"/>
            </w:pPr>
            <w:r>
              <w:rPr>
                <w:b/>
                <w:color w:val="FFFFFF"/>
                <w:sz w:val="18"/>
                <w:szCs w:val="18"/>
              </w:rPr>
              <w:t xml:space="preserve">Sonde</w:t>
            </w:r>
          </w:p>
        </w:tc>
        <w:tc>
          <w:tcPr>
            <w:tcW w:w="4130" w:type="dxa"/>
            <w:shd w:val="clear" w:color="auto" w:fill="2A78D6"/>
          </w:tcPr>
          <w:p>
            <w:pPr>
              <w:pStyle w:val="TableText"/>
            </w:pPr>
            <w:r>
              <w:rPr>
                <w:b/>
                <w:color w:val="FFFFFF"/>
                <w:sz w:val="18"/>
                <w:szCs w:val="18"/>
              </w:rPr>
              <w:t xml:space="preserve">Méthode</w:t>
            </w:r>
          </w:p>
        </w:tc>
        <w:tc>
          <w:tcPr>
            <w:tcW w:w="3029" w:type="dxa"/>
            <w:shd w:val="clear" w:color="auto" w:fill="2A78D6"/>
          </w:tcPr>
          <w:p>
            <w:pPr>
              <w:pStyle w:val="TableText"/>
            </w:pPr>
            <w:r>
              <w:rPr>
                <w:b/>
                <w:color w:val="FFFFFF"/>
                <w:sz w:val="18"/>
                <w:szCs w:val="18"/>
              </w:rPr>
              <w:t xml:space="preserve">Seuil d'alerte</w:t>
            </w:r>
          </w:p>
        </w:tc>
      </w:tr>
      <w:tr>
        <w:trPr>
          <w:cantSplit/>
        </w:trPr>
        <w:tc>
          <w:tcPr>
            <w:tcW w:w="2478" w:type="dxa"/>
          </w:tcPr>
          <w:p>
            <w:pPr>
              <w:pStyle w:val="TableText"/>
            </w:pPr>
            <w:r>
              <w:rPr>
                <w:sz w:val="18"/>
                <w:szCs w:val="18"/>
              </w:rPr>
              <w:t xml:space="preserve">Fraîcheur de la collecte</w:t>
            </w:r>
          </w:p>
        </w:tc>
        <w:tc>
          <w:tcPr>
            <w:tcW w:w="4130" w:type="dxa"/>
          </w:tcPr>
          <w:p>
            <w:pPr>
              <w:pStyle w:val="TableText"/>
            </w:pPr>
            <w:r>
              <w:rPr>
                <w:sz w:val="18"/>
                <w:szCs w:val="18"/>
              </w:rPr>
              <w:t xml:space="preserve">Requête SQL « dernière collecte OK par serveur » (annexe C)</w:t>
            </w:r>
          </w:p>
        </w:tc>
        <w:tc>
          <w:tcPr>
            <w:tcW w:w="3029" w:type="dxa"/>
          </w:tcPr>
          <w:p>
            <w:pPr>
              <w:pStyle w:val="TableText"/>
            </w:pPr>
            <w:r>
              <w:rPr>
                <w:sz w:val="18"/>
                <w:szCs w:val="18"/>
              </w:rPr>
              <w:t xml:space="preserve">Aucune collecte OK depuis 30 min</w:t>
            </w:r>
          </w:p>
        </w:tc>
      </w:tr>
      <w:tr>
        <w:trPr>
          <w:cantSplit/>
        </w:trPr>
        <w:tc>
          <w:tcPr>
            <w:tcW w:w="2478" w:type="dxa"/>
            <w:shd w:val="clear" w:color="auto" w:fill="F4F7FC"/>
          </w:tcPr>
          <w:p>
            <w:pPr>
              <w:pStyle w:val="TableText"/>
            </w:pPr>
            <w:r>
              <w:rPr>
                <w:sz w:val="18"/>
                <w:szCs w:val="18"/>
              </w:rPr>
              <w:t xml:space="preserve">Échecs de collecte</w:t>
            </w:r>
          </w:p>
        </w:tc>
        <w:tc>
          <w:tcPr>
            <w:tcW w:w="4130" w:type="dxa"/>
            <w:shd w:val="clear" w:color="auto" w:fill="F4F7FC"/>
          </w:tcPr>
          <w:p>
            <w:pPr>
              <w:pStyle w:val="TableText"/>
            </w:pPr>
            <w:r>
              <w:rPr>
                <w:sz w:val="18"/>
                <w:szCs w:val="18"/>
              </w:rPr>
              <w:t xml:space="preserve">Requête SQL sur </w:t>
            </w:r>
            <w:r>
              <w:rPr>
                <w:rFonts w:ascii="Consolas" w:hAnsi="Consolas" w:cs="Consolas"/>
                <w:color w:val="1C5CAB"/>
                <w:sz w:val="18"/>
                <w:szCs w:val="18"/>
                <w:shd w:val="clear" w:color="auto" w:fill="EEF3FA"/>
              </w:rPr>
              <w:t xml:space="preserve">collection_run.status = 'ERROR'</w:t>
            </w:r>
          </w:p>
        </w:tc>
        <w:tc>
          <w:tcPr>
            <w:tcW w:w="3029" w:type="dxa"/>
            <w:shd w:val="clear" w:color="auto" w:fill="F4F7FC"/>
          </w:tcPr>
          <w:p>
            <w:pPr>
              <w:pStyle w:val="TableText"/>
            </w:pPr>
            <w:r>
              <w:rPr>
                <w:sz w:val="18"/>
                <w:szCs w:val="18"/>
              </w:rPr>
              <w:t xml:space="preserve">3 échecs consécutifs sur un serveur</w:t>
            </w:r>
          </w:p>
        </w:tc>
      </w:tr>
      <w:tr>
        <w:trPr>
          <w:cantSplit/>
        </w:trPr>
        <w:tc>
          <w:tcPr>
            <w:tcW w:w="2478" w:type="dxa"/>
          </w:tcPr>
          <w:p>
            <w:pPr>
              <w:pStyle w:val="TableText"/>
            </w:pPr>
            <w:r>
              <w:rPr>
                <w:sz w:val="18"/>
                <w:szCs w:val="18"/>
              </w:rPr>
              <w:t xml:space="preserve">Tâche de collecte</w:t>
            </w:r>
          </w:p>
        </w:tc>
        <w:tc>
          <w:tcPr>
            <w:tcW w:w="4130" w:type="dxa"/>
          </w:tcPr>
          <w:p>
            <w:pPr>
              <w:pStyle w:val="TableText"/>
            </w:pPr>
            <w:r>
              <w:rPr>
                <w:rFonts w:ascii="Consolas" w:hAnsi="Consolas" w:cs="Consolas"/>
                <w:color w:val="1C5CAB"/>
                <w:sz w:val="18"/>
                <w:szCs w:val="18"/>
                <w:shd w:val="clear" w:color="auto" w:fill="EEF3FA"/>
              </w:rPr>
              <w:t xml:space="preserve">Get-ScheduledTaskInfo</w:t>
            </w:r>
            <w:r>
              <w:rPr>
                <w:sz w:val="18"/>
                <w:szCs w:val="18"/>
              </w:rPr>
              <w:t xml:space="preserve"> : LastTaskResult</w:t>
            </w:r>
          </w:p>
        </w:tc>
        <w:tc>
          <w:tcPr>
            <w:tcW w:w="3029" w:type="dxa"/>
          </w:tcPr>
          <w:p>
            <w:pPr>
              <w:pStyle w:val="TableText"/>
            </w:pPr>
            <w:r>
              <w:rPr>
                <w:sz w:val="18"/>
                <w:szCs w:val="18"/>
              </w:rPr>
              <w:t xml:space="preserve">≠ 0 (2 = au moins un serveur en échec)</w:t>
            </w:r>
          </w:p>
        </w:tc>
      </w:tr>
      <w:tr>
        <w:trPr>
          <w:cantSplit/>
        </w:trPr>
        <w:tc>
          <w:tcPr>
            <w:tcW w:w="2478" w:type="dxa"/>
            <w:shd w:val="clear" w:color="auto" w:fill="F4F7FC"/>
          </w:tcPr>
          <w:p>
            <w:pPr>
              <w:pStyle w:val="TableText"/>
            </w:pPr>
            <w:r>
              <w:rPr>
                <w:sz w:val="18"/>
                <w:szCs w:val="18"/>
              </w:rPr>
              <w:t xml:space="preserve">Interface web</w:t>
            </w:r>
          </w:p>
        </w:tc>
        <w:tc>
          <w:tcPr>
            <w:tcW w:w="4130" w:type="dxa"/>
            <w:shd w:val="clear" w:color="auto" w:fill="F4F7FC"/>
          </w:tcPr>
          <w:p>
            <w:pPr>
              <w:pStyle w:val="TableText"/>
            </w:pPr>
            <w:r>
              <w:rPr>
                <w:sz w:val="18"/>
                <w:szCs w:val="18"/>
              </w:rPr>
              <w:t xml:space="preserve">Requête HTTPS sur </w:t>
            </w:r>
            <w:r>
              <w:rPr>
                <w:rFonts w:ascii="Consolas" w:hAnsi="Consolas" w:cs="Consolas"/>
                <w:color w:val="1C5CAB"/>
                <w:sz w:val="18"/>
                <w:szCs w:val="18"/>
                <w:shd w:val="clear" w:color="auto" w:fill="EEF3FA"/>
              </w:rPr>
              <w:t xml:space="preserve">https://heptagoneslm…:8765/login.html</w:t>
            </w:r>
          </w:p>
        </w:tc>
        <w:tc>
          <w:tcPr>
            <w:tcW w:w="3029" w:type="dxa"/>
            <w:shd w:val="clear" w:color="auto" w:fill="F4F7FC"/>
          </w:tcPr>
          <w:p>
            <w:pPr>
              <w:pStyle w:val="TableText"/>
            </w:pPr>
            <w:r>
              <w:rPr>
                <w:sz w:val="18"/>
                <w:szCs w:val="18"/>
              </w:rPr>
              <w:t xml:space="preserve">Code ≠ 200 ou certificat &lt; 30 j</w:t>
            </w:r>
          </w:p>
        </w:tc>
      </w:tr>
      <w:tr>
        <w:trPr>
          <w:cantSplit/>
        </w:trPr>
        <w:tc>
          <w:tcPr>
            <w:tcW w:w="2478" w:type="dxa"/>
          </w:tcPr>
          <w:p>
            <w:pPr>
              <w:pStyle w:val="TableText"/>
            </w:pPr>
            <w:r>
              <w:rPr>
                <w:sz w:val="18"/>
                <w:szCs w:val="18"/>
              </w:rPr>
              <w:t xml:space="preserve">Journal</w:t>
            </w:r>
          </w:p>
        </w:tc>
        <w:tc>
          <w:tcPr>
            <w:tcW w:w="4130" w:type="dxa"/>
          </w:tcPr>
          <w:p>
            <w:pPr>
              <w:pStyle w:val="TableText"/>
            </w:pPr>
            <w:r>
              <w:rPr>
                <w:sz w:val="18"/>
                <w:szCs w:val="18"/>
              </w:rPr>
              <w:t xml:space="preserve">Recherche de « ERROR » dans </w:t>
            </w:r>
            <w:r>
              <w:rPr>
                <w:rFonts w:ascii="Consolas" w:hAnsi="Consolas" w:cs="Consolas"/>
                <w:color w:val="1C5CAB"/>
                <w:sz w:val="18"/>
                <w:szCs w:val="18"/>
                <w:shd w:val="clear" w:color="auto" w:fill="EEF3FA"/>
              </w:rPr>
              <w:t xml:space="preserve">heptagoneslm.log</w:t>
            </w:r>
          </w:p>
        </w:tc>
        <w:tc>
          <w:tcPr>
            <w:tcW w:w="3029" w:type="dxa"/>
          </w:tcPr>
          <w:p>
            <w:pPr>
              <w:pStyle w:val="TableText"/>
            </w:pPr>
            <w:r>
              <w:rPr>
                <w:sz w:val="18"/>
                <w:szCs w:val="18"/>
              </w:rPr>
              <w:t xml:space="preserve">Toute occurrence nouvelle</w:t>
            </w:r>
          </w:p>
        </w:tc>
      </w:tr>
      <w:tr>
        <w:trPr>
          <w:cantSplit/>
        </w:trPr>
        <w:tc>
          <w:tcPr>
            <w:tcW w:w="2478" w:type="dxa"/>
            <w:shd w:val="clear" w:color="auto" w:fill="F4F7FC"/>
          </w:tcPr>
          <w:p>
            <w:pPr>
              <w:pStyle w:val="TableText"/>
            </w:pPr>
            <w:r>
              <w:rPr>
                <w:sz w:val="18"/>
                <w:szCs w:val="18"/>
              </w:rPr>
              <w:t xml:space="preserve">Espace disque</w:t>
            </w:r>
          </w:p>
        </w:tc>
        <w:tc>
          <w:tcPr>
            <w:tcW w:w="4130" w:type="dxa"/>
            <w:shd w:val="clear" w:color="auto" w:fill="F4F7FC"/>
          </w:tcPr>
          <w:p>
            <w:pPr>
              <w:pStyle w:val="TableText"/>
            </w:pPr>
            <w:r>
              <w:rPr>
                <w:sz w:val="18"/>
                <w:szCs w:val="18"/>
              </w:rPr>
              <w:t xml:space="preserve">Supervision système</w:t>
            </w:r>
          </w:p>
        </w:tc>
        <w:tc>
          <w:tcPr>
            <w:tcW w:w="3029" w:type="dxa"/>
            <w:shd w:val="clear" w:color="auto" w:fill="F4F7FC"/>
          </w:tcPr>
          <w:p>
            <w:pPr>
              <w:pStyle w:val="TableText"/>
            </w:pPr>
            <w:r>
              <w:rPr>
                <w:sz w:val="18"/>
                <w:szCs w:val="18"/>
              </w:rPr>
              <w:t xml:space="preserve">&lt; 10 % libre</w:t>
            </w:r>
          </w:p>
        </w:tc>
      </w:tr>
    </w:tbl>
    <w:p>
      <w:pPr>
        <w:spacing w:after="80"/>
      </w:pPr>
    </w:p>
    <w:p>
      <w:pPr>
        <w:pStyle w:val="Code"/>
      </w:pPr>
      <w:r>
        <w:t xml:space="preserve">Get-ScheduledTask -TaskPath "\HeptagonesLM\" | Get-ScheduledTaskInfo |</w:t>
      </w:r>
    </w:p>
    <w:p>
      <w:pPr>
        <w:pStyle w:val="Code"/>
      </w:pPr>
      <w:r>
        <w:t xml:space="preserve">  Select-Object TaskName, LastRunTime, LastTaskResult, NextRunTime | Format-Table -AutoSize</w:t>
      </w:r>
    </w:p>
    <w:p>
      <w:pPr>
        <w:pStyle w:val="Heading2"/>
      </w:pPr>
      <w:bookmarkStart w:id="72" w:name="_Toc00072"/>
      <w:r>
        <w:rPr/>
        <w:t xml:space="preserve">7.6 Journaux</w:t>
      </w:r>
      <w:bookmarkEnd w:id="72"/>
    </w:p>
    <w:p>
      <w:pPr/>
      <w:r>
        <w:rPr/>
        <w:t xml:space="preserve">Toutes les commandes écrivent dans le fichier défini par </w:t>
      </w:r>
      <w:r>
        <w:rPr>
          <w:rFonts w:ascii="Consolas" w:hAnsi="Consolas" w:cs="Consolas"/>
          <w:color w:val="1C5CAB"/>
          <w:sz w:val="18"/>
          <w:szCs w:val="18"/>
          <w:shd w:val="clear" w:color="auto" w:fill="EEF3FA"/>
        </w:rPr>
        <w:t xml:space="preserve">logging.file</w:t>
      </w:r>
      <w:r>
        <w:rPr/>
        <w:t xml:space="preserve"> (par défaut </w:t>
      </w:r>
      <w:r>
        <w:rPr>
          <w:rFonts w:ascii="Consolas" w:hAnsi="Consolas" w:cs="Consolas"/>
          <w:color w:val="1C5CAB"/>
          <w:sz w:val="18"/>
          <w:szCs w:val="18"/>
          <w:shd w:val="clear" w:color="auto" w:fill="EEF3FA"/>
        </w:rPr>
        <w:t xml:space="preserve">C:\HeptagonesLM\logs\heptagoneslm.log</w:t>
      </w:r>
      <w:r>
        <w:rPr/>
        <w:t xml:space="preserve">), avec une rotation automatique à 5 Mo et 5 fichiers conservés (</w:t>
      </w:r>
      <w:r>
        <w:rPr>
          <w:rFonts w:ascii="Consolas" w:hAnsi="Consolas" w:cs="Consolas"/>
          <w:color w:val="1C5CAB"/>
          <w:sz w:val="18"/>
          <w:szCs w:val="18"/>
          <w:shd w:val="clear" w:color="auto" w:fill="EEF3FA"/>
        </w:rPr>
        <w:t xml:space="preserve">heptagoneslm.log.1</w:t>
      </w:r>
      <w:r>
        <w:rPr/>
        <w:t xml:space="preserve"> à </w:t>
      </w:r>
      <w:r>
        <w:rPr>
          <w:rFonts w:ascii="Consolas" w:hAnsi="Consolas" w:cs="Consolas"/>
          <w:color w:val="1C5CAB"/>
          <w:sz w:val="18"/>
          <w:szCs w:val="18"/>
          <w:shd w:val="clear" w:color="auto" w:fill="EEF3FA"/>
        </w:rPr>
        <w:t xml:space="preserve">.5</w:t>
      </w:r>
      <w:r>
        <w:rPr/>
        <w:t xml:space="preserve">). Format :</w:t>
      </w:r>
    </w:p>
    <w:p>
      <w:pPr>
        <w:pStyle w:val="Code"/>
      </w:pPr>
      <w:r>
        <w:t xml:space="preserve">2026-09-27 14:30:02,118 INFO    heptagoneslm.service - AUTODESK/lmstat : 12 features, 9 jetons utilisés</w:t>
      </w:r>
    </w:p>
    <w:p>
      <w:pPr>
        <w:pStyle w:val="Code"/>
      </w:pPr>
      <w:r>
        <w:t xml:space="preserve">2026-09-27 14:35:01,904 ERROR   heptagoneslm.service - ANSYS/lmstat : Serveur 1055@licsrv2 injoignable : ...</w:t>
      </w:r>
    </w:p>
    <w:p>
      <w:pPr>
        <w:pStyle w:val="Code"/>
      </w:pPr>
      <w:r>
        <w:t xml:space="preserve">2026-09-27 14:36:12,510 INFO    heptagoneslm.audit - Connexion : jdupont depuis 10.1.2.30</w:t>
      </w:r>
    </w:p>
    <w:p>
      <w:pPr>
        <w:pStyle w:val="Code"/>
      </w:pPr>
      <w:r>
        <w:t xml:space="preserve">2026-09-27 14:37:40,033 INFO    heptagoneslm.audit - Export timeseries (xlsx) par jdupont depuis 10.1.2.30 — ...</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029"/>
        <w:gridCol w:w="6608"/>
      </w:tblGrid>
      <w:tr>
        <w:trPr>
          <w:tblHeader/>
          <w:cantSplit/>
        </w:trPr>
        <w:tc>
          <w:tcPr>
            <w:tcW w:w="3029" w:type="dxa"/>
            <w:shd w:val="clear" w:color="auto" w:fill="2A78D6"/>
          </w:tcPr>
          <w:p>
            <w:pPr>
              <w:pStyle w:val="TableText"/>
            </w:pPr>
            <w:r>
              <w:rPr>
                <w:b/>
                <w:color w:val="FFFFFF"/>
                <w:sz w:val="18"/>
                <w:szCs w:val="18"/>
              </w:rPr>
              <w:t xml:space="preserve">Journal (logger)</w:t>
            </w:r>
          </w:p>
        </w:tc>
        <w:tc>
          <w:tcPr>
            <w:tcW w:w="6608" w:type="dxa"/>
            <w:shd w:val="clear" w:color="auto" w:fill="2A78D6"/>
          </w:tcPr>
          <w:p>
            <w:pPr>
              <w:pStyle w:val="TableText"/>
            </w:pPr>
            <w:r>
              <w:rPr>
                <w:b/>
                <w:color w:val="FFFFFF"/>
                <w:sz w:val="18"/>
                <w:szCs w:val="18"/>
              </w:rPr>
              <w:t xml:space="preserve">Contenu</w:t>
            </w:r>
          </w:p>
        </w:tc>
      </w:tr>
      <w:tr>
        <w:trPr>
          <w:cantSplit/>
        </w:trPr>
        <w:tc>
          <w:tcPr>
            <w:tcW w:w="3029" w:type="dxa"/>
          </w:tcPr>
          <w:p>
            <w:pPr>
              <w:pStyle w:val="TableText"/>
            </w:pPr>
            <w:r>
              <w:rPr>
                <w:sz w:val="18"/>
                <w:szCs w:val="18"/>
              </w:rPr>
              <w:t xml:space="preserve">heptagoneslm.service, heptagoneslm.cli</w:t>
            </w:r>
          </w:p>
        </w:tc>
        <w:tc>
          <w:tcPr>
            <w:tcW w:w="6608" w:type="dxa"/>
          </w:tcPr>
          <w:p>
            <w:pPr>
              <w:pStyle w:val="TableText"/>
            </w:pPr>
            <w:r>
              <w:rPr>
                <w:sz w:val="18"/>
                <w:szCs w:val="18"/>
              </w:rPr>
              <w:t xml:space="preserve">Collectes, commandes, erreurs techniques</w:t>
            </w:r>
          </w:p>
        </w:tc>
      </w:tr>
      <w:tr>
        <w:trPr>
          <w:cantSplit/>
        </w:trPr>
        <w:tc>
          <w:tcPr>
            <w:tcW w:w="3029" w:type="dxa"/>
            <w:shd w:val="clear" w:color="auto" w:fill="F4F7FC"/>
          </w:tcPr>
          <w:p>
            <w:pPr>
              <w:pStyle w:val="TableText"/>
            </w:pPr>
            <w:r>
              <w:rPr>
                <w:sz w:val="18"/>
                <w:szCs w:val="18"/>
              </w:rPr>
              <w:t xml:space="preserve">heptagoneslm.collectors.*</w:t>
            </w:r>
          </w:p>
        </w:tc>
        <w:tc>
          <w:tcPr>
            <w:tcW w:w="6608" w:type="dxa"/>
            <w:shd w:val="clear" w:color="auto" w:fill="F4F7FC"/>
          </w:tcPr>
          <w:p>
            <w:pPr>
              <w:pStyle w:val="TableText"/>
            </w:pPr>
            <w:r>
              <w:rPr>
                <w:sz w:val="18"/>
                <w:szCs w:val="18"/>
              </w:rPr>
              <w:t xml:space="preserve">Détail des parsers lmstat et log (en DEBUG)</w:t>
            </w:r>
          </w:p>
        </w:tc>
      </w:tr>
      <w:tr>
        <w:trPr>
          <w:cantSplit/>
        </w:trPr>
        <w:tc>
          <w:tcPr>
            <w:tcW w:w="3029" w:type="dxa"/>
          </w:tcPr>
          <w:p>
            <w:pPr>
              <w:pStyle w:val="TableText"/>
            </w:pPr>
            <w:r>
              <w:rPr>
                <w:sz w:val="18"/>
                <w:szCs w:val="18"/>
              </w:rPr>
              <w:t xml:space="preserve">heptagoneslm.web.*</w:t>
            </w:r>
          </w:p>
        </w:tc>
        <w:tc>
          <w:tcPr>
            <w:tcW w:w="6608" w:type="dxa"/>
          </w:tcPr>
          <w:p>
            <w:pPr>
              <w:pStyle w:val="TableText"/>
            </w:pPr>
            <w:r>
              <w:rPr>
                <w:sz w:val="18"/>
                <w:szCs w:val="18"/>
              </w:rPr>
              <w:t xml:space="preserve">Démarrage de l'interface, requêtes refusées (Host, connexions)</w:t>
            </w:r>
          </w:p>
        </w:tc>
      </w:tr>
      <w:tr>
        <w:trPr>
          <w:cantSplit/>
        </w:trPr>
        <w:tc>
          <w:tcPr>
            <w:tcW w:w="3029" w:type="dxa"/>
            <w:shd w:val="clear" w:color="auto" w:fill="F4F7FC"/>
          </w:tcPr>
          <w:p>
            <w:pPr>
              <w:pStyle w:val="TableText"/>
            </w:pPr>
            <w:r>
              <w:rPr>
                <w:sz w:val="18"/>
                <w:szCs w:val="18"/>
              </w:rPr>
              <w:t xml:space="preserve">heptagoneslm.audit</w:t>
            </w:r>
          </w:p>
        </w:tc>
        <w:tc>
          <w:tcPr>
            <w:tcW w:w="6608" w:type="dxa"/>
            <w:shd w:val="clear" w:color="auto" w:fill="F4F7FC"/>
          </w:tcPr>
          <w:p>
            <w:pPr>
              <w:pStyle w:val="TableText"/>
            </w:pPr>
            <w:r>
              <w:rPr>
                <w:sz w:val="18"/>
                <w:szCs w:val="18"/>
              </w:rPr>
              <w:t xml:space="preserve">Connexions, échecs, blocages, déconnexions, exports (utilisateur, IP, filtres)</w:t>
            </w:r>
          </w:p>
        </w:tc>
      </w:tr>
      <w:tr>
        <w:trPr>
          <w:cantSplit/>
        </w:trPr>
        <w:tc>
          <w:tcPr>
            <w:tcW w:w="3029" w:type="dxa"/>
          </w:tcPr>
          <w:p>
            <w:pPr>
              <w:pStyle w:val="TableText"/>
            </w:pPr>
            <w:r>
              <w:rPr>
                <w:sz w:val="18"/>
                <w:szCs w:val="18"/>
              </w:rPr>
              <w:t xml:space="preserve">heptagoneslm.mailer</w:t>
            </w:r>
          </w:p>
        </w:tc>
        <w:tc>
          <w:tcPr>
            <w:tcW w:w="6608" w:type="dxa"/>
          </w:tcPr>
          <w:p>
            <w:pPr>
              <w:pStyle w:val="TableText"/>
            </w:pPr>
            <w:r>
              <w:rPr>
                <w:sz w:val="18"/>
                <w:szCs w:val="18"/>
              </w:rPr>
              <w:t xml:space="preserve">Envois d'e-mails et erreurs SMTP</w:t>
            </w:r>
          </w:p>
        </w:tc>
      </w:tr>
    </w:tbl>
    <w:p>
      <w:pPr>
        <w:spacing w:after="80"/>
      </w:pPr>
    </w:p>
    <w:tbl>
      <w:tblPr>
        <w:tblW w:w="9638" w:type="dxa"/>
        <w:tblInd w:w="0" w:type="dxa"/>
        <w:tblBorders>
          <w:left w:val="single" w:sz="24" w:color="E0A100"/>
        </w:tblBorders>
        <w:tblCellMar>
          <w:top w:w="100" w:type="dxa"/>
          <w:left w:w="180" w:type="dxa"/>
          <w:bottom w:w="100" w:type="dxa"/>
          <w:right w:w="180" w:type="dxa"/>
        </w:tblCellMar>
      </w:tblPr>
      <w:tblGrid>
        <w:gridCol w:w="9638"/>
      </w:tblGrid>
      <w:tr>
        <w:tc>
          <w:tcPr>
            <w:tcW w:w="9638" w:type="dxa"/>
            <w:shd w:val="clear" w:color="auto" w:fill="FFF8E6"/>
          </w:tcPr>
          <w:p>
            <w:pPr>
              <w:spacing w:before="0" w:after="0"/>
            </w:pPr>
            <w:r>
              <w:rPr>
                <w:b/>
                <w:color w:val="E0A100"/>
              </w:rPr>
              <w:t xml:space="preserve">Attention — </w:t>
            </w:r>
            <w:r>
              <w:rPr/>
              <w:t xml:space="preserve">Le journal d'audit contient des données personnelles (identifiants, adresses IP). Sa durée de conservation et sa collecte par le SIEM sont à définir avec le RSSI et le DPO.</w:t>
            </w:r>
          </w:p>
        </w:tc>
      </w:tr>
    </w:tbl>
    <w:p>
      <w:pPr>
        <w:spacing w:after="60"/>
      </w:pPr>
    </w:p>
    <w:p>
      <w:pPr>
        <w:pStyle w:val="Heading2"/>
      </w:pPr>
      <w:bookmarkStart w:id="73" w:name="_Toc00073"/>
      <w:r>
        <w:rPr/>
        <w:t xml:space="preserve">7.7 Codes retour</w:t>
      </w:r>
      <w:bookmarkEnd w:id="73"/>
    </w:p>
    <w:p>
      <w:pPr>
        <w:pStyle w:val="Caption"/>
        <w:keepNext/>
      </w:pPr>
      <w:r>
        <w:rPr/>
        <w:t xml:space="preserve">Tableau 19 – Codes retour</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963"/>
        <w:gridCol w:w="5920"/>
        <w:gridCol w:w="2753"/>
      </w:tblGrid>
      <w:tr>
        <w:trPr>
          <w:tblHeader/>
          <w:cantSplit/>
        </w:trPr>
        <w:tc>
          <w:tcPr>
            <w:tcW w:w="963" w:type="dxa"/>
            <w:shd w:val="clear" w:color="auto" w:fill="2A78D6"/>
          </w:tcPr>
          <w:p>
            <w:pPr>
              <w:pStyle w:val="TableText"/>
            </w:pPr>
            <w:r>
              <w:rPr>
                <w:b/>
                <w:color w:val="FFFFFF"/>
                <w:sz w:val="18"/>
                <w:szCs w:val="18"/>
              </w:rPr>
              <w:t xml:space="preserve">Code</w:t>
            </w:r>
          </w:p>
        </w:tc>
        <w:tc>
          <w:tcPr>
            <w:tcW w:w="5920" w:type="dxa"/>
            <w:shd w:val="clear" w:color="auto" w:fill="2A78D6"/>
          </w:tcPr>
          <w:p>
            <w:pPr>
              <w:pStyle w:val="TableText"/>
            </w:pPr>
            <w:r>
              <w:rPr>
                <w:b/>
                <w:color w:val="FFFFFF"/>
                <w:sz w:val="18"/>
                <w:szCs w:val="18"/>
              </w:rPr>
              <w:t xml:space="preserve">Signification</w:t>
            </w:r>
          </w:p>
        </w:tc>
        <w:tc>
          <w:tcPr>
            <w:tcW w:w="2753" w:type="dxa"/>
            <w:shd w:val="clear" w:color="auto" w:fill="2A78D6"/>
          </w:tcPr>
          <w:p>
            <w:pPr>
              <w:pStyle w:val="TableText"/>
            </w:pPr>
            <w:r>
              <w:rPr>
                <w:b/>
                <w:color w:val="FFFFFF"/>
                <w:sz w:val="18"/>
                <w:szCs w:val="18"/>
              </w:rPr>
              <w:t xml:space="preserve">Commandes</w:t>
            </w:r>
          </w:p>
        </w:tc>
      </w:tr>
      <w:tr>
        <w:trPr>
          <w:cantSplit/>
        </w:trPr>
        <w:tc>
          <w:tcPr>
            <w:tcW w:w="963" w:type="dxa"/>
          </w:tcPr>
          <w:p>
            <w:pPr>
              <w:pStyle w:val="TableText"/>
            </w:pPr>
            <w:r>
              <w:rPr>
                <w:sz w:val="18"/>
                <w:szCs w:val="18"/>
              </w:rPr>
              <w:t xml:space="preserve">0</w:t>
            </w:r>
          </w:p>
        </w:tc>
        <w:tc>
          <w:tcPr>
            <w:tcW w:w="5920" w:type="dxa"/>
          </w:tcPr>
          <w:p>
            <w:pPr>
              <w:pStyle w:val="TableText"/>
            </w:pPr>
            <w:r>
              <w:rPr>
                <w:sz w:val="18"/>
                <w:szCs w:val="18"/>
              </w:rPr>
              <w:t xml:space="preserve">Succès</w:t>
            </w:r>
          </w:p>
        </w:tc>
        <w:tc>
          <w:tcPr>
            <w:tcW w:w="2753" w:type="dxa"/>
          </w:tcPr>
          <w:p>
            <w:pPr>
              <w:pStyle w:val="TableText"/>
            </w:pPr>
            <w:r>
              <w:rPr>
                <w:sz w:val="18"/>
                <w:szCs w:val="18"/>
              </w:rPr>
              <w:t xml:space="preserve">Toutes</w:t>
            </w:r>
          </w:p>
        </w:tc>
      </w:tr>
      <w:tr>
        <w:trPr>
          <w:cantSplit/>
        </w:trPr>
        <w:tc>
          <w:tcPr>
            <w:tcW w:w="963" w:type="dxa"/>
            <w:shd w:val="clear" w:color="auto" w:fill="F4F7FC"/>
          </w:tcPr>
          <w:p>
            <w:pPr>
              <w:pStyle w:val="TableText"/>
            </w:pPr>
            <w:r>
              <w:rPr>
                <w:sz w:val="18"/>
                <w:szCs w:val="18"/>
              </w:rPr>
              <w:t xml:space="preserve">1</w:t>
            </w:r>
          </w:p>
        </w:tc>
        <w:tc>
          <w:tcPr>
            <w:tcW w:w="5920" w:type="dxa"/>
            <w:shd w:val="clear" w:color="auto" w:fill="F4F7FC"/>
          </w:tcPr>
          <w:p>
            <w:pPr>
              <w:pStyle w:val="TableText"/>
            </w:pPr>
            <w:r>
              <w:rPr>
                <w:sz w:val="18"/>
                <w:szCs w:val="18"/>
              </w:rPr>
              <w:t xml:space="preserve">Erreur de configuration ou erreur inattendue (détail dans le journal)</w:t>
            </w:r>
          </w:p>
        </w:tc>
        <w:tc>
          <w:tcPr>
            <w:tcW w:w="2753" w:type="dxa"/>
            <w:shd w:val="clear" w:color="auto" w:fill="F4F7FC"/>
          </w:tcPr>
          <w:p>
            <w:pPr>
              <w:pStyle w:val="TableText"/>
            </w:pPr>
            <w:r>
              <w:rPr>
                <w:sz w:val="18"/>
                <w:szCs w:val="18"/>
              </w:rPr>
              <w:t xml:space="preserve">Toutes</w:t>
            </w:r>
          </w:p>
        </w:tc>
      </w:tr>
      <w:tr>
        <w:trPr>
          <w:cantSplit/>
        </w:trPr>
        <w:tc>
          <w:tcPr>
            <w:tcW w:w="963" w:type="dxa"/>
          </w:tcPr>
          <w:p>
            <w:pPr>
              <w:pStyle w:val="TableText"/>
            </w:pPr>
            <w:r>
              <w:rPr>
                <w:sz w:val="18"/>
                <w:szCs w:val="18"/>
              </w:rPr>
              <w:t xml:space="preserve">2</w:t>
            </w:r>
          </w:p>
        </w:tc>
        <w:tc>
          <w:tcPr>
            <w:tcW w:w="5920" w:type="dxa"/>
          </w:tcPr>
          <w:p>
            <w:pPr>
              <w:pStyle w:val="TableText"/>
            </w:pPr>
            <w:r>
              <w:rPr>
                <w:sz w:val="18"/>
                <w:szCs w:val="18"/>
              </w:rPr>
              <w:t xml:space="preserve">Exécution partielle : au moins un serveur ou un envoi en échec</w:t>
            </w:r>
          </w:p>
        </w:tc>
        <w:tc>
          <w:tcPr>
            <w:tcW w:w="2753" w:type="dxa"/>
          </w:tcPr>
          <w:p>
            <w:pPr>
              <w:pStyle w:val="TableText"/>
            </w:pPr>
            <w:r>
              <w:rPr>
                <w:rFonts w:ascii="Consolas" w:hAnsi="Consolas" w:cs="Consolas"/>
                <w:color w:val="1C5CAB"/>
                <w:sz w:val="18"/>
                <w:szCs w:val="18"/>
                <w:shd w:val="clear" w:color="auto" w:fill="EEF3FA"/>
              </w:rPr>
              <w:t xml:space="preserve">collect</w:t>
            </w:r>
            <w:r>
              <w:rPr>
                <w:sz w:val="18"/>
                <w:szCs w:val="18"/>
              </w:rPr>
              <w:t xml:space="preserve">, </w:t>
            </w:r>
            <w:r>
              <w:rPr>
                <w:rFonts w:ascii="Consolas" w:hAnsi="Consolas" w:cs="Consolas"/>
                <w:color w:val="1C5CAB"/>
                <w:sz w:val="18"/>
                <w:szCs w:val="18"/>
                <w:shd w:val="clear" w:color="auto" w:fill="EEF3FA"/>
              </w:rPr>
              <w:t xml:space="preserve">send-report</w:t>
            </w:r>
          </w:p>
        </w:tc>
      </w:tr>
    </w:tbl>
    <w:p>
      <w:pPr>
        <w:spacing w:after="80"/>
      </w:pPr>
    </w:p>
    <w:p>
      <w:pPr>
        <w:pStyle w:val="Heading1"/>
      </w:pPr>
      <w:bookmarkStart w:id="74" w:name="_Toc00074"/>
      <w:r>
        <w:rPr/>
        <w:t xml:space="preserve">8. Utilisation de l'interface web</w:t>
      </w:r>
      <w:bookmarkEnd w:id="74"/>
    </w:p>
    <w:p>
      <w:pPr/>
      <w:r>
        <w:rPr/>
        <w:t xml:space="preserve">Ce chapitre présente l'interface telle que la voient les utilisateurs. Il sert au support N1 pour guider un utilisateur et vérifier le bon fonctionnement de l'application.</w:t>
      </w:r>
    </w:p>
    <w:p>
      <w:pPr>
        <w:pStyle w:val="Heading2"/>
      </w:pPr>
      <w:bookmarkStart w:id="75" w:name="_Toc00075"/>
      <w:r>
        <w:rPr/>
        <w:t xml:space="preserve">8.1 Accès et connexion</w:t>
      </w:r>
      <w:bookmarkEnd w:id="75"/>
    </w:p>
    <w:p>
      <w:pPr/>
      <w:r>
        <w:rPr/>
        <w:t xml:space="preserve">L'interface est accessible à l'adresse communiquée par l'exploitation (par exemple </w:t>
      </w:r>
      <w:r>
        <w:rPr>
          <w:rFonts w:ascii="Consolas" w:hAnsi="Consolas" w:cs="Consolas"/>
          <w:color w:val="1C5CAB"/>
          <w:sz w:val="18"/>
          <w:szCs w:val="18"/>
          <w:shd w:val="clear" w:color="auto" w:fill="EEF3FA"/>
        </w:rPr>
        <w:t xml:space="preserve">https://heptagoneslm.entreprise.local:8765</w:t>
      </w:r>
      <w:r>
        <w:rPr/>
        <w:t xml:space="preserve">). En mode </w:t>
      </w:r>
      <w:r>
        <w:rPr>
          <w:rFonts w:ascii="Consolas" w:hAnsi="Consolas" w:cs="Consolas"/>
          <w:color w:val="1C5CAB"/>
          <w:sz w:val="18"/>
          <w:szCs w:val="18"/>
          <w:shd w:val="clear" w:color="auto" w:fill="EEF3FA"/>
        </w:rPr>
        <w:t xml:space="preserve">ldap</w:t>
      </w:r>
      <w:r>
        <w:rPr/>
        <w:t xml:space="preserve">, l'utilisateur saisit ses identifiants Windows (</w:t>
      </w:r>
      <w:r>
        <w:rPr>
          <w:rFonts w:ascii="Consolas" w:hAnsi="Consolas" w:cs="Consolas"/>
          <w:color w:val="1C5CAB"/>
          <w:sz w:val="18"/>
          <w:szCs w:val="18"/>
          <w:shd w:val="clear" w:color="auto" w:fill="EEF3FA"/>
        </w:rPr>
        <w:t xml:space="preserve">jdupont</w:t>
      </w:r>
      <w:r>
        <w:rPr/>
        <w:t xml:space="preserve">, </w:t>
      </w:r>
      <w:r>
        <w:rPr>
          <w:rFonts w:ascii="Consolas" w:hAnsi="Consolas" w:cs="Consolas"/>
          <w:color w:val="1C5CAB"/>
          <w:sz w:val="18"/>
          <w:szCs w:val="18"/>
          <w:shd w:val="clear" w:color="auto" w:fill="EEF3FA"/>
        </w:rPr>
        <w:t xml:space="preserve">DOMAINE\jdupont</w:t>
      </w:r>
      <w:r>
        <w:rPr/>
        <w:t xml:space="preserve"> ou </w:t>
      </w:r>
      <w:r>
        <w:rPr>
          <w:rFonts w:ascii="Consolas" w:hAnsi="Consolas" w:cs="Consolas"/>
          <w:color w:val="1C5CAB"/>
          <w:sz w:val="18"/>
          <w:szCs w:val="18"/>
          <w:shd w:val="clear" w:color="auto" w:fill="EEF3FA"/>
        </w:rPr>
        <w:t xml:space="preserve">jdupont@entreprise.local</w:t>
      </w:r>
      <w:r>
        <w:rPr/>
        <w:t xml:space="preserve">).</w:t>
      </w:r>
    </w:p>
    <w:p>
      <w:pPr>
        <w:pStyle w:val="Figure"/>
        <w:keepNext/>
      </w:pPr>
      <w:r>
        <w:drawing>
          <wp:inline distT="0" distB="0" distL="0" distR="0">
            <wp:extent cx="4320000" cy="2764800"/>
            <wp:docPr id="15" name="Image 15" descr="Page de connexion"/>
            <wp:cNvGraphicFramePr>
              <a:graphicFrameLocks noChangeAspect="1"/>
            </wp:cNvGraphicFramePr>
            <a:graphic>
              <a:graphicData uri="http://schemas.openxmlformats.org/drawingml/2006/picture">
                <pic:pic>
                  <pic:nvPicPr>
                    <pic:cNvPr id="15" name="login.png"/>
                    <pic:cNvPicPr/>
                  </pic:nvPicPr>
                  <pic:blipFill>
                    <a:blip r:embed="rIdImg15"/>
                    <a:stretch>
                      <a:fillRect/>
                    </a:stretch>
                  </pic:blipFill>
                  <pic:spPr>
                    <a:xfrm>
                      <a:off x="0" y="0"/>
                      <a:ext cx="4320000" cy="2764800"/>
                    </a:xfrm>
                    <a:prstGeom prst="rect">
                      <a:avLst/>
                    </a:prstGeom>
                    <a:ln w="9525">
                      <a:solidFill>
                        <a:srgbClr val="D9D8D2"/>
                      </a:solidFill>
                    </a:ln>
                  </pic:spPr>
                </pic:pic>
              </a:graphicData>
            </a:graphic>
          </wp:inline>
        </w:drawing>
      </w:r>
    </w:p>
    <w:p>
      <w:pPr>
        <w:pStyle w:val="Caption"/>
      </w:pPr>
      <w:bookmarkStart w:id="76" w:name="_Fig00076"/>
      <w:r>
        <w:rPr/>
        <w:t xml:space="preserve">Figure </w:t>
      </w:r>
      <w:fldSimple w:instr=" SEQ Figure \* ARABIC ">
        <w:r>
          <w:t>14</w:t>
        </w:r>
      </w:fldSimple>
      <w:r>
        <w:rPr/>
        <w:t xml:space="preserve"> – Page de connexion</w:t>
      </w:r>
      <w:bookmarkEnd w:id="76"/>
    </w:p>
    <w:p>
      <w:pPr/>
      <w:r>
        <w:rPr/>
        <w:t xml:space="preserve">En cas d'erreur, un message unique s'affiche, sans préciser la cause (compte inconnu, mauvais mot de passe ou hors du groupe autorisé) ; la cause exacte est consignée dans le journal d'audit. Après 5 échecs, le compte est bloqué 15 minutes sur HeptagonesLM (le compte AD n'est pas affecté).</w:t>
      </w:r>
    </w:p>
    <w:p>
      <w:pPr>
        <w:pStyle w:val="Figure"/>
        <w:keepNext/>
      </w:pPr>
      <w:r>
        <w:drawing>
          <wp:inline distT="0" distB="0" distL="0" distR="0">
            <wp:extent cx="4320000" cy="2764800"/>
            <wp:docPr id="16" name="Image 16" descr="Message d'erreur de connexion"/>
            <wp:cNvGraphicFramePr>
              <a:graphicFrameLocks noChangeAspect="1"/>
            </wp:cNvGraphicFramePr>
            <a:graphic>
              <a:graphicData uri="http://schemas.openxmlformats.org/drawingml/2006/picture">
                <pic:pic>
                  <pic:nvPicPr>
                    <pic:cNvPr id="16" name="login_error.png"/>
                    <pic:cNvPicPr/>
                  </pic:nvPicPr>
                  <pic:blipFill>
                    <a:blip r:embed="rIdImg16"/>
                    <a:stretch>
                      <a:fillRect/>
                    </a:stretch>
                  </pic:blipFill>
                  <pic:spPr>
                    <a:xfrm>
                      <a:off x="0" y="0"/>
                      <a:ext cx="4320000" cy="2764800"/>
                    </a:xfrm>
                    <a:prstGeom prst="rect">
                      <a:avLst/>
                    </a:prstGeom>
                    <a:ln w="9525">
                      <a:solidFill>
                        <a:srgbClr val="D9D8D2"/>
                      </a:solidFill>
                    </a:ln>
                  </pic:spPr>
                </pic:pic>
              </a:graphicData>
            </a:graphic>
          </wp:inline>
        </w:drawing>
      </w:r>
    </w:p>
    <w:p>
      <w:pPr>
        <w:pStyle w:val="Caption"/>
      </w:pPr>
      <w:bookmarkStart w:id="77" w:name="_Fig00077"/>
      <w:r>
        <w:rPr/>
        <w:t xml:space="preserve">Figure </w:t>
      </w:r>
      <w:fldSimple w:instr=" SEQ Figure \* ARABIC ">
        <w:r>
          <w:t>15</w:t>
        </w:r>
      </w:fldSimple>
      <w:r>
        <w:rPr/>
        <w:t xml:space="preserve"> – Message d'erreur de connexion</w:t>
      </w:r>
      <w:bookmarkEnd w:id="77"/>
    </w:p>
    <w:p>
      <w:pPr/>
      <w:r>
        <w:rPr/>
        <w:t xml:space="preserve">Une fois connecté, le nom de l'utilisateur et le bouton « Se déconnecter » apparaissent en haut à droite, à côté du badge d'état des collectes. La session dure 8 heures.</w:t>
      </w:r>
    </w:p>
    <w:p>
      <w:pPr>
        <w:pStyle w:val="Figure"/>
        <w:keepNext/>
      </w:pPr>
      <w:r>
        <w:drawing>
          <wp:inline distT="0" distB="0" distL="0" distR="0">
            <wp:extent cx="5940000" cy="382711"/>
            <wp:docPr id="17" name="Image 17" descr="En-tête : badge d'état des collectes et utilisateur connecté"/>
            <wp:cNvGraphicFramePr>
              <a:graphicFrameLocks noChangeAspect="1"/>
            </wp:cNvGraphicFramePr>
            <a:graphic>
              <a:graphicData uri="http://schemas.openxmlformats.org/drawingml/2006/picture">
                <pic:pic>
                  <pic:nvPicPr>
                    <pic:cNvPr id="17" name="user_badge.png"/>
                    <pic:cNvPicPr/>
                  </pic:nvPicPr>
                  <pic:blipFill>
                    <a:blip r:embed="rIdImg17"/>
                    <a:stretch>
                      <a:fillRect/>
                    </a:stretch>
                  </pic:blipFill>
                  <pic:spPr>
                    <a:xfrm>
                      <a:off x="0" y="0"/>
                      <a:ext cx="5940000" cy="382711"/>
                    </a:xfrm>
                    <a:prstGeom prst="rect">
                      <a:avLst/>
                    </a:prstGeom>
                    <a:ln w="9525">
                      <a:solidFill>
                        <a:srgbClr val="D9D8D2"/>
                      </a:solidFill>
                    </a:ln>
                  </pic:spPr>
                </pic:pic>
              </a:graphicData>
            </a:graphic>
          </wp:inline>
        </w:drawing>
      </w:r>
    </w:p>
    <w:p>
      <w:pPr>
        <w:pStyle w:val="Caption"/>
      </w:pPr>
      <w:bookmarkStart w:id="78" w:name="_Fig00078"/>
      <w:r>
        <w:rPr/>
        <w:t xml:space="preserve">Figure </w:t>
      </w:r>
      <w:fldSimple w:instr=" SEQ Figure \* ARABIC ">
        <w:r>
          <w:t>16</w:t>
        </w:r>
      </w:fldSimple>
      <w:r>
        <w:rPr/>
        <w:t xml:space="preserve"> – En-tête : badge d'état des collectes et utilisateur connecté</w:t>
      </w:r>
      <w:bookmarkEnd w:id="78"/>
    </w:p>
    <w:p>
      <w:pPr>
        <w:pStyle w:val="Heading2"/>
      </w:pPr>
      <w:bookmarkStart w:id="79" w:name="_Toc00079"/>
      <w:r>
        <w:rPr/>
        <w:t xml:space="preserve">8.2 Navigation et filtres</w:t>
      </w:r>
      <w:bookmarkEnd w:id="79"/>
    </w:p>
    <w:p>
      <w:pPr/>
      <w:r>
        <w:rPr/>
        <w:t xml:space="preserve">La barre latérale regroupe les vues en quatre familles : </w:t>
      </w:r>
      <w:r>
        <w:rPr>
          <w:b/>
        </w:rPr>
        <w:t xml:space="preserve">Pilotage</w:t>
      </w:r>
      <w:r>
        <w:rPr/>
        <w:t xml:space="preserve"> (tableau de bord, en direct), </w:t>
      </w:r>
      <w:r>
        <w:rPr>
          <w:b/>
        </w:rPr>
        <w:t xml:space="preserve">Analyse</w:t>
      </w:r>
      <w:r>
        <w:rPr/>
        <w:t xml:space="preserve">, </w:t>
      </w:r>
      <w:r>
        <w:rPr>
          <w:b/>
        </w:rPr>
        <w:t xml:space="preserve">Optimisation</w:t>
      </w:r>
      <w:r>
        <w:rPr/>
        <w:t xml:space="preserve"> et </w:t>
      </w:r>
      <w:r>
        <w:rPr>
          <w:b/>
        </w:rPr>
        <w:t xml:space="preserve">Données</w:t>
      </w:r>
      <w:r>
        <w:rPr/>
        <w:t xml:space="preserve">. En bas, elle indique la plage de données disponible et le choix du thème.</w:t>
      </w:r>
    </w:p>
    <w:tbl>
      <w:tblPr>
        <w:tblW w:w="9638" w:type="dxa"/>
        <w:tblLayout w:type="fixed"/>
      </w:tblPr>
      <w:tblGrid>
        <w:gridCol w:w="9638"/>
      </w:tblGrid>
      <w:tr>
        <w:trPr>
          <w:cantSplit/>
        </w:trPr>
        <w:tc>
          <w:tcPr>
            <w:tcW w:w="9638" w:type="dxa"/>
          </w:tcPr>
          <w:p>
            <w:pPr>
              <w:jc w:val="center"/>
            </w:pPr>
            <w:r>
              <w:drawing>
                <wp:inline distT="0" distB="0" distL="0" distR="0">
                  <wp:extent cx="1728000" cy="6270967"/>
                  <wp:docPr id="18" name="Image 18"/>
                  <wp:cNvGraphicFramePr>
                    <a:graphicFrameLocks noChangeAspect="1"/>
                  </wp:cNvGraphicFramePr>
                  <a:graphic>
                    <a:graphicData uri="http://schemas.openxmlformats.org/drawingml/2006/picture">
                      <pic:pic>
                        <pic:nvPicPr>
                          <pic:cNvPr id="18" name="sidebar.png"/>
                          <pic:cNvPicPr/>
                        </pic:nvPicPr>
                        <pic:blipFill>
                          <a:blip r:embed="rIdImg18"/>
                          <a:stretch>
                            <a:fillRect/>
                          </a:stretch>
                        </pic:blipFill>
                        <pic:spPr>
                          <a:xfrm>
                            <a:off x="0" y="0"/>
                            <a:ext cx="1728000" cy="6270967"/>
                          </a:xfrm>
                          <a:prstGeom prst="rect">
                            <a:avLst/>
                          </a:prstGeom>
                          <a:ln w="9525">
                            <a:solidFill>
                              <a:srgbClr val="D9D8D2"/>
                            </a:solidFill>
                          </a:ln>
                        </pic:spPr>
                      </pic:pic>
                    </a:graphicData>
                  </a:graphic>
                </wp:inline>
              </w:drawing>
            </w:r>
          </w:p>
        </w:tc>
      </w:tr>
    </w:tbl>
    <w:p>
      <w:pPr>
        <w:pStyle w:val="Caption"/>
      </w:pPr>
      <w:bookmarkStart w:id="80" w:name="_Fig00080"/>
      <w:r>
        <w:rPr/>
        <w:t xml:space="preserve">Figure </w:t>
      </w:r>
      <w:fldSimple w:instr=" SEQ Figure \* ARABIC ">
        <w:r>
          <w:t>17</w:t>
        </w:r>
      </w:fldSimple>
      <w:r>
        <w:rPr/>
        <w:t xml:space="preserve"> – Barre latérale de navigation</w:t>
      </w:r>
      <w:bookmarkEnd w:id="80"/>
    </w:p>
    <w:p>
      <w:pPr/>
      <w:r>
        <w:rPr/>
        <w:t xml:space="preserve">La barre de filtres s'applique à toutes les vues : période (7 j, 30 j, 90 j, mois en cours, mois précédent, année, tout, ou dates libres), serveurs, produits, utilisateurs et services. Les boutons d'export sont à droite. L'adresse de la page conserve tous les filtres : un lien copié rouvre exactement la même vue.</w:t>
      </w:r>
    </w:p>
    <w:p>
      <w:pPr>
        <w:pStyle w:val="Figure"/>
        <w:keepNext/>
      </w:pPr>
      <w:r>
        <w:drawing>
          <wp:inline distT="0" distB="0" distL="0" distR="0">
            <wp:extent cx="5940000" cy="494335"/>
            <wp:docPr id="19" name="Image 19" descr="Barre de filtres et boutons d'export"/>
            <wp:cNvGraphicFramePr>
              <a:graphicFrameLocks noChangeAspect="1"/>
            </wp:cNvGraphicFramePr>
            <a:graphic>
              <a:graphicData uri="http://schemas.openxmlformats.org/drawingml/2006/picture">
                <pic:pic>
                  <pic:nvPicPr>
                    <pic:cNvPr id="19" name="filterbar.png"/>
                    <pic:cNvPicPr/>
                  </pic:nvPicPr>
                  <pic:blipFill>
                    <a:blip r:embed="rIdImg19"/>
                    <a:stretch>
                      <a:fillRect/>
                    </a:stretch>
                  </pic:blipFill>
                  <pic:spPr>
                    <a:xfrm>
                      <a:off x="0" y="0"/>
                      <a:ext cx="5940000" cy="494335"/>
                    </a:xfrm>
                    <a:prstGeom prst="rect">
                      <a:avLst/>
                    </a:prstGeom>
                    <a:ln w="9525">
                      <a:solidFill>
                        <a:srgbClr val="D9D8D2"/>
                      </a:solidFill>
                    </a:ln>
                  </pic:spPr>
                </pic:pic>
              </a:graphicData>
            </a:graphic>
          </wp:inline>
        </w:drawing>
      </w:r>
    </w:p>
    <w:p>
      <w:pPr>
        <w:pStyle w:val="Caption"/>
      </w:pPr>
      <w:bookmarkStart w:id="81" w:name="_Fig00081"/>
      <w:r>
        <w:rPr/>
        <w:t xml:space="preserve">Figure </w:t>
      </w:r>
      <w:fldSimple w:instr=" SEQ Figure \* ARABIC ">
        <w:r>
          <w:t>18</w:t>
        </w:r>
      </w:fldSimple>
      <w:r>
        <w:rPr/>
        <w:t xml:space="preserve"> – Barre de filtres et boutons d'export</w:t>
      </w:r>
      <w:bookmarkEnd w:id="81"/>
    </w:p>
    <w:p>
      <w:pPr>
        <w:pStyle w:val="Figure"/>
        <w:keepNext/>
      </w:pPr>
      <w:r>
        <w:drawing>
          <wp:inline distT="0" distB="0" distL="0" distR="0">
            <wp:extent cx="5940000" cy="2772000"/>
            <wp:docPr id="20" name="Image 20" descr="Sélection multiple avec recherche (filtre Produits)"/>
            <wp:cNvGraphicFramePr>
              <a:graphicFrameLocks noChangeAspect="1"/>
            </wp:cNvGraphicFramePr>
            <a:graphic>
              <a:graphicData uri="http://schemas.openxmlformats.org/drawingml/2006/picture">
                <pic:pic>
                  <pic:nvPicPr>
                    <pic:cNvPr id="20" name="filter_open.png"/>
                    <pic:cNvPicPr/>
                  </pic:nvPicPr>
                  <pic:blipFill>
                    <a:blip r:embed="rIdImg20"/>
                    <a:stretch>
                      <a:fillRect/>
                    </a:stretch>
                  </pic:blipFill>
                  <pic:spPr>
                    <a:xfrm>
                      <a:off x="0" y="0"/>
                      <a:ext cx="5940000" cy="2772000"/>
                    </a:xfrm>
                    <a:prstGeom prst="rect">
                      <a:avLst/>
                    </a:prstGeom>
                    <a:ln w="9525">
                      <a:solidFill>
                        <a:srgbClr val="D9D8D2"/>
                      </a:solidFill>
                    </a:ln>
                  </pic:spPr>
                </pic:pic>
              </a:graphicData>
            </a:graphic>
          </wp:inline>
        </w:drawing>
      </w:r>
    </w:p>
    <w:p>
      <w:pPr>
        <w:pStyle w:val="Caption"/>
      </w:pPr>
      <w:bookmarkStart w:id="82" w:name="_Fig00082"/>
      <w:r>
        <w:rPr/>
        <w:t xml:space="preserve">Figure </w:t>
      </w:r>
      <w:fldSimple w:instr=" SEQ Figure \* ARABIC ">
        <w:r>
          <w:t>19</w:t>
        </w:r>
      </w:fldSimple>
      <w:r>
        <w:rPr/>
        <w:t xml:space="preserve"> – Sélection multiple avec recherche (filtre Produits)</w:t>
      </w:r>
      <w:bookmarkEnd w:id="82"/>
    </w:p>
    <w:p>
      <w:pPr>
        <w:pStyle w:val="Heading2"/>
      </w:pPr>
      <w:bookmarkStart w:id="83" w:name="_Toc00083"/>
      <w:r>
        <w:rPr/>
        <w:t xml:space="preserve">8.3 Tableau de bord</w:t>
      </w:r>
      <w:bookmarkEnd w:id="83"/>
    </w:p>
    <w:p>
      <w:pPr/>
      <w:r>
        <w:rPr/>
        <w:t xml:space="preserve">Page d'accueil de l'application. Elle se lit de haut en bas : alertes, indicateurs clés, puis blocs de détail.</w:t>
      </w:r>
    </w:p>
    <w:p>
      <w:pPr>
        <w:pStyle w:val="Figure"/>
        <w:keepNext/>
      </w:pPr>
      <w:r>
        <w:drawing>
          <wp:inline distT="0" distB="0" distL="0" distR="0">
            <wp:extent cx="4860000" cy="7271100"/>
            <wp:docPr id="21" name="Image 21" descr="Tableau de bord complet"/>
            <wp:cNvGraphicFramePr>
              <a:graphicFrameLocks noChangeAspect="1"/>
            </wp:cNvGraphicFramePr>
            <a:graphic>
              <a:graphicData uri="http://schemas.openxmlformats.org/drawingml/2006/picture">
                <pic:pic>
                  <pic:nvPicPr>
                    <pic:cNvPr id="21" name="dashboard_full.png"/>
                    <pic:cNvPicPr/>
                  </pic:nvPicPr>
                  <pic:blipFill>
                    <a:blip r:embed="rIdImg21"/>
                    <a:stretch>
                      <a:fillRect/>
                    </a:stretch>
                  </pic:blipFill>
                  <pic:spPr>
                    <a:xfrm>
                      <a:off x="0" y="0"/>
                      <a:ext cx="4860000" cy="7271100"/>
                    </a:xfrm>
                    <a:prstGeom prst="rect">
                      <a:avLst/>
                    </a:prstGeom>
                    <a:ln w="9525">
                      <a:solidFill>
                        <a:srgbClr val="D9D8D2"/>
                      </a:solidFill>
                    </a:ln>
                  </pic:spPr>
                </pic:pic>
              </a:graphicData>
            </a:graphic>
          </wp:inline>
        </w:drawing>
      </w:r>
    </w:p>
    <w:p>
      <w:pPr>
        <w:pStyle w:val="Caption"/>
      </w:pPr>
      <w:bookmarkStart w:id="84" w:name="_Fig00084"/>
      <w:r>
        <w:rPr/>
        <w:t xml:space="preserve">Figure </w:t>
      </w:r>
      <w:fldSimple w:instr=" SEQ Figure \* ARABIC ">
        <w:r>
          <w:t>20</w:t>
        </w:r>
      </w:fldSimple>
      <w:r>
        <w:rPr/>
        <w:t xml:space="preserve"> – Tableau de bord complet</w:t>
      </w:r>
      <w:bookmarkEnd w:id="84"/>
    </w:p>
    <w:p>
      <w:pPr>
        <w:pStyle w:val="Heading3"/>
      </w:pPr>
      <w:bookmarkStart w:id="85" w:name="_Toc00085"/>
      <w:r>
        <w:rPr/>
        <w:t xml:space="preserve">Alertes</w:t>
      </w:r>
      <w:bookmarkEnd w:id="85"/>
    </w:p>
    <w:p>
      <w:pPr/>
      <w:r>
        <w:rPr/>
        <w:t xml:space="preserve">Les alertes sont classées par gravité ; le lien « Voir » ouvre la vue concernée.</w:t>
      </w:r>
    </w:p>
    <w:p>
      <w:pPr>
        <w:pStyle w:val="Figure"/>
        <w:keepNext/>
      </w:pPr>
      <w:r>
        <w:drawing>
          <wp:inline distT="0" distB="0" distL="0" distR="0">
            <wp:extent cx="5940000" cy="1317676"/>
            <wp:docPr id="22" name="Image 22" descr="Bandeau d'alertes"/>
            <wp:cNvGraphicFramePr>
              <a:graphicFrameLocks noChangeAspect="1"/>
            </wp:cNvGraphicFramePr>
            <a:graphic>
              <a:graphicData uri="http://schemas.openxmlformats.org/drawingml/2006/picture">
                <pic:pic>
                  <pic:nvPicPr>
                    <pic:cNvPr id="22" name="alerts.png"/>
                    <pic:cNvPicPr/>
                  </pic:nvPicPr>
                  <pic:blipFill>
                    <a:blip r:embed="rIdImg22"/>
                    <a:stretch>
                      <a:fillRect/>
                    </a:stretch>
                  </pic:blipFill>
                  <pic:spPr>
                    <a:xfrm>
                      <a:off x="0" y="0"/>
                      <a:ext cx="5940000" cy="1317676"/>
                    </a:xfrm>
                    <a:prstGeom prst="rect">
                      <a:avLst/>
                    </a:prstGeom>
                    <a:ln w="9525">
                      <a:solidFill>
                        <a:srgbClr val="D9D8D2"/>
                      </a:solidFill>
                    </a:ln>
                  </pic:spPr>
                </pic:pic>
              </a:graphicData>
            </a:graphic>
          </wp:inline>
        </w:drawing>
      </w:r>
    </w:p>
    <w:p>
      <w:pPr>
        <w:pStyle w:val="Caption"/>
      </w:pPr>
      <w:bookmarkStart w:id="86" w:name="_Fig00086"/>
      <w:r>
        <w:rPr/>
        <w:t xml:space="preserve">Figure </w:t>
      </w:r>
      <w:fldSimple w:instr=" SEQ Figure \* ARABIC ">
        <w:r>
          <w:t>21</w:t>
        </w:r>
      </w:fldSimple>
      <w:r>
        <w:rPr/>
        <w:t xml:space="preserve"> – Bandeau d'alertes</w:t>
      </w:r>
      <w:bookmarkEnd w:id="86"/>
    </w:p>
    <w:p>
      <w:pPr>
        <w:pStyle w:val="Caption"/>
        <w:keepNext/>
      </w:pPr>
      <w:r>
        <w:rPr/>
        <w:t xml:space="preserve">Tableau 20 – Règles des alertes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376"/>
        <w:gridCol w:w="3579"/>
        <w:gridCol w:w="4681"/>
      </w:tblGrid>
      <w:tr>
        <w:trPr>
          <w:tblHeader/>
          <w:cantSplit/>
        </w:trPr>
        <w:tc>
          <w:tcPr>
            <w:tcW w:w="1376" w:type="dxa"/>
            <w:shd w:val="clear" w:color="auto" w:fill="2A78D6"/>
          </w:tcPr>
          <w:p>
            <w:pPr>
              <w:pStyle w:val="TableText"/>
            </w:pPr>
            <w:r>
              <w:rPr>
                <w:b/>
                <w:color w:val="FFFFFF"/>
                <w:sz w:val="18"/>
                <w:szCs w:val="18"/>
              </w:rPr>
              <w:t xml:space="preserve">Gravité</w:t>
            </w:r>
          </w:p>
        </w:tc>
        <w:tc>
          <w:tcPr>
            <w:tcW w:w="3579" w:type="dxa"/>
            <w:shd w:val="clear" w:color="auto" w:fill="2A78D6"/>
          </w:tcPr>
          <w:p>
            <w:pPr>
              <w:pStyle w:val="TableText"/>
            </w:pPr>
            <w:r>
              <w:rPr>
                <w:b/>
                <w:color w:val="FFFFFF"/>
                <w:sz w:val="18"/>
                <w:szCs w:val="18"/>
              </w:rPr>
              <w:t xml:space="preserve">Alerte</w:t>
            </w:r>
          </w:p>
        </w:tc>
        <w:tc>
          <w:tcPr>
            <w:tcW w:w="4681" w:type="dxa"/>
            <w:shd w:val="clear" w:color="auto" w:fill="2A78D6"/>
          </w:tcPr>
          <w:p>
            <w:pPr>
              <w:pStyle w:val="TableText"/>
            </w:pPr>
            <w:r>
              <w:rPr>
                <w:b/>
                <w:color w:val="FFFFFF"/>
                <w:sz w:val="18"/>
                <w:szCs w:val="18"/>
              </w:rPr>
              <w:t xml:space="preserve">Règle de déclenchement</w:t>
            </w:r>
          </w:p>
        </w:tc>
      </w:tr>
      <w:tr>
        <w:trPr>
          <w:cantSplit/>
        </w:trPr>
        <w:tc>
          <w:tcPr>
            <w:tcW w:w="1376" w:type="dxa"/>
          </w:tcPr>
          <w:p>
            <w:pPr>
              <w:pStyle w:val="TableText"/>
            </w:pPr>
            <w:r>
              <w:rPr>
                <w:sz w:val="18"/>
                <w:szCs w:val="18"/>
              </w:rPr>
              <w:t xml:space="preserve">Critique</w:t>
            </w:r>
          </w:p>
        </w:tc>
        <w:tc>
          <w:tcPr>
            <w:tcW w:w="3579" w:type="dxa"/>
          </w:tcPr>
          <w:p>
            <w:pPr>
              <w:pStyle w:val="TableText"/>
            </w:pPr>
            <w:r>
              <w:rPr>
                <w:sz w:val="18"/>
                <w:szCs w:val="18"/>
              </w:rPr>
              <w:t xml:space="preserve">Collecte en échec : &lt;serveur&gt;</w:t>
            </w:r>
          </w:p>
        </w:tc>
        <w:tc>
          <w:tcPr>
            <w:tcW w:w="4681" w:type="dxa"/>
          </w:tcPr>
          <w:p>
            <w:pPr>
              <w:pStyle w:val="TableText"/>
            </w:pPr>
            <w:r>
              <w:rPr>
                <w:sz w:val="18"/>
                <w:szCs w:val="18"/>
              </w:rPr>
              <w:t xml:space="preserve">Dernière collecte d'un serveur en erreur</w:t>
            </w:r>
          </w:p>
        </w:tc>
      </w:tr>
      <w:tr>
        <w:trPr>
          <w:cantSplit/>
        </w:trPr>
        <w:tc>
          <w:tcPr>
            <w:tcW w:w="1376" w:type="dxa"/>
            <w:shd w:val="clear" w:color="auto" w:fill="F4F7FC"/>
          </w:tcPr>
          <w:p>
            <w:pPr>
              <w:pStyle w:val="TableText"/>
            </w:pPr>
            <w:r>
              <w:rPr>
                <w:sz w:val="18"/>
                <w:szCs w:val="18"/>
              </w:rPr>
              <w:t xml:space="preserve">Critique</w:t>
            </w:r>
          </w:p>
        </w:tc>
        <w:tc>
          <w:tcPr>
            <w:tcW w:w="3579" w:type="dxa"/>
            <w:shd w:val="clear" w:color="auto" w:fill="F4F7FC"/>
          </w:tcPr>
          <w:p>
            <w:pPr>
              <w:pStyle w:val="TableText"/>
            </w:pPr>
            <w:r>
              <w:rPr>
                <w:sz w:val="18"/>
                <w:szCs w:val="18"/>
              </w:rPr>
              <w:t xml:space="preserve">Collecte arrêtée</w:t>
            </w:r>
          </w:p>
        </w:tc>
        <w:tc>
          <w:tcPr>
            <w:tcW w:w="4681" w:type="dxa"/>
            <w:shd w:val="clear" w:color="auto" w:fill="F4F7FC"/>
          </w:tcPr>
          <w:p>
            <w:pPr>
              <w:pStyle w:val="TableText"/>
            </w:pPr>
            <w:r>
              <w:rPr>
                <w:sz w:val="18"/>
                <w:szCs w:val="18"/>
              </w:rPr>
              <w:t xml:space="preserve">Aucune collecte depuis plus de 60 minutes</w:t>
            </w:r>
          </w:p>
        </w:tc>
      </w:tr>
      <w:tr>
        <w:trPr>
          <w:cantSplit/>
        </w:trPr>
        <w:tc>
          <w:tcPr>
            <w:tcW w:w="1376" w:type="dxa"/>
          </w:tcPr>
          <w:p>
            <w:pPr>
              <w:pStyle w:val="TableText"/>
            </w:pPr>
            <w:r>
              <w:rPr>
                <w:sz w:val="18"/>
                <w:szCs w:val="18"/>
              </w:rPr>
              <w:t xml:space="preserve">Critique</w:t>
            </w:r>
          </w:p>
        </w:tc>
        <w:tc>
          <w:tcPr>
            <w:tcW w:w="3579" w:type="dxa"/>
          </w:tcPr>
          <w:p>
            <w:pPr>
              <w:pStyle w:val="TableText"/>
            </w:pPr>
            <w:r>
              <w:rPr>
                <w:sz w:val="18"/>
                <w:szCs w:val="18"/>
              </w:rPr>
              <w:t xml:space="preserve">Licence expirée / expiration dans N j</w:t>
            </w:r>
          </w:p>
        </w:tc>
        <w:tc>
          <w:tcPr>
            <w:tcW w:w="4681" w:type="dxa"/>
          </w:tcPr>
          <w:p>
            <w:pPr>
              <w:pStyle w:val="TableText"/>
            </w:pPr>
            <w:r>
              <w:rPr>
                <w:sz w:val="18"/>
                <w:szCs w:val="18"/>
              </w:rPr>
              <w:t xml:space="preserve">Date d'expiration dépassée ou à 7 jours ou moins</w:t>
            </w:r>
          </w:p>
        </w:tc>
      </w:tr>
      <w:tr>
        <w:trPr>
          <w:cantSplit/>
        </w:trPr>
        <w:tc>
          <w:tcPr>
            <w:tcW w:w="1376" w:type="dxa"/>
            <w:shd w:val="clear" w:color="auto" w:fill="F4F7FC"/>
          </w:tcPr>
          <w:p>
            <w:pPr>
              <w:pStyle w:val="TableText"/>
            </w:pPr>
            <w:r>
              <w:rPr>
                <w:sz w:val="18"/>
                <w:szCs w:val="18"/>
              </w:rPr>
              <w:t xml:space="preserve">Important</w:t>
            </w:r>
          </w:p>
        </w:tc>
        <w:tc>
          <w:tcPr>
            <w:tcW w:w="3579" w:type="dxa"/>
            <w:shd w:val="clear" w:color="auto" w:fill="F4F7FC"/>
          </w:tcPr>
          <w:p>
            <w:pPr>
              <w:pStyle w:val="TableText"/>
            </w:pPr>
            <w:r>
              <w:rPr>
                <w:sz w:val="18"/>
                <w:szCs w:val="18"/>
              </w:rPr>
              <w:t xml:space="preserve">N refus de licence sur la période</w:t>
            </w:r>
          </w:p>
        </w:tc>
        <w:tc>
          <w:tcPr>
            <w:tcW w:w="4681" w:type="dxa"/>
            <w:shd w:val="clear" w:color="auto" w:fill="F4F7FC"/>
          </w:tcPr>
          <w:p>
            <w:pPr>
              <w:pStyle w:val="TableText"/>
            </w:pPr>
            <w:r>
              <w:rPr>
                <w:sz w:val="18"/>
                <w:szCs w:val="18"/>
              </w:rPr>
              <w:t xml:space="preserve">Au moins un refus (DENIED) dans les logs</w:t>
            </w:r>
          </w:p>
        </w:tc>
      </w:tr>
      <w:tr>
        <w:trPr>
          <w:cantSplit/>
        </w:trPr>
        <w:tc>
          <w:tcPr>
            <w:tcW w:w="1376" w:type="dxa"/>
          </w:tcPr>
          <w:p>
            <w:pPr>
              <w:pStyle w:val="TableText"/>
            </w:pPr>
            <w:r>
              <w:rPr>
                <w:sz w:val="18"/>
                <w:szCs w:val="18"/>
              </w:rPr>
              <w:t xml:space="preserve">Attention</w:t>
            </w:r>
          </w:p>
        </w:tc>
        <w:tc>
          <w:tcPr>
            <w:tcW w:w="3579" w:type="dxa"/>
          </w:tcPr>
          <w:p>
            <w:pPr>
              <w:pStyle w:val="TableText"/>
            </w:pPr>
            <w:r>
              <w:rPr>
                <w:sz w:val="18"/>
                <w:szCs w:val="18"/>
              </w:rPr>
              <w:t xml:space="preserve">N licence(s) expirent dans les 30 jours</w:t>
            </w:r>
          </w:p>
        </w:tc>
        <w:tc>
          <w:tcPr>
            <w:tcW w:w="4681" w:type="dxa"/>
          </w:tcPr>
          <w:p>
            <w:pPr>
              <w:pStyle w:val="TableText"/>
            </w:pPr>
            <w:r>
              <w:rPr>
                <w:sz w:val="18"/>
                <w:szCs w:val="18"/>
              </w:rPr>
              <w:t xml:space="preserve">Expiration entre 8 et 30 jours (regroupées)</w:t>
            </w:r>
          </w:p>
        </w:tc>
      </w:tr>
      <w:tr>
        <w:trPr>
          <w:cantSplit/>
        </w:trPr>
        <w:tc>
          <w:tcPr>
            <w:tcW w:w="1376" w:type="dxa"/>
            <w:shd w:val="clear" w:color="auto" w:fill="F4F7FC"/>
          </w:tcPr>
          <w:p>
            <w:pPr>
              <w:pStyle w:val="TableText"/>
            </w:pPr>
            <w:r>
              <w:rPr>
                <w:sz w:val="18"/>
                <w:szCs w:val="18"/>
              </w:rPr>
              <w:t xml:space="preserve">Attention</w:t>
            </w:r>
          </w:p>
        </w:tc>
        <w:tc>
          <w:tcPr>
            <w:tcW w:w="3579" w:type="dxa"/>
            <w:shd w:val="clear" w:color="auto" w:fill="F4F7FC"/>
          </w:tcPr>
          <w:p>
            <w:pPr>
              <w:pStyle w:val="TableText"/>
            </w:pPr>
            <w:r>
              <w:rPr>
                <w:sz w:val="18"/>
                <w:szCs w:val="18"/>
              </w:rPr>
              <w:t xml:space="preserve">N produit(s) saturé(s) plus de 5 % du temps ouvré</w:t>
            </w:r>
          </w:p>
        </w:tc>
        <w:tc>
          <w:tcPr>
            <w:tcW w:w="4681" w:type="dxa"/>
            <w:shd w:val="clear" w:color="auto" w:fill="F4F7FC"/>
          </w:tcPr>
          <w:p>
            <w:pPr>
              <w:pStyle w:val="TableText"/>
            </w:pPr>
            <w:r>
              <w:rPr>
                <w:sz w:val="18"/>
                <w:szCs w:val="18"/>
              </w:rPr>
              <w:t xml:space="preserve">Heures saturées ≥ 5 % des heures ouvrées</w:t>
            </w:r>
          </w:p>
        </w:tc>
      </w:tr>
      <w:tr>
        <w:trPr>
          <w:cantSplit/>
        </w:trPr>
        <w:tc>
          <w:tcPr>
            <w:tcW w:w="1376" w:type="dxa"/>
          </w:tcPr>
          <w:p>
            <w:pPr>
              <w:pStyle w:val="TableText"/>
            </w:pPr>
            <w:r>
              <w:rPr>
                <w:sz w:val="18"/>
                <w:szCs w:val="18"/>
              </w:rPr>
              <w:t xml:space="preserve">Info</w:t>
            </w:r>
          </w:p>
        </w:tc>
        <w:tc>
          <w:tcPr>
            <w:tcW w:w="3579" w:type="dxa"/>
          </w:tcPr>
          <w:p>
            <w:pPr>
              <w:pStyle w:val="TableText"/>
            </w:pPr>
            <w:r>
              <w:rPr>
                <w:sz w:val="18"/>
                <w:szCs w:val="18"/>
              </w:rPr>
              <w:t xml:space="preserve">N produit(s) sous-utilisé(s)</w:t>
            </w:r>
          </w:p>
        </w:tc>
        <w:tc>
          <w:tcPr>
            <w:tcW w:w="4681" w:type="dxa"/>
          </w:tcPr>
          <w:p>
            <w:pPr>
              <w:pStyle w:val="TableText"/>
            </w:pPr>
            <w:r>
              <w:rPr>
                <w:sz w:val="18"/>
                <w:szCs w:val="18"/>
              </w:rPr>
              <w:t xml:space="preserve">Au moins 2 jetons et pic d'utilisation &lt; 50 % du parc</w:t>
            </w:r>
          </w:p>
        </w:tc>
      </w:tr>
    </w:tbl>
    <w:p>
      <w:pPr>
        <w:spacing w:after="80"/>
      </w:pPr>
    </w:p>
    <w:p>
      <w:pPr>
        <w:pStyle w:val="Heading3"/>
      </w:pPr>
      <w:bookmarkStart w:id="87" w:name="_Toc00087"/>
      <w:r>
        <w:rPr/>
        <w:t xml:space="preserve">Indicateurs clés</w:t>
      </w:r>
      <w:bookmarkEnd w:id="87"/>
    </w:p>
    <w:p>
      <w:pPr/>
      <w:r>
        <w:rPr/>
        <w:t xml:space="preserve">Six cartes comparent la période choisie à la période précédente de même durée (vert = amélioration, rouge = dégradation), avec une micro-courbe de tendance journalière. Un clic ouvre le rapport détaillé.</w:t>
      </w:r>
    </w:p>
    <w:p>
      <w:pPr>
        <w:pStyle w:val="Figure"/>
        <w:keepNext/>
      </w:pPr>
      <w:r>
        <w:drawing>
          <wp:inline distT="0" distB="0" distL="0" distR="0">
            <wp:extent cx="5940000" cy="1037408"/>
            <wp:docPr id="23" name="Image 23" descr="Indicateurs clés"/>
            <wp:cNvGraphicFramePr>
              <a:graphicFrameLocks noChangeAspect="1"/>
            </wp:cNvGraphicFramePr>
            <a:graphic>
              <a:graphicData uri="http://schemas.openxmlformats.org/drawingml/2006/picture">
                <pic:pic>
                  <pic:nvPicPr>
                    <pic:cNvPr id="23" name="kpis.png"/>
                    <pic:cNvPicPr/>
                  </pic:nvPicPr>
                  <pic:blipFill>
                    <a:blip r:embed="rIdImg23"/>
                    <a:stretch>
                      <a:fillRect/>
                    </a:stretch>
                  </pic:blipFill>
                  <pic:spPr>
                    <a:xfrm>
                      <a:off x="0" y="0"/>
                      <a:ext cx="5940000" cy="1037408"/>
                    </a:xfrm>
                    <a:prstGeom prst="rect">
                      <a:avLst/>
                    </a:prstGeom>
                    <a:ln w="9525">
                      <a:solidFill>
                        <a:srgbClr val="D9D8D2"/>
                      </a:solidFill>
                    </a:ln>
                  </pic:spPr>
                </pic:pic>
              </a:graphicData>
            </a:graphic>
          </wp:inline>
        </w:drawing>
      </w:r>
    </w:p>
    <w:p>
      <w:pPr>
        <w:pStyle w:val="Caption"/>
      </w:pPr>
      <w:bookmarkStart w:id="88" w:name="_Fig00088"/>
      <w:r>
        <w:rPr/>
        <w:t xml:space="preserve">Figure </w:t>
      </w:r>
      <w:fldSimple w:instr=" SEQ Figure \* ARABIC ">
        <w:r>
          <w:t>22</w:t>
        </w:r>
      </w:fldSimple>
      <w:r>
        <w:rPr/>
        <w:t xml:space="preserve"> – Indicateurs clés</w:t>
      </w:r>
      <w:bookmarkEnd w:id="88"/>
    </w:p>
    <w:p>
      <w:pPr>
        <w:pStyle w:val="Caption"/>
        <w:keepNext/>
      </w:pPr>
      <w:r>
        <w:rPr/>
        <w:t xml:space="preserve">Tableau 21 – Définition des indicateurs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753"/>
        <w:gridCol w:w="4681"/>
        <w:gridCol w:w="2202"/>
      </w:tblGrid>
      <w:tr>
        <w:trPr>
          <w:tblHeader/>
          <w:cantSplit/>
        </w:trPr>
        <w:tc>
          <w:tcPr>
            <w:tcW w:w="2753" w:type="dxa"/>
            <w:shd w:val="clear" w:color="auto" w:fill="2A78D6"/>
          </w:tcPr>
          <w:p>
            <w:pPr>
              <w:pStyle w:val="TableText"/>
            </w:pPr>
            <w:r>
              <w:rPr>
                <w:b/>
                <w:color w:val="FFFFFF"/>
                <w:sz w:val="18"/>
                <w:szCs w:val="18"/>
              </w:rPr>
              <w:t xml:space="preserve">Indicateur</w:t>
            </w:r>
          </w:p>
        </w:tc>
        <w:tc>
          <w:tcPr>
            <w:tcW w:w="4681" w:type="dxa"/>
            <w:shd w:val="clear" w:color="auto" w:fill="2A78D6"/>
          </w:tcPr>
          <w:p>
            <w:pPr>
              <w:pStyle w:val="TableText"/>
            </w:pPr>
            <w:r>
              <w:rPr>
                <w:b/>
                <w:color w:val="FFFFFF"/>
                <w:sz w:val="18"/>
                <w:szCs w:val="18"/>
              </w:rPr>
              <w:t xml:space="preserve">Définition</w:t>
            </w:r>
          </w:p>
        </w:tc>
        <w:tc>
          <w:tcPr>
            <w:tcW w:w="2202" w:type="dxa"/>
            <w:shd w:val="clear" w:color="auto" w:fill="2A78D6"/>
          </w:tcPr>
          <w:p>
            <w:pPr>
              <w:pStyle w:val="TableText"/>
            </w:pPr>
            <w:r>
              <w:rPr>
                <w:b/>
                <w:color w:val="FFFFFF"/>
                <w:sz w:val="18"/>
                <w:szCs w:val="18"/>
              </w:rPr>
              <w:t xml:space="preserve">Clic → vue</w:t>
            </w:r>
          </w:p>
        </w:tc>
      </w:tr>
      <w:tr>
        <w:trPr>
          <w:cantSplit/>
        </w:trPr>
        <w:tc>
          <w:tcPr>
            <w:tcW w:w="2753" w:type="dxa"/>
          </w:tcPr>
          <w:p>
            <w:pPr>
              <w:pStyle w:val="TableText"/>
            </w:pPr>
            <w:r>
              <w:rPr>
                <w:sz w:val="18"/>
                <w:szCs w:val="18"/>
              </w:rPr>
              <w:t xml:space="preserve">Taux d'occupation (heures ouvrées)</w:t>
            </w:r>
          </w:p>
        </w:tc>
        <w:tc>
          <w:tcPr>
            <w:tcW w:w="4681" w:type="dxa"/>
          </w:tcPr>
          <w:p>
            <w:pPr>
              <w:pStyle w:val="TableText"/>
            </w:pPr>
            <w:r>
              <w:rPr>
                <w:sz w:val="18"/>
                <w:szCs w:val="18"/>
              </w:rPr>
              <w:t xml:space="preserve">Jetons utilisés / émis pendant les heures ouvrées ; variation en points</w:t>
            </w:r>
          </w:p>
        </w:tc>
        <w:tc>
          <w:tcPr>
            <w:tcW w:w="2202" w:type="dxa"/>
          </w:tcPr>
          <w:p>
            <w:pPr>
              <w:pStyle w:val="TableText"/>
            </w:pPr>
            <w:r>
              <w:rPr>
                <w:sz w:val="18"/>
                <w:szCs w:val="18"/>
              </w:rPr>
              <w:t xml:space="preserve">Usage dans le temps (taux)</w:t>
            </w:r>
          </w:p>
        </w:tc>
      </w:tr>
      <w:tr>
        <w:trPr>
          <w:cantSplit/>
        </w:trPr>
        <w:tc>
          <w:tcPr>
            <w:tcW w:w="2753" w:type="dxa"/>
            <w:shd w:val="clear" w:color="auto" w:fill="F4F7FC"/>
          </w:tcPr>
          <w:p>
            <w:pPr>
              <w:pStyle w:val="TableText"/>
            </w:pPr>
            <w:r>
              <w:rPr>
                <w:sz w:val="18"/>
                <w:szCs w:val="18"/>
              </w:rPr>
              <w:t xml:space="preserve">Utilisateurs actifs</w:t>
            </w:r>
          </w:p>
        </w:tc>
        <w:tc>
          <w:tcPr>
            <w:tcW w:w="4681" w:type="dxa"/>
            <w:shd w:val="clear" w:color="auto" w:fill="F4F7FC"/>
          </w:tcPr>
          <w:p>
            <w:pPr>
              <w:pStyle w:val="TableText"/>
            </w:pPr>
            <w:r>
              <w:rPr>
                <w:sz w:val="18"/>
                <w:szCs w:val="18"/>
              </w:rPr>
              <w:t xml:space="preserve">Utilisateurs distincts ayant au moins une session</w:t>
            </w:r>
          </w:p>
        </w:tc>
        <w:tc>
          <w:tcPr>
            <w:tcW w:w="2202" w:type="dxa"/>
            <w:shd w:val="clear" w:color="auto" w:fill="F4F7FC"/>
          </w:tcPr>
          <w:p>
            <w:pPr>
              <w:pStyle w:val="TableText"/>
            </w:pPr>
            <w:r>
              <w:rPr>
                <w:sz w:val="18"/>
                <w:szCs w:val="18"/>
              </w:rPr>
              <w:t xml:space="preserve">Répartition par utilisateur</w:t>
            </w:r>
          </w:p>
        </w:tc>
      </w:tr>
      <w:tr>
        <w:trPr>
          <w:cantSplit/>
        </w:trPr>
        <w:tc>
          <w:tcPr>
            <w:tcW w:w="2753" w:type="dxa"/>
          </w:tcPr>
          <w:p>
            <w:pPr>
              <w:pStyle w:val="TableText"/>
            </w:pPr>
            <w:r>
              <w:rPr>
                <w:sz w:val="18"/>
                <w:szCs w:val="18"/>
              </w:rPr>
              <w:t xml:space="preserve">Heures d'utilisation</w:t>
            </w:r>
          </w:p>
        </w:tc>
        <w:tc>
          <w:tcPr>
            <w:tcW w:w="4681" w:type="dxa"/>
          </w:tcPr>
          <w:p>
            <w:pPr>
              <w:pStyle w:val="TableText"/>
            </w:pPr>
            <w:r>
              <w:rPr>
                <w:sz w:val="18"/>
                <w:szCs w:val="18"/>
              </w:rPr>
              <w:t xml:space="preserve">Somme des durées de session</w:t>
            </w:r>
          </w:p>
        </w:tc>
        <w:tc>
          <w:tcPr>
            <w:tcW w:w="2202" w:type="dxa"/>
          </w:tcPr>
          <w:p>
            <w:pPr>
              <w:pStyle w:val="TableText"/>
            </w:pPr>
            <w:r>
              <w:rPr>
                <w:sz w:val="18"/>
                <w:szCs w:val="18"/>
              </w:rPr>
              <w:t xml:space="preserve">Répartition par service</w:t>
            </w:r>
          </w:p>
        </w:tc>
      </w:tr>
      <w:tr>
        <w:trPr>
          <w:cantSplit/>
        </w:trPr>
        <w:tc>
          <w:tcPr>
            <w:tcW w:w="2753" w:type="dxa"/>
            <w:shd w:val="clear" w:color="auto" w:fill="F4F7FC"/>
          </w:tcPr>
          <w:p>
            <w:pPr>
              <w:pStyle w:val="TableText"/>
            </w:pPr>
            <w:r>
              <w:rPr>
                <w:sz w:val="18"/>
                <w:szCs w:val="18"/>
              </w:rPr>
              <w:t xml:space="preserve">Heures saturées</w:t>
            </w:r>
          </w:p>
        </w:tc>
        <w:tc>
          <w:tcPr>
            <w:tcW w:w="4681" w:type="dxa"/>
            <w:shd w:val="clear" w:color="auto" w:fill="F4F7FC"/>
          </w:tcPr>
          <w:p>
            <w:pPr>
              <w:pStyle w:val="TableText"/>
            </w:pPr>
            <w:r>
              <w:rPr>
                <w:sz w:val="18"/>
                <w:szCs w:val="18"/>
              </w:rPr>
              <w:t xml:space="preserve">Heures où tous les jetons d'un produit étaient utilisés</w:t>
            </w:r>
          </w:p>
        </w:tc>
        <w:tc>
          <w:tcPr>
            <w:tcW w:w="2202" w:type="dxa"/>
            <w:shd w:val="clear" w:color="auto" w:fill="F4F7FC"/>
          </w:tcPr>
          <w:p>
            <w:pPr>
              <w:pStyle w:val="TableText"/>
            </w:pPr>
            <w:r>
              <w:rPr>
                <w:sz w:val="18"/>
                <w:szCs w:val="18"/>
              </w:rPr>
              <w:t xml:space="preserve">Contention</w:t>
            </w:r>
          </w:p>
        </w:tc>
      </w:tr>
      <w:tr>
        <w:trPr>
          <w:cantSplit/>
        </w:trPr>
        <w:tc>
          <w:tcPr>
            <w:tcW w:w="2753" w:type="dxa"/>
          </w:tcPr>
          <w:p>
            <w:pPr>
              <w:pStyle w:val="TableText"/>
            </w:pPr>
            <w:r>
              <w:rPr>
                <w:sz w:val="18"/>
                <w:szCs w:val="18"/>
              </w:rPr>
              <w:t xml:space="preserve">Refus de licence</w:t>
            </w:r>
          </w:p>
        </w:tc>
        <w:tc>
          <w:tcPr>
            <w:tcW w:w="4681" w:type="dxa"/>
          </w:tcPr>
          <w:p>
            <w:pPr>
              <w:pStyle w:val="TableText"/>
            </w:pPr>
            <w:r>
              <w:rPr>
                <w:sz w:val="18"/>
                <w:szCs w:val="18"/>
              </w:rPr>
              <w:t xml:space="preserve">Demandes refusées (logs)</w:t>
            </w:r>
          </w:p>
        </w:tc>
        <w:tc>
          <w:tcPr>
            <w:tcW w:w="2202" w:type="dxa"/>
          </w:tcPr>
          <w:p>
            <w:pPr>
              <w:pStyle w:val="TableText"/>
            </w:pPr>
            <w:r>
              <w:rPr>
                <w:sz w:val="18"/>
                <w:szCs w:val="18"/>
              </w:rPr>
              <w:t xml:space="preserve">Refus</w:t>
            </w:r>
          </w:p>
        </w:tc>
      </w:tr>
      <w:tr>
        <w:trPr>
          <w:cantSplit/>
        </w:trPr>
        <w:tc>
          <w:tcPr>
            <w:tcW w:w="2753" w:type="dxa"/>
            <w:shd w:val="clear" w:color="auto" w:fill="F4F7FC"/>
          </w:tcPr>
          <w:p>
            <w:pPr>
              <w:pStyle w:val="TableText"/>
            </w:pPr>
            <w:r>
              <w:rPr>
                <w:sz w:val="18"/>
                <w:szCs w:val="18"/>
              </w:rPr>
              <w:t xml:space="preserve">Économies potentielles / an</w:t>
            </w:r>
          </w:p>
        </w:tc>
        <w:tc>
          <w:tcPr>
            <w:tcW w:w="4681" w:type="dxa"/>
            <w:shd w:val="clear" w:color="auto" w:fill="F4F7FC"/>
          </w:tcPr>
          <w:p>
            <w:pPr>
              <w:pStyle w:val="TableText"/>
            </w:pPr>
            <w:r>
              <w:rPr>
                <w:sz w:val="18"/>
                <w:szCs w:val="18"/>
              </w:rPr>
              <w:t xml:space="preserve">Jetons excédentaires × coût annuel (si </w:t>
            </w:r>
            <w:r>
              <w:rPr>
                <w:rFonts w:ascii="Consolas" w:hAnsi="Consolas" w:cs="Consolas"/>
                <w:color w:val="1C5CAB"/>
                <w:sz w:val="18"/>
                <w:szCs w:val="18"/>
                <w:shd w:val="clear" w:color="auto" w:fill="EEF3FA"/>
              </w:rPr>
              <w:t xml:space="preserve">annual_cost</w:t>
            </w:r>
            <w:r>
              <w:rPr>
                <w:sz w:val="18"/>
                <w:szCs w:val="18"/>
              </w:rPr>
              <w:t xml:space="preserve"> renseigné ; sinon « Jetons excédentaires »)</w:t>
            </w:r>
          </w:p>
        </w:tc>
        <w:tc>
          <w:tcPr>
            <w:tcW w:w="2202" w:type="dxa"/>
            <w:shd w:val="clear" w:color="auto" w:fill="F4F7FC"/>
          </w:tcPr>
          <w:p>
            <w:pPr>
              <w:pStyle w:val="TableText"/>
            </w:pPr>
            <w:r>
              <w:rPr>
                <w:sz w:val="18"/>
                <w:szCs w:val="18"/>
              </w:rPr>
              <w:t xml:space="preserve">Optimisation &amp; coûts</w:t>
            </w:r>
          </w:p>
        </w:tc>
      </w:tr>
    </w:tbl>
    <w:p>
      <w:pPr>
        <w:spacing w:after="80"/>
      </w:pPr>
    </w:p>
    <w:p>
      <w:pPr>
        <w:pStyle w:val="Heading3"/>
      </w:pPr>
      <w:bookmarkStart w:id="89" w:name="_Toc00089"/>
      <w:r>
        <w:rPr/>
        <w:t xml:space="preserve">Blocs de détail</w:t>
      </w:r>
      <w:bookmarkEnd w:id="89"/>
    </w:p>
    <w:p>
      <w:pPr>
        <w:pStyle w:val="ListParagraph"/>
        <w:numPr>
          <w:ilvl w:val="0"/>
          <w:numId w:val="7"/>
        </w:numPr>
      </w:pPr>
      <w:r>
        <w:rPr>
          <w:b/>
        </w:rPr>
        <w:t xml:space="preserve">Taux d'occupation</w:t>
      </w:r>
      <w:r>
        <w:rPr/>
        <w:t xml:space="preserve"> : moyenne des heures ouvrées (aire bleue) et pic du jour (pointillés) ;</w:t>
      </w:r>
    </w:p>
    <w:p>
      <w:pPr>
        <w:pStyle w:val="ListParagraph"/>
        <w:numPr>
          <w:ilvl w:val="0"/>
          <w:numId w:val="7"/>
        </w:numPr>
      </w:pPr>
      <w:r>
        <w:rPr>
          <w:b/>
        </w:rPr>
        <w:t xml:space="preserve">En direct</w:t>
      </w:r>
      <w:r>
        <w:rPr/>
        <w:t xml:space="preserve"> : jauge de jetons utilisés, utilisateurs connectés et heure du dernier sondage ;</w:t>
      </w:r>
    </w:p>
    <w:p>
      <w:pPr>
        <w:pStyle w:val="ListParagraph"/>
        <w:numPr>
          <w:ilvl w:val="0"/>
          <w:numId w:val="7"/>
        </w:numPr>
      </w:pPr>
      <w:r>
        <w:rPr>
          <w:b/>
        </w:rPr>
        <w:t xml:space="preserve">Occupation par produit</w:t>
      </w:r>
      <w:r>
        <w:rPr/>
        <w:t xml:space="preserve"> : barre = moyenne en heures ouvrées, trait = pic observé ;</w:t>
      </w:r>
    </w:p>
    <w:p>
      <w:pPr>
        <w:pStyle w:val="ListParagraph"/>
        <w:numPr>
          <w:ilvl w:val="0"/>
          <w:numId w:val="7"/>
        </w:numPr>
      </w:pPr>
      <w:r>
        <w:rPr>
          <w:b/>
        </w:rPr>
        <w:t xml:space="preserve">Utilisateurs les plus actifs</w:t>
      </w:r>
      <w:r>
        <w:rPr/>
        <w:t xml:space="preserve"> : heures d'utilisation sur la période ;</w:t>
      </w:r>
    </w:p>
    <w:p>
      <w:pPr>
        <w:pStyle w:val="ListParagraph"/>
        <w:numPr>
          <w:ilvl w:val="0"/>
          <w:numId w:val="7"/>
        </w:numPr>
      </w:pPr>
      <w:r>
        <w:rPr>
          <w:b/>
        </w:rPr>
        <w:t xml:space="preserve">Refus par jour</w:t>
      </w:r>
      <w:r>
        <w:rPr/>
        <w:t xml:space="preserve">, </w:t>
      </w:r>
      <w:r>
        <w:rPr>
          <w:b/>
        </w:rPr>
        <w:t xml:space="preserve">profil horaire</w:t>
      </w:r>
      <w:r>
        <w:rPr/>
        <w:t xml:space="preserve"> (jour × heure) ;</w:t>
      </w:r>
    </w:p>
    <w:p>
      <w:pPr>
        <w:pStyle w:val="ListParagraph"/>
        <w:numPr>
          <w:ilvl w:val="0"/>
          <w:numId w:val="7"/>
        </w:numPr>
      </w:pPr>
      <w:r>
        <w:rPr>
          <w:b/>
        </w:rPr>
        <w:t xml:space="preserve">Serveurs et échéances</w:t>
      </w:r>
      <w:r>
        <w:rPr/>
        <w:t xml:space="preserve"> : état de collecte de chaque serveur et prochaines expirations de licences.</w:t>
      </w:r>
    </w:p>
    <w:p>
      <w:pPr>
        <w:pStyle w:val="Figure"/>
        <w:keepNext/>
      </w:pPr>
      <w:r>
        <w:drawing>
          <wp:inline distT="0" distB="0" distL="0" distR="0">
            <wp:extent cx="2880000" cy="3230364"/>
            <wp:docPr id="24" name="Image 24" descr="Bloc « Serveurs et échéances »"/>
            <wp:cNvGraphicFramePr>
              <a:graphicFrameLocks noChangeAspect="1"/>
            </wp:cNvGraphicFramePr>
            <a:graphic>
              <a:graphicData uri="http://schemas.openxmlformats.org/drawingml/2006/picture">
                <pic:pic>
                  <pic:nvPicPr>
                    <pic:cNvPr id="24" name="servers.png"/>
                    <pic:cNvPicPr/>
                  </pic:nvPicPr>
                  <pic:blipFill>
                    <a:blip r:embed="rIdImg24"/>
                    <a:stretch>
                      <a:fillRect/>
                    </a:stretch>
                  </pic:blipFill>
                  <pic:spPr>
                    <a:xfrm>
                      <a:off x="0" y="0"/>
                      <a:ext cx="2880000" cy="3230364"/>
                    </a:xfrm>
                    <a:prstGeom prst="rect">
                      <a:avLst/>
                    </a:prstGeom>
                    <a:ln w="9525">
                      <a:solidFill>
                        <a:srgbClr val="D9D8D2"/>
                      </a:solidFill>
                    </a:ln>
                  </pic:spPr>
                </pic:pic>
              </a:graphicData>
            </a:graphic>
          </wp:inline>
        </w:drawing>
      </w:r>
    </w:p>
    <w:p>
      <w:pPr>
        <w:pStyle w:val="Caption"/>
      </w:pPr>
      <w:bookmarkStart w:id="90" w:name="_Fig00090"/>
      <w:r>
        <w:rPr/>
        <w:t xml:space="preserve">Figure </w:t>
      </w:r>
      <w:fldSimple w:instr=" SEQ Figure \* ARABIC ">
        <w:r>
          <w:t>23</w:t>
        </w:r>
      </w:fldSimple>
      <w:r>
        <w:rPr/>
        <w:t xml:space="preserve"> – Bloc « Serveurs et échéances »</w:t>
      </w:r>
      <w:bookmarkEnd w:id="90"/>
    </w:p>
    <w:p>
      <w:pPr>
        <w:pStyle w:val="Heading2"/>
      </w:pPr>
      <w:bookmarkStart w:id="91" w:name="_Toc00091"/>
      <w:r>
        <w:rPr/>
        <w:t xml:space="preserve">8.4 En direct</w:t>
      </w:r>
      <w:bookmarkEnd w:id="91"/>
    </w:p>
    <w:p>
      <w:pPr/>
      <w:r>
        <w:rPr/>
        <w:t xml:space="preserve">Une carte par produit indique les jetons utilisés et libres, la file d'attente éventuelle et la liste des utilisateurs connectés (poste, service, durée). La page s'actualise automatiquement chaque minute ; le point vert devient gris si le dernier sondage date de plus d'une heure.</w:t>
      </w:r>
    </w:p>
    <w:p>
      <w:pPr>
        <w:pStyle w:val="Figure"/>
        <w:keepNext/>
      </w:pPr>
      <w:r>
        <w:drawing>
          <wp:inline distT="0" distB="0" distL="0" distR="0">
            <wp:extent cx="5940000" cy="3712500"/>
            <wp:docPr id="25" name="Image 25" descr="Vue En direct"/>
            <wp:cNvGraphicFramePr>
              <a:graphicFrameLocks noChangeAspect="1"/>
            </wp:cNvGraphicFramePr>
            <a:graphic>
              <a:graphicData uri="http://schemas.openxmlformats.org/drawingml/2006/picture">
                <pic:pic>
                  <pic:nvPicPr>
                    <pic:cNvPr id="25" name="live.png"/>
                    <pic:cNvPicPr/>
                  </pic:nvPicPr>
                  <pic:blipFill>
                    <a:blip r:embed="rIdImg25"/>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92" w:name="_Fig00092"/>
      <w:r>
        <w:rPr/>
        <w:t xml:space="preserve">Figure </w:t>
      </w:r>
      <w:fldSimple w:instr=" SEQ Figure \* ARABIC ">
        <w:r>
          <w:t>24</w:t>
        </w:r>
      </w:fldSimple>
      <w:r>
        <w:rPr/>
        <w:t xml:space="preserve"> – Vue En direct</w:t>
      </w:r>
      <w:bookmarkEnd w:id="92"/>
    </w:p>
    <w:p>
      <w:pPr>
        <w:pStyle w:val="Heading2"/>
      </w:pPr>
      <w:bookmarkStart w:id="93" w:name="_Toc00093"/>
      <w:r>
        <w:rPr/>
        <w:t xml:space="preserve">8.5 Rapports d'analyse</w:t>
      </w:r>
      <w:bookmarkEnd w:id="93"/>
    </w:p>
    <w:p>
      <w:pPr>
        <w:pStyle w:val="Caption"/>
        <w:keepNext/>
      </w:pPr>
      <w:r>
        <w:rPr/>
        <w:t xml:space="preserve">Tableau 22 – Rapports d'analyse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927"/>
        <w:gridCol w:w="4405"/>
        <w:gridCol w:w="3304"/>
      </w:tblGrid>
      <w:tr>
        <w:trPr>
          <w:tblHeader/>
          <w:cantSplit/>
        </w:trPr>
        <w:tc>
          <w:tcPr>
            <w:tcW w:w="1927" w:type="dxa"/>
            <w:shd w:val="clear" w:color="auto" w:fill="2A78D6"/>
          </w:tcPr>
          <w:p>
            <w:pPr>
              <w:pStyle w:val="TableText"/>
            </w:pPr>
            <w:r>
              <w:rPr>
                <w:b/>
                <w:color w:val="FFFFFF"/>
                <w:sz w:val="18"/>
                <w:szCs w:val="18"/>
              </w:rPr>
              <w:t xml:space="preserve">Vue</w:t>
            </w:r>
          </w:p>
        </w:tc>
        <w:tc>
          <w:tcPr>
            <w:tcW w:w="4405" w:type="dxa"/>
            <w:shd w:val="clear" w:color="auto" w:fill="2A78D6"/>
          </w:tcPr>
          <w:p>
            <w:pPr>
              <w:pStyle w:val="TableText"/>
            </w:pPr>
            <w:r>
              <w:rPr>
                <w:b/>
                <w:color w:val="FFFFFF"/>
                <w:sz w:val="18"/>
                <w:szCs w:val="18"/>
              </w:rPr>
              <w:t xml:space="preserve">Contenu</w:t>
            </w:r>
          </w:p>
        </w:tc>
        <w:tc>
          <w:tcPr>
            <w:tcW w:w="3304" w:type="dxa"/>
            <w:shd w:val="clear" w:color="auto" w:fill="2A78D6"/>
          </w:tcPr>
          <w:p>
            <w:pPr>
              <w:pStyle w:val="TableText"/>
            </w:pPr>
            <w:r>
              <w:rPr>
                <w:b/>
                <w:color w:val="FFFFFF"/>
                <w:sz w:val="18"/>
                <w:szCs w:val="18"/>
              </w:rPr>
              <w:t xml:space="preserve">Options</w:t>
            </w:r>
          </w:p>
        </w:tc>
      </w:tr>
      <w:tr>
        <w:trPr>
          <w:cantSplit/>
        </w:trPr>
        <w:tc>
          <w:tcPr>
            <w:tcW w:w="1927" w:type="dxa"/>
          </w:tcPr>
          <w:p>
            <w:pPr>
              <w:pStyle w:val="TableText"/>
            </w:pPr>
            <w:r>
              <w:rPr>
                <w:sz w:val="18"/>
                <w:szCs w:val="18"/>
              </w:rPr>
              <w:t xml:space="preserve">Synthèse</w:t>
            </w:r>
          </w:p>
        </w:tc>
        <w:tc>
          <w:tcPr>
            <w:tcW w:w="4405" w:type="dxa"/>
          </w:tcPr>
          <w:p>
            <w:pPr>
              <w:pStyle w:val="TableText"/>
            </w:pPr>
            <w:r>
              <w:rPr>
                <w:sz w:val="18"/>
                <w:szCs w:val="18"/>
              </w:rPr>
              <w:t xml:space="preserve">Par produit : jetons, pic, moyenne, taux (moyen, au pic, heures ouvrées), heures saturées, refus</w:t>
            </w:r>
          </w:p>
        </w:tc>
        <w:tc>
          <w:tcPr>
            <w:tcW w:w="3304" w:type="dxa"/>
          </w:tcPr>
          <w:p>
            <w:pPr>
              <w:pStyle w:val="TableText"/>
            </w:pPr>
            <w:r>
              <w:rPr>
                <w:sz w:val="18"/>
                <w:szCs w:val="18"/>
              </w:rPr>
              <w:t xml:space="preserve">—</w:t>
            </w:r>
          </w:p>
        </w:tc>
      </w:tr>
      <w:tr>
        <w:trPr>
          <w:cantSplit/>
        </w:trPr>
        <w:tc>
          <w:tcPr>
            <w:tcW w:w="1927" w:type="dxa"/>
            <w:shd w:val="clear" w:color="auto" w:fill="F4F7FC"/>
          </w:tcPr>
          <w:p>
            <w:pPr>
              <w:pStyle w:val="TableText"/>
            </w:pPr>
            <w:r>
              <w:rPr>
                <w:sz w:val="18"/>
                <w:szCs w:val="18"/>
              </w:rPr>
              <w:t xml:space="preserve">Usage dans le temps</w:t>
            </w:r>
          </w:p>
        </w:tc>
        <w:tc>
          <w:tcPr>
            <w:tcW w:w="4405" w:type="dxa"/>
            <w:shd w:val="clear" w:color="auto" w:fill="F4F7FC"/>
          </w:tcPr>
          <w:p>
            <w:pPr>
              <w:pStyle w:val="TableText"/>
            </w:pPr>
            <w:r>
              <w:rPr>
                <w:sz w:val="18"/>
                <w:szCs w:val="18"/>
              </w:rPr>
              <w:t xml:space="preserve">Courbes par produit</w:t>
            </w:r>
          </w:p>
        </w:tc>
        <w:tc>
          <w:tcPr>
            <w:tcW w:w="3304" w:type="dxa"/>
            <w:shd w:val="clear" w:color="auto" w:fill="F4F7FC"/>
          </w:tcPr>
          <w:p>
            <w:pPr>
              <w:pStyle w:val="TableText"/>
            </w:pPr>
            <w:r>
              <w:rPr>
                <w:sz w:val="18"/>
                <w:szCs w:val="18"/>
              </w:rPr>
              <w:t xml:space="preserve">Pas : heure, jour, semaine, mois ; mesure : pic, moyenne, taux</w:t>
            </w:r>
          </w:p>
        </w:tc>
      </w:tr>
      <w:tr>
        <w:trPr>
          <w:cantSplit/>
        </w:trPr>
        <w:tc>
          <w:tcPr>
            <w:tcW w:w="1927" w:type="dxa"/>
          </w:tcPr>
          <w:p>
            <w:pPr>
              <w:pStyle w:val="TableText"/>
            </w:pPr>
            <w:r>
              <w:rPr>
                <w:sz w:val="18"/>
                <w:szCs w:val="18"/>
              </w:rPr>
              <w:t xml:space="preserve">Répartition</w:t>
            </w:r>
          </w:p>
        </w:tc>
        <w:tc>
          <w:tcPr>
            <w:tcW w:w="4405" w:type="dxa"/>
          </w:tcPr>
          <w:p>
            <w:pPr>
              <w:pStyle w:val="TableText"/>
            </w:pPr>
            <w:r>
              <w:rPr>
                <w:sz w:val="18"/>
                <w:szCs w:val="18"/>
              </w:rPr>
              <w:t xml:space="preserve">Heures d'utilisation et coût par dimension</w:t>
            </w:r>
          </w:p>
        </w:tc>
        <w:tc>
          <w:tcPr>
            <w:tcW w:w="3304" w:type="dxa"/>
          </w:tcPr>
          <w:p>
            <w:pPr>
              <w:pStyle w:val="TableText"/>
            </w:pPr>
            <w:r>
              <w:rPr>
                <w:sz w:val="18"/>
                <w:szCs w:val="18"/>
              </w:rPr>
              <w:t xml:space="preserve">Par utilisateur, poste, service, produit, serveur, éditeur</w:t>
            </w:r>
          </w:p>
        </w:tc>
      </w:tr>
      <w:tr>
        <w:trPr>
          <w:cantSplit/>
        </w:trPr>
        <w:tc>
          <w:tcPr>
            <w:tcW w:w="1927" w:type="dxa"/>
            <w:shd w:val="clear" w:color="auto" w:fill="F4F7FC"/>
          </w:tcPr>
          <w:p>
            <w:pPr>
              <w:pStyle w:val="TableText"/>
            </w:pPr>
            <w:r>
              <w:rPr>
                <w:sz w:val="18"/>
                <w:szCs w:val="18"/>
              </w:rPr>
              <w:t xml:space="preserve">Croisement</w:t>
            </w:r>
          </w:p>
        </w:tc>
        <w:tc>
          <w:tcPr>
            <w:tcW w:w="4405" w:type="dxa"/>
            <w:shd w:val="clear" w:color="auto" w:fill="F4F7FC"/>
          </w:tcPr>
          <w:p>
            <w:pPr>
              <w:pStyle w:val="TableText"/>
            </w:pPr>
            <w:r>
              <w:rPr>
                <w:sz w:val="18"/>
                <w:szCs w:val="18"/>
              </w:rPr>
              <w:t xml:space="preserve">Tableau croisé dimension × produit (heures)</w:t>
            </w:r>
          </w:p>
        </w:tc>
        <w:tc>
          <w:tcPr>
            <w:tcW w:w="3304" w:type="dxa"/>
            <w:shd w:val="clear" w:color="auto" w:fill="F4F7FC"/>
          </w:tcPr>
          <w:p>
            <w:pPr>
              <w:pStyle w:val="TableText"/>
            </w:pPr>
            <w:r>
              <w:rPr>
                <w:sz w:val="18"/>
                <w:szCs w:val="18"/>
              </w:rPr>
              <w:t xml:space="preserve">Par utilisateur, poste ou service</w:t>
            </w:r>
          </w:p>
        </w:tc>
      </w:tr>
      <w:tr>
        <w:trPr>
          <w:cantSplit/>
        </w:trPr>
        <w:tc>
          <w:tcPr>
            <w:tcW w:w="1927" w:type="dxa"/>
          </w:tcPr>
          <w:p>
            <w:pPr>
              <w:pStyle w:val="TableText"/>
            </w:pPr>
            <w:r>
              <w:rPr>
                <w:sz w:val="18"/>
                <w:szCs w:val="18"/>
              </w:rPr>
              <w:t xml:space="preserve">Profil horaire</w:t>
            </w:r>
          </w:p>
        </w:tc>
        <w:tc>
          <w:tcPr>
            <w:tcW w:w="4405" w:type="dxa"/>
          </w:tcPr>
          <w:p>
            <w:pPr>
              <w:pStyle w:val="TableText"/>
            </w:pPr>
            <w:r>
              <w:rPr>
                <w:sz w:val="18"/>
                <w:szCs w:val="18"/>
              </w:rPr>
              <w:t xml:space="preserve">Carte de chaleur heure × jour de semaine</w:t>
            </w:r>
          </w:p>
        </w:tc>
        <w:tc>
          <w:tcPr>
            <w:tcW w:w="3304" w:type="dxa"/>
          </w:tcPr>
          <w:p>
            <w:pPr>
              <w:pStyle w:val="TableText"/>
            </w:pPr>
            <w:r>
              <w:rPr>
                <w:sz w:val="18"/>
                <w:szCs w:val="18"/>
              </w:rPr>
              <w:t xml:space="preserve">—</w:t>
            </w:r>
          </w:p>
        </w:tc>
      </w:tr>
    </w:tbl>
    <w:p>
      <w:pPr>
        <w:spacing w:after="80"/>
      </w:pPr>
    </w:p>
    <w:p>
      <w:pPr>
        <w:pStyle w:val="Figure"/>
        <w:keepNext/>
      </w:pPr>
      <w:r>
        <w:drawing>
          <wp:inline distT="0" distB="0" distL="0" distR="0">
            <wp:extent cx="5940000" cy="3712500"/>
            <wp:docPr id="26" name="Image 26" descr="Synthèse par produit"/>
            <wp:cNvGraphicFramePr>
              <a:graphicFrameLocks noChangeAspect="1"/>
            </wp:cNvGraphicFramePr>
            <a:graphic>
              <a:graphicData uri="http://schemas.openxmlformats.org/drawingml/2006/picture">
                <pic:pic>
                  <pic:nvPicPr>
                    <pic:cNvPr id="26" name="summary.png"/>
                    <pic:cNvPicPr/>
                  </pic:nvPicPr>
                  <pic:blipFill>
                    <a:blip r:embed="rIdImg26"/>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94" w:name="_Fig00094"/>
      <w:r>
        <w:rPr/>
        <w:t xml:space="preserve">Figure </w:t>
      </w:r>
      <w:fldSimple w:instr=" SEQ Figure \* ARABIC ">
        <w:r>
          <w:t>25</w:t>
        </w:r>
      </w:fldSimple>
      <w:r>
        <w:rPr/>
        <w:t xml:space="preserve"> – Synthèse par produit</w:t>
      </w:r>
      <w:bookmarkEnd w:id="94"/>
    </w:p>
    <w:p>
      <w:pPr>
        <w:pStyle w:val="Figure"/>
        <w:keepNext/>
      </w:pPr>
      <w:r>
        <w:drawing>
          <wp:inline distT="0" distB="0" distL="0" distR="0">
            <wp:extent cx="5940000" cy="3712500"/>
            <wp:docPr id="27" name="Image 27" descr="Usage dans le temps (taux d'occupation journalier)"/>
            <wp:cNvGraphicFramePr>
              <a:graphicFrameLocks noChangeAspect="1"/>
            </wp:cNvGraphicFramePr>
            <a:graphic>
              <a:graphicData uri="http://schemas.openxmlformats.org/drawingml/2006/picture">
                <pic:pic>
                  <pic:nvPicPr>
                    <pic:cNvPr id="27" name="timeseries.png"/>
                    <pic:cNvPicPr/>
                  </pic:nvPicPr>
                  <pic:blipFill>
                    <a:blip r:embed="rIdImg27"/>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95" w:name="_Fig00095"/>
      <w:r>
        <w:rPr/>
        <w:t xml:space="preserve">Figure </w:t>
      </w:r>
      <w:fldSimple w:instr=" SEQ Figure \* ARABIC ">
        <w:r>
          <w:t>26</w:t>
        </w:r>
      </w:fldSimple>
      <w:r>
        <w:rPr/>
        <w:t xml:space="preserve"> – Usage dans le temps (taux d'occupation journalier)</w:t>
      </w:r>
      <w:bookmarkEnd w:id="95"/>
    </w:p>
    <w:p>
      <w:pPr>
        <w:pStyle w:val="Figure"/>
        <w:keepNext/>
      </w:pPr>
      <w:r>
        <w:drawing>
          <wp:inline distT="0" distB="0" distL="0" distR="0">
            <wp:extent cx="5940000" cy="3712500"/>
            <wp:docPr id="28" name="Image 28" descr="Répartition par service (refacturation)"/>
            <wp:cNvGraphicFramePr>
              <a:graphicFrameLocks noChangeAspect="1"/>
            </wp:cNvGraphicFramePr>
            <a:graphic>
              <a:graphicData uri="http://schemas.openxmlformats.org/drawingml/2006/picture">
                <pic:pic>
                  <pic:nvPicPr>
                    <pic:cNvPr id="28" name="breakdown.png"/>
                    <pic:cNvPicPr/>
                  </pic:nvPicPr>
                  <pic:blipFill>
                    <a:blip r:embed="rIdImg28"/>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96" w:name="_Fig00096"/>
      <w:r>
        <w:rPr/>
        <w:t xml:space="preserve">Figure </w:t>
      </w:r>
      <w:fldSimple w:instr=" SEQ Figure \* ARABIC ">
        <w:r>
          <w:t>27</w:t>
        </w:r>
      </w:fldSimple>
      <w:r>
        <w:rPr/>
        <w:t xml:space="preserve"> – Répartition par service (refacturation)</w:t>
      </w:r>
      <w:bookmarkEnd w:id="96"/>
    </w:p>
    <w:p>
      <w:pPr>
        <w:pStyle w:val="Figure"/>
        <w:keepNext/>
      </w:pPr>
      <w:r>
        <w:drawing>
          <wp:inline distT="0" distB="0" distL="0" distR="0">
            <wp:extent cx="5940000" cy="3712500"/>
            <wp:docPr id="29" name="Image 29" descr="Croisement service × produit"/>
            <wp:cNvGraphicFramePr>
              <a:graphicFrameLocks noChangeAspect="1"/>
            </wp:cNvGraphicFramePr>
            <a:graphic>
              <a:graphicData uri="http://schemas.openxmlformats.org/drawingml/2006/picture">
                <pic:pic>
                  <pic:nvPicPr>
                    <pic:cNvPr id="29" name="matrix.png"/>
                    <pic:cNvPicPr/>
                  </pic:nvPicPr>
                  <pic:blipFill>
                    <a:blip r:embed="rIdImg29"/>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97" w:name="_Fig00097"/>
      <w:r>
        <w:rPr/>
        <w:t xml:space="preserve">Figure </w:t>
      </w:r>
      <w:fldSimple w:instr=" SEQ Figure \* ARABIC ">
        <w:r>
          <w:t>28</w:t>
        </w:r>
      </w:fldSimple>
      <w:r>
        <w:rPr/>
        <w:t xml:space="preserve"> – Croisement service × produit</w:t>
      </w:r>
      <w:bookmarkEnd w:id="97"/>
    </w:p>
    <w:p>
      <w:pPr>
        <w:pStyle w:val="Figure"/>
        <w:keepNext/>
      </w:pPr>
      <w:r>
        <w:drawing>
          <wp:inline distT="0" distB="0" distL="0" distR="0">
            <wp:extent cx="5940000" cy="3712500"/>
            <wp:docPr id="30" name="Image 30" descr="Profil horaire"/>
            <wp:cNvGraphicFramePr>
              <a:graphicFrameLocks noChangeAspect="1"/>
            </wp:cNvGraphicFramePr>
            <a:graphic>
              <a:graphicData uri="http://schemas.openxmlformats.org/drawingml/2006/picture">
                <pic:pic>
                  <pic:nvPicPr>
                    <pic:cNvPr id="30" name="heatmap.png"/>
                    <pic:cNvPicPr/>
                  </pic:nvPicPr>
                  <pic:blipFill>
                    <a:blip r:embed="rIdImg30"/>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98" w:name="_Fig00098"/>
      <w:r>
        <w:rPr/>
        <w:t xml:space="preserve">Figure </w:t>
      </w:r>
      <w:fldSimple w:instr=" SEQ Figure \* ARABIC ">
        <w:r>
          <w:t>29</w:t>
        </w:r>
      </w:fldSimple>
      <w:r>
        <w:rPr/>
        <w:t xml:space="preserve"> – Profil horaire</w:t>
      </w:r>
      <w:bookmarkEnd w:id="98"/>
    </w:p>
    <w:p>
      <w:pPr>
        <w:pStyle w:val="Heading2"/>
      </w:pPr>
      <w:bookmarkStart w:id="99" w:name="_Toc00099"/>
      <w:r>
        <w:rPr/>
        <w:t xml:space="preserve">8.6 Optimisation</w:t>
      </w:r>
      <w:bookmarkEnd w:id="99"/>
    </w:p>
    <w:p>
      <w:pPr/>
      <w:r>
        <w:rPr>
          <w:b/>
        </w:rPr>
        <w:t xml:space="preserve">Efficacité</w:t>
      </w:r>
      <w:r>
        <w:rPr/>
        <w:t xml:space="preserve"> : pour chaque produit, part du temps ouvré où au moins N jetons sont utilisés. Le nombre recommandé couvre 95 % du temps ouvré (</w:t>
      </w:r>
      <w:r>
        <w:rPr>
          <w:rFonts w:ascii="Consolas" w:hAnsi="Consolas" w:cs="Consolas"/>
          <w:color w:val="1C5CAB"/>
          <w:sz w:val="18"/>
          <w:szCs w:val="18"/>
          <w:shd w:val="clear" w:color="auto" w:fill="EEF3FA"/>
        </w:rPr>
        <w:t xml:space="preserve">target_coverage</w:t>
      </w:r>
      <w:r>
        <w:rPr/>
        <w:t xml:space="preserve">) : au-delà, les pics restent ponctuels. Avec plusieurs produits, l'axe est exprimé en part du parc ; en filtrant un seul produit, il l'est en nombre de jetons.</w:t>
      </w:r>
    </w:p>
    <w:p>
      <w:pPr>
        <w:pStyle w:val="Figure"/>
        <w:keepNext/>
      </w:pPr>
      <w:r>
        <w:drawing>
          <wp:inline distT="0" distB="0" distL="0" distR="0">
            <wp:extent cx="5940000" cy="3712500"/>
            <wp:docPr id="31" name="Image 31" descr="Efficacité des jetons (comparaison des produits)"/>
            <wp:cNvGraphicFramePr>
              <a:graphicFrameLocks noChangeAspect="1"/>
            </wp:cNvGraphicFramePr>
            <a:graphic>
              <a:graphicData uri="http://schemas.openxmlformats.org/drawingml/2006/picture">
                <pic:pic>
                  <pic:nvPicPr>
                    <pic:cNvPr id="31" name="efficiency.png"/>
                    <pic:cNvPicPr/>
                  </pic:nvPicPr>
                  <pic:blipFill>
                    <a:blip r:embed="rIdImg31"/>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100" w:name="_Fig00100"/>
      <w:r>
        <w:rPr/>
        <w:t xml:space="preserve">Figure </w:t>
      </w:r>
      <w:fldSimple w:instr=" SEQ Figure \* ARABIC ">
        <w:r>
          <w:t>30</w:t>
        </w:r>
      </w:fldSimple>
      <w:r>
        <w:rPr/>
        <w:t xml:space="preserve"> – Efficacité des jetons (comparaison des produits)</w:t>
      </w:r>
      <w:bookmarkEnd w:id="100"/>
    </w:p>
    <w:p>
      <w:pPr>
        <w:pStyle w:val="Figure"/>
        <w:keepNext/>
      </w:pPr>
      <w:r>
        <w:drawing>
          <wp:inline distT="0" distB="0" distL="0" distR="0">
            <wp:extent cx="5940000" cy="3712500"/>
            <wp:docPr id="32" name="Image 32" descr="Efficacité d'un produit (MATLAB) en nombre de jetons"/>
            <wp:cNvGraphicFramePr>
              <a:graphicFrameLocks noChangeAspect="1"/>
            </wp:cNvGraphicFramePr>
            <a:graphic>
              <a:graphicData uri="http://schemas.openxmlformats.org/drawingml/2006/picture">
                <pic:pic>
                  <pic:nvPicPr>
                    <pic:cNvPr id="32" name="efficiency_one.png"/>
                    <pic:cNvPicPr/>
                  </pic:nvPicPr>
                  <pic:blipFill>
                    <a:blip r:embed="rIdImg32"/>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101" w:name="_Fig00101"/>
      <w:r>
        <w:rPr/>
        <w:t xml:space="preserve">Figure </w:t>
      </w:r>
      <w:fldSimple w:instr=" SEQ Figure \* ARABIC ">
        <w:r>
          <w:t>31</w:t>
        </w:r>
      </w:fldSimple>
      <w:r>
        <w:rPr/>
        <w:t xml:space="preserve"> – Efficacité d'un produit (MATLAB) en nombre de jetons</w:t>
      </w:r>
      <w:bookmarkEnd w:id="101"/>
    </w:p>
    <w:p>
      <w:pPr/>
      <w:r>
        <w:rPr>
          <w:b/>
        </w:rPr>
        <w:t xml:space="preserve">Optimisation &amp; coûts</w:t>
      </w:r>
      <w:r>
        <w:rPr/>
        <w:t xml:space="preserve"> : coût annuel du parc, économies potentielles, coût par heure d'usage et recommandation par produit (réduire, adapté, pénurie). Un produit avec refus ou saturations fréquentes n'est jamais proposé à la baisse.</w:t>
      </w:r>
    </w:p>
    <w:p>
      <w:pPr>
        <w:pStyle w:val="Figure"/>
        <w:keepNext/>
      </w:pPr>
      <w:r>
        <w:drawing>
          <wp:inline distT="0" distB="0" distL="0" distR="0">
            <wp:extent cx="5940000" cy="3712500"/>
            <wp:docPr id="33" name="Image 33" descr="Optimisation et coûts"/>
            <wp:cNvGraphicFramePr>
              <a:graphicFrameLocks noChangeAspect="1"/>
            </wp:cNvGraphicFramePr>
            <a:graphic>
              <a:graphicData uri="http://schemas.openxmlformats.org/drawingml/2006/picture">
                <pic:pic>
                  <pic:nvPicPr>
                    <pic:cNvPr id="33" name="optimization.png"/>
                    <pic:cNvPicPr/>
                  </pic:nvPicPr>
                  <pic:blipFill>
                    <a:blip r:embed="rIdImg33"/>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102" w:name="_Fig00102"/>
      <w:r>
        <w:rPr/>
        <w:t xml:space="preserve">Figure </w:t>
      </w:r>
      <w:fldSimple w:instr=" SEQ Figure \* ARABIC ">
        <w:r>
          <w:t>32</w:t>
        </w:r>
      </w:fldSimple>
      <w:r>
        <w:rPr/>
        <w:t xml:space="preserve"> – Optimisation et coûts</w:t>
      </w:r>
      <w:bookmarkEnd w:id="102"/>
    </w:p>
    <w:p>
      <w:pPr/>
      <w:r>
        <w:rPr>
          <w:b/>
        </w:rPr>
        <w:t xml:space="preserve">Contention</w:t>
      </w:r>
      <w:r>
        <w:rPr/>
        <w:t xml:space="preserve"> liste les jours avec saturation ou refus ; </w:t>
      </w:r>
      <w:r>
        <w:rPr>
          <w:b/>
        </w:rPr>
        <w:t xml:space="preserve">Refus</w:t>
      </w:r>
      <w:r>
        <w:rPr/>
        <w:t xml:space="preserve"> détaille chaque demande refusée (utilisateur, poste, produit, motif).</w:t>
      </w:r>
    </w:p>
    <w:p>
      <w:pPr>
        <w:pStyle w:val="Figure"/>
        <w:keepNext/>
      </w:pPr>
      <w:r>
        <w:drawing>
          <wp:inline distT="0" distB="0" distL="0" distR="0">
            <wp:extent cx="5940000" cy="3712500"/>
            <wp:docPr id="34" name="Image 34" descr="Contention"/>
            <wp:cNvGraphicFramePr>
              <a:graphicFrameLocks noChangeAspect="1"/>
            </wp:cNvGraphicFramePr>
            <a:graphic>
              <a:graphicData uri="http://schemas.openxmlformats.org/drawingml/2006/picture">
                <pic:pic>
                  <pic:nvPicPr>
                    <pic:cNvPr id="34" name="contention.png"/>
                    <pic:cNvPicPr/>
                  </pic:nvPicPr>
                  <pic:blipFill>
                    <a:blip r:embed="rIdImg34"/>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103" w:name="_Fig00103"/>
      <w:r>
        <w:rPr/>
        <w:t xml:space="preserve">Figure </w:t>
      </w:r>
      <w:fldSimple w:instr=" SEQ Figure \* ARABIC ">
        <w:r>
          <w:t>33</w:t>
        </w:r>
      </w:fldSimple>
      <w:r>
        <w:rPr/>
        <w:t xml:space="preserve"> – Contention</w:t>
      </w:r>
      <w:bookmarkEnd w:id="103"/>
    </w:p>
    <w:p>
      <w:pPr>
        <w:pStyle w:val="Figure"/>
        <w:keepNext/>
      </w:pPr>
      <w:r>
        <w:drawing>
          <wp:inline distT="0" distB="0" distL="0" distR="0">
            <wp:extent cx="5940000" cy="3712500"/>
            <wp:docPr id="35" name="Image 35" descr="Refus de licence"/>
            <wp:cNvGraphicFramePr>
              <a:graphicFrameLocks noChangeAspect="1"/>
            </wp:cNvGraphicFramePr>
            <a:graphic>
              <a:graphicData uri="http://schemas.openxmlformats.org/drawingml/2006/picture">
                <pic:pic>
                  <pic:nvPicPr>
                    <pic:cNvPr id="35" name="denials.png"/>
                    <pic:cNvPicPr/>
                  </pic:nvPicPr>
                  <pic:blipFill>
                    <a:blip r:embed="rIdImg35"/>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104" w:name="_Fig00104"/>
      <w:r>
        <w:rPr/>
        <w:t xml:space="preserve">Figure </w:t>
      </w:r>
      <w:fldSimple w:instr=" SEQ Figure \* ARABIC ">
        <w:r>
          <w:t>34</w:t>
        </w:r>
      </w:fldSimple>
      <w:r>
        <w:rPr/>
        <w:t xml:space="preserve"> – Refus de licence</w:t>
      </w:r>
      <w:bookmarkEnd w:id="104"/>
    </w:p>
    <w:p>
      <w:pPr>
        <w:pStyle w:val="Heading2"/>
      </w:pPr>
      <w:bookmarkStart w:id="105" w:name="_Toc00105"/>
      <w:r>
        <w:rPr/>
        <w:t xml:space="preserve">8.7 Données</w:t>
      </w:r>
      <w:bookmarkEnd w:id="105"/>
    </w:p>
    <w:p>
      <w:pPr/>
      <w:r>
        <w:rPr>
          <w:b/>
        </w:rPr>
        <w:t xml:space="preserve">Sessions</w:t>
      </w:r>
      <w:r>
        <w:rPr/>
        <w:t xml:space="preserve"> donne les données brutes (une ligne par session) ; </w:t>
      </w:r>
      <w:r>
        <w:rPr>
          <w:b/>
        </w:rPr>
        <w:t xml:space="preserve">Collectes</w:t>
      </w:r>
      <w:r>
        <w:rPr/>
        <w:t xml:space="preserve"> est le journal technique des collectes, utile au support pour diagnostiquer un serveur en échec.</w:t>
      </w:r>
    </w:p>
    <w:p>
      <w:pPr>
        <w:pStyle w:val="Figure"/>
        <w:keepNext/>
      </w:pPr>
      <w:r>
        <w:drawing>
          <wp:inline distT="0" distB="0" distL="0" distR="0">
            <wp:extent cx="5940000" cy="3712500"/>
            <wp:docPr id="36" name="Image 36" descr="Sessions"/>
            <wp:cNvGraphicFramePr>
              <a:graphicFrameLocks noChangeAspect="1"/>
            </wp:cNvGraphicFramePr>
            <a:graphic>
              <a:graphicData uri="http://schemas.openxmlformats.org/drawingml/2006/picture">
                <pic:pic>
                  <pic:nvPicPr>
                    <pic:cNvPr id="36" name="sessions.png"/>
                    <pic:cNvPicPr/>
                  </pic:nvPicPr>
                  <pic:blipFill>
                    <a:blip r:embed="rIdImg36"/>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106" w:name="_Fig00106"/>
      <w:r>
        <w:rPr/>
        <w:t xml:space="preserve">Figure </w:t>
      </w:r>
      <w:fldSimple w:instr=" SEQ Figure \* ARABIC ">
        <w:r>
          <w:t>35</w:t>
        </w:r>
      </w:fldSimple>
      <w:r>
        <w:rPr/>
        <w:t xml:space="preserve"> – Sessions</w:t>
      </w:r>
      <w:bookmarkEnd w:id="106"/>
    </w:p>
    <w:p>
      <w:pPr>
        <w:pStyle w:val="Figure"/>
        <w:keepNext/>
      </w:pPr>
      <w:r>
        <w:drawing>
          <wp:inline distT="0" distB="0" distL="0" distR="0">
            <wp:extent cx="5940000" cy="3712500"/>
            <wp:docPr id="37" name="Image 37" descr="Journal des collectes"/>
            <wp:cNvGraphicFramePr>
              <a:graphicFrameLocks noChangeAspect="1"/>
            </wp:cNvGraphicFramePr>
            <a:graphic>
              <a:graphicData uri="http://schemas.openxmlformats.org/drawingml/2006/picture">
                <pic:pic>
                  <pic:nvPicPr>
                    <pic:cNvPr id="37" name="collections.png"/>
                    <pic:cNvPicPr/>
                  </pic:nvPicPr>
                  <pic:blipFill>
                    <a:blip r:embed="rIdImg37"/>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107" w:name="_Fig00107"/>
      <w:r>
        <w:rPr/>
        <w:t xml:space="preserve">Figure </w:t>
      </w:r>
      <w:fldSimple w:instr=" SEQ Figure \* ARABIC ">
        <w:r>
          <w:t>36</w:t>
        </w:r>
      </w:fldSimple>
      <w:r>
        <w:rPr/>
        <w:t xml:space="preserve"> – Journal des collectes</w:t>
      </w:r>
      <w:bookmarkEnd w:id="107"/>
    </w:p>
    <w:p>
      <w:pPr>
        <w:pStyle w:val="Heading2"/>
      </w:pPr>
      <w:bookmarkStart w:id="108" w:name="_Toc00108"/>
      <w:r>
        <w:rPr/>
        <w:t xml:space="preserve">8.8 Exports</w:t>
      </w:r>
      <w:bookmarkEnd w:id="108"/>
    </w:p>
    <w:p>
      <w:pPr>
        <w:pStyle w:val="Caption"/>
        <w:keepNext/>
      </w:pPr>
      <w:r>
        <w:rPr/>
        <w:t xml:space="preserve">Tableau 23 – Exports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927"/>
        <w:gridCol w:w="4956"/>
        <w:gridCol w:w="2753"/>
      </w:tblGrid>
      <w:tr>
        <w:trPr>
          <w:tblHeader/>
          <w:cantSplit/>
        </w:trPr>
        <w:tc>
          <w:tcPr>
            <w:tcW w:w="1927" w:type="dxa"/>
            <w:shd w:val="clear" w:color="auto" w:fill="2A78D6"/>
          </w:tcPr>
          <w:p>
            <w:pPr>
              <w:pStyle w:val="TableText"/>
            </w:pPr>
            <w:r>
              <w:rPr>
                <w:b/>
                <w:color w:val="FFFFFF"/>
                <w:sz w:val="18"/>
                <w:szCs w:val="18"/>
              </w:rPr>
              <w:t xml:space="preserve">Bouton</w:t>
            </w:r>
          </w:p>
        </w:tc>
        <w:tc>
          <w:tcPr>
            <w:tcW w:w="4956" w:type="dxa"/>
            <w:shd w:val="clear" w:color="auto" w:fill="2A78D6"/>
          </w:tcPr>
          <w:p>
            <w:pPr>
              <w:pStyle w:val="TableText"/>
            </w:pPr>
            <w:r>
              <w:rPr>
                <w:b/>
                <w:color w:val="FFFFFF"/>
                <w:sz w:val="18"/>
                <w:szCs w:val="18"/>
              </w:rPr>
              <w:t xml:space="preserve">Contenu</w:t>
            </w:r>
          </w:p>
        </w:tc>
        <w:tc>
          <w:tcPr>
            <w:tcW w:w="2753" w:type="dxa"/>
            <w:shd w:val="clear" w:color="auto" w:fill="2A78D6"/>
          </w:tcPr>
          <w:p>
            <w:pPr>
              <w:pStyle w:val="TableText"/>
            </w:pPr>
            <w:r>
              <w:rPr>
                <w:b/>
                <w:color w:val="FFFFFF"/>
                <w:sz w:val="18"/>
                <w:szCs w:val="18"/>
              </w:rPr>
              <w:t xml:space="preserve">Usage</w:t>
            </w:r>
          </w:p>
        </w:tc>
      </w:tr>
      <w:tr>
        <w:trPr>
          <w:cantSplit/>
        </w:trPr>
        <w:tc>
          <w:tcPr>
            <w:tcW w:w="1927" w:type="dxa"/>
          </w:tcPr>
          <w:p>
            <w:pPr>
              <w:pStyle w:val="TableText"/>
            </w:pPr>
            <w:r>
              <w:rPr>
                <w:sz w:val="18"/>
                <w:szCs w:val="18"/>
              </w:rPr>
              <w:t xml:space="preserve">Excel</w:t>
            </w:r>
          </w:p>
        </w:tc>
        <w:tc>
          <w:tcPr>
            <w:tcW w:w="4956" w:type="dxa"/>
          </w:tcPr>
          <w:p>
            <w:pPr>
              <w:pStyle w:val="TableText"/>
            </w:pPr>
            <w:r>
              <w:rPr>
                <w:sz w:val="18"/>
                <w:szCs w:val="18"/>
              </w:rPr>
              <w:t xml:space="preserve">La vue affichée, avec graphique natif</w:t>
            </w:r>
          </w:p>
        </w:tc>
        <w:tc>
          <w:tcPr>
            <w:tcW w:w="2753" w:type="dxa"/>
          </w:tcPr>
          <w:p>
            <w:pPr>
              <w:pStyle w:val="TableText"/>
            </w:pPr>
            <w:r>
              <w:rPr>
                <w:sz w:val="18"/>
                <w:szCs w:val="18"/>
              </w:rPr>
              <w:t xml:space="preserve">Présentation, retraitement</w:t>
            </w:r>
          </w:p>
        </w:tc>
      </w:tr>
      <w:tr>
        <w:trPr>
          <w:cantSplit/>
        </w:trPr>
        <w:tc>
          <w:tcPr>
            <w:tcW w:w="1927" w:type="dxa"/>
            <w:shd w:val="clear" w:color="auto" w:fill="F4F7FC"/>
          </w:tcPr>
          <w:p>
            <w:pPr>
              <w:pStyle w:val="TableText"/>
            </w:pPr>
            <w:r>
              <w:rPr>
                <w:sz w:val="18"/>
                <w:szCs w:val="18"/>
              </w:rPr>
              <w:t xml:space="preserve">CSV</w:t>
            </w:r>
          </w:p>
        </w:tc>
        <w:tc>
          <w:tcPr>
            <w:tcW w:w="4956" w:type="dxa"/>
            <w:shd w:val="clear" w:color="auto" w:fill="F4F7FC"/>
          </w:tcPr>
          <w:p>
            <w:pPr>
              <w:pStyle w:val="TableText"/>
            </w:pPr>
            <w:r>
              <w:rPr>
                <w:sz w:val="18"/>
                <w:szCs w:val="18"/>
              </w:rPr>
              <w:t xml:space="preserve">La vue affichée, séparateur « ; », UTF-8 (ouverture directe dans Excel français)</w:t>
            </w:r>
          </w:p>
        </w:tc>
        <w:tc>
          <w:tcPr>
            <w:tcW w:w="2753" w:type="dxa"/>
            <w:shd w:val="clear" w:color="auto" w:fill="F4F7FC"/>
          </w:tcPr>
          <w:p>
            <w:pPr>
              <w:pStyle w:val="TableText"/>
            </w:pPr>
            <w:r>
              <w:rPr>
                <w:sz w:val="18"/>
                <w:szCs w:val="18"/>
              </w:rPr>
              <w:t xml:space="preserve">Import dans d'autres outils</w:t>
            </w:r>
          </w:p>
        </w:tc>
      </w:tr>
      <w:tr>
        <w:trPr>
          <w:cantSplit/>
        </w:trPr>
        <w:tc>
          <w:tcPr>
            <w:tcW w:w="1927" w:type="dxa"/>
          </w:tcPr>
          <w:p>
            <w:pPr>
              <w:pStyle w:val="TableText"/>
            </w:pPr>
            <w:r>
              <w:rPr>
                <w:sz w:val="18"/>
                <w:szCs w:val="18"/>
              </w:rPr>
              <w:t xml:space="preserve">JSON</w:t>
            </w:r>
          </w:p>
        </w:tc>
        <w:tc>
          <w:tcPr>
            <w:tcW w:w="4956" w:type="dxa"/>
          </w:tcPr>
          <w:p>
            <w:pPr>
              <w:pStyle w:val="TableText"/>
            </w:pPr>
            <w:r>
              <w:rPr>
                <w:sz w:val="18"/>
                <w:szCs w:val="18"/>
              </w:rPr>
              <w:t xml:space="preserve">La vue affichée</w:t>
            </w:r>
          </w:p>
        </w:tc>
        <w:tc>
          <w:tcPr>
            <w:tcW w:w="2753" w:type="dxa"/>
          </w:tcPr>
          <w:p>
            <w:pPr>
              <w:pStyle w:val="TableText"/>
            </w:pPr>
            <w:r>
              <w:rPr>
                <w:sz w:val="18"/>
                <w:szCs w:val="18"/>
              </w:rPr>
              <w:t xml:space="preserve">Intégration technique</w:t>
            </w:r>
          </w:p>
        </w:tc>
      </w:tr>
      <w:tr>
        <w:trPr>
          <w:cantSplit/>
        </w:trPr>
        <w:tc>
          <w:tcPr>
            <w:tcW w:w="1927" w:type="dxa"/>
            <w:shd w:val="clear" w:color="auto" w:fill="F4F7FC"/>
          </w:tcPr>
          <w:p>
            <w:pPr>
              <w:pStyle w:val="TableText"/>
            </w:pPr>
            <w:r>
              <w:rPr>
                <w:sz w:val="18"/>
                <w:szCs w:val="18"/>
              </w:rPr>
              <w:t xml:space="preserve">Rapport complet</w:t>
            </w:r>
          </w:p>
        </w:tc>
        <w:tc>
          <w:tcPr>
            <w:tcW w:w="4956" w:type="dxa"/>
            <w:shd w:val="clear" w:color="auto" w:fill="F4F7FC"/>
          </w:tcPr>
          <w:p>
            <w:pPr>
              <w:pStyle w:val="TableText"/>
            </w:pPr>
            <w:r>
              <w:rPr>
                <w:sz w:val="18"/>
                <w:szCs w:val="18"/>
              </w:rPr>
              <w:t xml:space="preserve">Classeur 8 onglets sur la période et les filtres serveurs / produits</w:t>
            </w:r>
          </w:p>
        </w:tc>
        <w:tc>
          <w:tcPr>
            <w:tcW w:w="2753" w:type="dxa"/>
            <w:shd w:val="clear" w:color="auto" w:fill="F4F7FC"/>
          </w:tcPr>
          <w:p>
            <w:pPr>
              <w:pStyle w:val="TableText"/>
            </w:pPr>
            <w:r>
              <w:rPr>
                <w:sz w:val="18"/>
                <w:szCs w:val="18"/>
              </w:rPr>
              <w:t xml:space="preserve">Rapport mensuel à la demande</w:t>
            </w:r>
          </w:p>
        </w:tc>
      </w:tr>
    </w:tbl>
    <w:p>
      <w:pPr>
        <w:spacing w:after="80"/>
      </w:pPr>
    </w:p>
    <w:p>
      <w:pPr/>
      <w:r>
        <w:rPr/>
        <w:t xml:space="preserve">Les exports contiennent toutes les lignes (le tableau à l'écran est paginé). Les cellules commençant par </w:t>
      </w:r>
      <w:r>
        <w:rPr>
          <w:rFonts w:ascii="Consolas" w:hAnsi="Consolas" w:cs="Consolas"/>
          <w:color w:val="1C5CAB"/>
          <w:sz w:val="18"/>
          <w:szCs w:val="18"/>
          <w:shd w:val="clear" w:color="auto" w:fill="EEF3FA"/>
        </w:rPr>
        <w:t xml:space="preserve">=</w:t>
      </w:r>
      <w:r>
        <w:rPr/>
        <w:t xml:space="preserve">, </w:t>
      </w:r>
      <w:r>
        <w:rPr>
          <w:rFonts w:ascii="Consolas" w:hAnsi="Consolas" w:cs="Consolas"/>
          <w:color w:val="1C5CAB"/>
          <w:sz w:val="18"/>
          <w:szCs w:val="18"/>
          <w:shd w:val="clear" w:color="auto" w:fill="EEF3FA"/>
        </w:rPr>
        <w:t xml:space="preserve">+</w:t>
      </w:r>
      <w:r>
        <w:rPr/>
        <w:t xml:space="preserve">, </w:t>
      </w:r>
      <w:r>
        <w:rPr>
          <w:rFonts w:ascii="Consolas" w:hAnsi="Consolas" w:cs="Consolas"/>
          <w:color w:val="1C5CAB"/>
          <w:sz w:val="18"/>
          <w:szCs w:val="18"/>
          <w:shd w:val="clear" w:color="auto" w:fill="EEF3FA"/>
        </w:rPr>
        <w:t xml:space="preserve">-</w:t>
      </w:r>
      <w:r>
        <w:rPr/>
        <w:t xml:space="preserve"> ou </w:t>
      </w:r>
      <w:r>
        <w:rPr>
          <w:rFonts w:ascii="Consolas" w:hAnsi="Consolas" w:cs="Consolas"/>
          <w:color w:val="1C5CAB"/>
          <w:sz w:val="18"/>
          <w:szCs w:val="18"/>
          <w:shd w:val="clear" w:color="auto" w:fill="EEF3FA"/>
        </w:rPr>
        <w:t xml:space="preserve">@</w:t>
      </w:r>
      <w:r>
        <w:rPr/>
        <w:t xml:space="preserve"> sont neutralisées pour empêcher l'injection de formules. Chaque export est tracé dans le journal d'audit.</w:t>
      </w:r>
    </w:p>
    <w:p>
      <w:pPr>
        <w:pStyle w:val="Heading2"/>
      </w:pPr>
      <w:bookmarkStart w:id="109" w:name="_Toc00109"/>
      <w:r>
        <w:rPr/>
        <w:t xml:space="preserve">8.9 Thème et affichage mobile</w:t>
      </w:r>
      <w:bookmarkEnd w:id="109"/>
    </w:p>
    <w:p>
      <w:pPr/>
      <w:r>
        <w:rPr/>
        <w:t xml:space="preserve">Le thème suit celui du système (Auto) ou peut être forcé en Clair / Sombre ; le choix est mémorisé. Sur téléphone, la barre latérale devient un menu escamotable.</w:t>
      </w:r>
    </w:p>
    <w:p>
      <w:pPr>
        <w:pStyle w:val="Figure"/>
        <w:keepNext/>
      </w:pPr>
      <w:r>
        <w:drawing>
          <wp:inline distT="0" distB="0" distL="0" distR="0">
            <wp:extent cx="5940000" cy="3712500"/>
            <wp:docPr id="38" name="Image 38" descr="Tableau de bord en thème sombre"/>
            <wp:cNvGraphicFramePr>
              <a:graphicFrameLocks noChangeAspect="1"/>
            </wp:cNvGraphicFramePr>
            <a:graphic>
              <a:graphicData uri="http://schemas.openxmlformats.org/drawingml/2006/picture">
                <pic:pic>
                  <pic:nvPicPr>
                    <pic:cNvPr id="38" name="dashboard_dark.png"/>
                    <pic:cNvPicPr/>
                  </pic:nvPicPr>
                  <pic:blipFill>
                    <a:blip r:embed="rIdImg38"/>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110" w:name="_Fig00110"/>
      <w:r>
        <w:rPr/>
        <w:t xml:space="preserve">Figure </w:t>
      </w:r>
      <w:fldSimple w:instr=" SEQ Figure \* ARABIC ">
        <w:r>
          <w:t>37</w:t>
        </w:r>
      </w:fldSimple>
      <w:r>
        <w:rPr/>
        <w:t xml:space="preserve"> – Tableau de bord en thème sombre</w:t>
      </w:r>
      <w:bookmarkEnd w:id="110"/>
    </w:p>
    <w:tbl>
      <w:tblPr>
        <w:tblW w:w="9638" w:type="dxa"/>
        <w:tblLayout w:type="fixed"/>
      </w:tblPr>
      <w:tblGrid>
        <w:gridCol w:w="4819"/>
        <w:gridCol w:w="4819"/>
      </w:tblGrid>
      <w:tr>
        <w:trPr>
          <w:cantSplit/>
        </w:trPr>
        <w:tc>
          <w:tcPr>
            <w:tcW w:w="4819" w:type="dxa"/>
          </w:tcPr>
          <w:p>
            <w:pPr>
              <w:jc w:val="center"/>
            </w:pPr>
            <w:r>
              <w:drawing>
                <wp:inline distT="0" distB="0" distL="0" distR="0">
                  <wp:extent cx="1872000" cy="4047049"/>
                  <wp:docPr id="39" name="Image 39"/>
                  <wp:cNvGraphicFramePr>
                    <a:graphicFrameLocks noChangeAspect="1"/>
                  </wp:cNvGraphicFramePr>
                  <a:graphic>
                    <a:graphicData uri="http://schemas.openxmlformats.org/drawingml/2006/picture">
                      <pic:pic>
                        <pic:nvPicPr>
                          <pic:cNvPr id="39" name="mobile_dashboard.png"/>
                          <pic:cNvPicPr/>
                        </pic:nvPicPr>
                        <pic:blipFill>
                          <a:blip r:embed="rIdImg39"/>
                          <a:stretch>
                            <a:fillRect/>
                          </a:stretch>
                        </pic:blipFill>
                        <pic:spPr>
                          <a:xfrm>
                            <a:off x="0" y="0"/>
                            <a:ext cx="1872000" cy="4047049"/>
                          </a:xfrm>
                          <a:prstGeom prst="rect">
                            <a:avLst/>
                          </a:prstGeom>
                          <a:ln w="9525">
                            <a:solidFill>
                              <a:srgbClr val="D9D8D2"/>
                            </a:solidFill>
                          </a:ln>
                        </pic:spPr>
                      </pic:pic>
                    </a:graphicData>
                  </a:graphic>
                </wp:inline>
              </w:drawing>
            </w:r>
          </w:p>
        </w:tc>
        <w:tc>
          <w:tcPr>
            <w:tcW w:w="4819" w:type="dxa"/>
          </w:tcPr>
          <w:p>
            <w:pPr>
              <w:jc w:val="center"/>
            </w:pPr>
            <w:r>
              <w:drawing>
                <wp:inline distT="0" distB="0" distL="0" distR="0">
                  <wp:extent cx="1872000" cy="4047049"/>
                  <wp:docPr id="40" name="Image 40"/>
                  <wp:cNvGraphicFramePr>
                    <a:graphicFrameLocks noChangeAspect="1"/>
                  </wp:cNvGraphicFramePr>
                  <a:graphic>
                    <a:graphicData uri="http://schemas.openxmlformats.org/drawingml/2006/picture">
                      <pic:pic>
                        <pic:nvPicPr>
                          <pic:cNvPr id="40" name="mobile_menu.png"/>
                          <pic:cNvPicPr/>
                        </pic:nvPicPr>
                        <pic:blipFill>
                          <a:blip r:embed="rIdImg40"/>
                          <a:stretch>
                            <a:fillRect/>
                          </a:stretch>
                        </pic:blipFill>
                        <pic:spPr>
                          <a:xfrm>
                            <a:off x="0" y="0"/>
                            <a:ext cx="1872000" cy="4047049"/>
                          </a:xfrm>
                          <a:prstGeom prst="rect">
                            <a:avLst/>
                          </a:prstGeom>
                          <a:ln w="9525">
                            <a:solidFill>
                              <a:srgbClr val="D9D8D2"/>
                            </a:solidFill>
                          </a:ln>
                        </pic:spPr>
                      </pic:pic>
                    </a:graphicData>
                  </a:graphic>
                </wp:inline>
              </w:drawing>
            </w:r>
          </w:p>
        </w:tc>
      </w:tr>
    </w:tbl>
    <w:p>
      <w:pPr>
        <w:pStyle w:val="Caption"/>
      </w:pPr>
      <w:bookmarkStart w:id="111" w:name="_Fig00111"/>
      <w:r>
        <w:rPr/>
        <w:t xml:space="preserve">Figure </w:t>
      </w:r>
      <w:fldSimple w:instr=" SEQ Figure \* ARABIC ">
        <w:r>
          <w:t>38</w:t>
        </w:r>
      </w:fldSimple>
      <w:r>
        <w:rPr/>
        <w:t xml:space="preserve"> – Affichage sur téléphone : tableau de bord et menu</w:t>
      </w:r>
      <w:bookmarkEnd w:id="111"/>
    </w:p>
    <w:p>
      <w:pPr>
        <w:pStyle w:val="Heading2"/>
      </w:pPr>
      <w:bookmarkStart w:id="112" w:name="_Toc00112"/>
      <w:r>
        <w:rPr/>
        <w:t xml:space="preserve">8.10 Rapport Excel mensuel</w:t>
      </w:r>
      <w:bookmarkEnd w:id="112"/>
    </w:p>
    <w:p>
      <w:pPr/>
      <w:r>
        <w:rPr/>
        <w:t xml:space="preserve">La tâche « HeptagonesLM - Rapport mensuel » dépose le classeur du mois précédent dans </w:t>
      </w:r>
      <w:r>
        <w:rPr>
          <w:rFonts w:ascii="Consolas" w:hAnsi="Consolas" w:cs="Consolas"/>
          <w:color w:val="1C5CAB"/>
          <w:sz w:val="18"/>
          <w:szCs w:val="18"/>
          <w:shd w:val="clear" w:color="auto" w:fill="EEF3FA"/>
        </w:rPr>
        <w:t xml:space="preserve">reporting.output_dir</w:t>
      </w:r>
      <w:r>
        <w:rPr/>
        <w:t xml:space="preserve">. Il est également joint aux e-mails des abonnés.</w:t>
      </w:r>
    </w:p>
    <w:p>
      <w:pPr>
        <w:pStyle w:val="Caption"/>
        <w:keepNext/>
      </w:pPr>
      <w:r>
        <w:rPr/>
        <w:t xml:space="preserve">Tableau 24 – Onglets du rapport Excel</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065"/>
        <w:gridCol w:w="7572"/>
      </w:tblGrid>
      <w:tr>
        <w:trPr>
          <w:tblHeader/>
          <w:cantSplit/>
        </w:trPr>
        <w:tc>
          <w:tcPr>
            <w:tcW w:w="2065" w:type="dxa"/>
            <w:shd w:val="clear" w:color="auto" w:fill="2A78D6"/>
          </w:tcPr>
          <w:p>
            <w:pPr>
              <w:pStyle w:val="TableText"/>
            </w:pPr>
            <w:r>
              <w:rPr>
                <w:b/>
                <w:color w:val="FFFFFF"/>
                <w:sz w:val="18"/>
                <w:szCs w:val="18"/>
              </w:rPr>
              <w:t xml:space="preserve">Onglet</w:t>
            </w:r>
          </w:p>
        </w:tc>
        <w:tc>
          <w:tcPr>
            <w:tcW w:w="7572" w:type="dxa"/>
            <w:shd w:val="clear" w:color="auto" w:fill="2A78D6"/>
          </w:tcPr>
          <w:p>
            <w:pPr>
              <w:pStyle w:val="TableText"/>
            </w:pPr>
            <w:r>
              <w:rPr>
                <w:b/>
                <w:color w:val="FFFFFF"/>
                <w:sz w:val="18"/>
                <w:szCs w:val="18"/>
              </w:rPr>
              <w:t xml:space="preserve">Contenu</w:t>
            </w:r>
          </w:p>
        </w:tc>
      </w:tr>
      <w:tr>
        <w:trPr>
          <w:cantSplit/>
        </w:trPr>
        <w:tc>
          <w:tcPr>
            <w:tcW w:w="2065" w:type="dxa"/>
          </w:tcPr>
          <w:p>
            <w:pPr>
              <w:pStyle w:val="TableText"/>
            </w:pPr>
            <w:r>
              <w:rPr>
                <w:sz w:val="18"/>
                <w:szCs w:val="18"/>
              </w:rPr>
              <w:t xml:space="preserve">Synthèse</w:t>
            </w:r>
          </w:p>
        </w:tc>
        <w:tc>
          <w:tcPr>
            <w:tcW w:w="7572" w:type="dxa"/>
          </w:tcPr>
          <w:p>
            <w:pPr>
              <w:pStyle w:val="TableText"/>
            </w:pPr>
            <w:r>
              <w:rPr>
                <w:sz w:val="18"/>
                <w:szCs w:val="18"/>
              </w:rPr>
              <w:t xml:space="preserve">Par produit : jetons émis, pic, moyenne, taux, heures saturées, refus, utilisateurs, heures ; graphique</w:t>
            </w:r>
          </w:p>
        </w:tc>
      </w:tr>
      <w:tr>
        <w:trPr>
          <w:cantSplit/>
        </w:trPr>
        <w:tc>
          <w:tcPr>
            <w:tcW w:w="2065" w:type="dxa"/>
            <w:shd w:val="clear" w:color="auto" w:fill="F4F7FC"/>
          </w:tcPr>
          <w:p>
            <w:pPr>
              <w:pStyle w:val="TableText"/>
            </w:pPr>
            <w:r>
              <w:rPr>
                <w:sz w:val="18"/>
                <w:szCs w:val="18"/>
              </w:rPr>
              <w:t xml:space="preserve">Usage quotidien</w:t>
            </w:r>
          </w:p>
        </w:tc>
        <w:tc>
          <w:tcPr>
            <w:tcW w:w="7572" w:type="dxa"/>
            <w:shd w:val="clear" w:color="auto" w:fill="F4F7FC"/>
          </w:tcPr>
          <w:p>
            <w:pPr>
              <w:pStyle w:val="TableText"/>
            </w:pPr>
            <w:r>
              <w:rPr>
                <w:sz w:val="18"/>
                <w:szCs w:val="18"/>
              </w:rPr>
              <w:t xml:space="preserve">Date × produit (pic de jetons) et courbes des principaux produits</w:t>
            </w:r>
          </w:p>
        </w:tc>
      </w:tr>
      <w:tr>
        <w:trPr>
          <w:cantSplit/>
        </w:trPr>
        <w:tc>
          <w:tcPr>
            <w:tcW w:w="2065" w:type="dxa"/>
          </w:tcPr>
          <w:p>
            <w:pPr>
              <w:pStyle w:val="TableText"/>
            </w:pPr>
            <w:r>
              <w:rPr>
                <w:sz w:val="18"/>
                <w:szCs w:val="18"/>
              </w:rPr>
              <w:t xml:space="preserve">Utilisateurs</w:t>
            </w:r>
          </w:p>
        </w:tc>
        <w:tc>
          <w:tcPr>
            <w:tcW w:w="7572" w:type="dxa"/>
          </w:tcPr>
          <w:p>
            <w:pPr>
              <w:pStyle w:val="TableText"/>
            </w:pPr>
            <w:r>
              <w:rPr>
                <w:sz w:val="18"/>
                <w:szCs w:val="18"/>
              </w:rPr>
              <w:t xml:space="preserve">Utilisateur × produit (heures) et graphique</w:t>
            </w:r>
          </w:p>
        </w:tc>
      </w:tr>
      <w:tr>
        <w:trPr>
          <w:cantSplit/>
        </w:trPr>
        <w:tc>
          <w:tcPr>
            <w:tcW w:w="2065" w:type="dxa"/>
            <w:shd w:val="clear" w:color="auto" w:fill="F4F7FC"/>
          </w:tcPr>
          <w:p>
            <w:pPr>
              <w:pStyle w:val="TableText"/>
            </w:pPr>
            <w:r>
              <w:rPr>
                <w:sz w:val="18"/>
                <w:szCs w:val="18"/>
              </w:rPr>
              <w:t xml:space="preserve">Profil horaire</w:t>
            </w:r>
          </w:p>
        </w:tc>
        <w:tc>
          <w:tcPr>
            <w:tcW w:w="7572" w:type="dxa"/>
            <w:shd w:val="clear" w:color="auto" w:fill="F4F7FC"/>
          </w:tcPr>
          <w:p>
            <w:pPr>
              <w:pStyle w:val="TableText"/>
            </w:pPr>
            <w:r>
              <w:rPr>
                <w:sz w:val="18"/>
                <w:szCs w:val="18"/>
              </w:rPr>
              <w:t xml:space="preserve">Carte de chaleur heure × jour de semaine</w:t>
            </w:r>
          </w:p>
        </w:tc>
      </w:tr>
      <w:tr>
        <w:trPr>
          <w:cantSplit/>
        </w:trPr>
        <w:tc>
          <w:tcPr>
            <w:tcW w:w="2065" w:type="dxa"/>
          </w:tcPr>
          <w:p>
            <w:pPr>
              <w:pStyle w:val="TableText"/>
            </w:pPr>
            <w:r>
              <w:rPr>
                <w:sz w:val="18"/>
                <w:szCs w:val="18"/>
              </w:rPr>
              <w:t xml:space="preserve">Contention</w:t>
            </w:r>
          </w:p>
        </w:tc>
        <w:tc>
          <w:tcPr>
            <w:tcW w:w="7572" w:type="dxa"/>
          </w:tcPr>
          <w:p>
            <w:pPr>
              <w:pStyle w:val="TableText"/>
            </w:pPr>
            <w:r>
              <w:rPr>
                <w:sz w:val="18"/>
                <w:szCs w:val="18"/>
              </w:rPr>
              <w:t xml:space="preserve">Jours avec saturation et / ou refus</w:t>
            </w:r>
          </w:p>
        </w:tc>
      </w:tr>
      <w:tr>
        <w:trPr>
          <w:cantSplit/>
        </w:trPr>
        <w:tc>
          <w:tcPr>
            <w:tcW w:w="2065" w:type="dxa"/>
            <w:shd w:val="clear" w:color="auto" w:fill="F4F7FC"/>
          </w:tcPr>
          <w:p>
            <w:pPr>
              <w:pStyle w:val="TableText"/>
            </w:pPr>
            <w:r>
              <w:rPr>
                <w:sz w:val="18"/>
                <w:szCs w:val="18"/>
              </w:rPr>
              <w:t xml:space="preserve">Refus</w:t>
            </w:r>
          </w:p>
        </w:tc>
        <w:tc>
          <w:tcPr>
            <w:tcW w:w="7572" w:type="dxa"/>
            <w:shd w:val="clear" w:color="auto" w:fill="F4F7FC"/>
          </w:tcPr>
          <w:p>
            <w:pPr>
              <w:pStyle w:val="TableText"/>
            </w:pPr>
            <w:r>
              <w:rPr>
                <w:sz w:val="18"/>
                <w:szCs w:val="18"/>
              </w:rPr>
              <w:t xml:space="preserve">Détail des refus</w:t>
            </w:r>
          </w:p>
        </w:tc>
      </w:tr>
      <w:tr>
        <w:trPr>
          <w:cantSplit/>
        </w:trPr>
        <w:tc>
          <w:tcPr>
            <w:tcW w:w="2065" w:type="dxa"/>
          </w:tcPr>
          <w:p>
            <w:pPr>
              <w:pStyle w:val="TableText"/>
            </w:pPr>
            <w:r>
              <w:rPr>
                <w:sz w:val="18"/>
                <w:szCs w:val="18"/>
              </w:rPr>
              <w:t xml:space="preserve">Sessions</w:t>
            </w:r>
          </w:p>
        </w:tc>
        <w:tc>
          <w:tcPr>
            <w:tcW w:w="7572" w:type="dxa"/>
          </w:tcPr>
          <w:p>
            <w:pPr>
              <w:pStyle w:val="TableText"/>
            </w:pPr>
            <w:r>
              <w:rPr>
                <w:sz w:val="18"/>
                <w:szCs w:val="18"/>
              </w:rPr>
              <w:t xml:space="preserve">Données brutes sous forme de Tableau Excel (base de tableaux croisés dynamiques)</w:t>
            </w:r>
          </w:p>
        </w:tc>
      </w:tr>
      <w:tr>
        <w:trPr>
          <w:cantSplit/>
        </w:trPr>
        <w:tc>
          <w:tcPr>
            <w:tcW w:w="2065" w:type="dxa"/>
            <w:shd w:val="clear" w:color="auto" w:fill="F4F7FC"/>
          </w:tcPr>
          <w:p>
            <w:pPr>
              <w:pStyle w:val="TableText"/>
            </w:pPr>
            <w:r>
              <w:rPr>
                <w:sz w:val="18"/>
                <w:szCs w:val="18"/>
              </w:rPr>
              <w:t xml:space="preserve">À propos</w:t>
            </w:r>
          </w:p>
        </w:tc>
        <w:tc>
          <w:tcPr>
            <w:tcW w:w="7572" w:type="dxa"/>
            <w:shd w:val="clear" w:color="auto" w:fill="F4F7FC"/>
          </w:tcPr>
          <w:p>
            <w:pPr>
              <w:pStyle w:val="TableText"/>
            </w:pPr>
            <w:r>
              <w:rPr>
                <w:sz w:val="18"/>
                <w:szCs w:val="18"/>
              </w:rPr>
              <w:t xml:space="preserve">Période, filtres, définitions</w:t>
            </w:r>
          </w:p>
        </w:tc>
      </w:tr>
    </w:tbl>
    <w:p>
      <w:pPr>
        <w:spacing w:after="80"/>
      </w:pPr>
    </w:p>
    <w:p>
      <w:pPr>
        <w:pStyle w:val="Heading2"/>
      </w:pPr>
      <w:bookmarkStart w:id="113" w:name="_Toc00113"/>
      <w:r>
        <w:rPr/>
        <w:t xml:space="preserve">8.11 Rapport par e-mail</w:t>
      </w:r>
      <w:bookmarkEnd w:id="113"/>
    </w:p>
    <w:p>
      <w:pPr/>
      <w:r>
        <w:rPr/>
        <w:t xml:space="preserve">Chaque abonné reçoit un résumé HTML (indicateurs, produits en pénurie ou sous-utilisés, détail par produit, lien vers l'interface) et le classeur Excel en pièce jointe.</w:t>
      </w:r>
    </w:p>
    <w:p>
      <w:pPr>
        <w:pStyle w:val="Figure"/>
        <w:keepNext/>
      </w:pPr>
      <w:r>
        <w:drawing>
          <wp:inline distT="0" distB="0" distL="0" distR="0">
            <wp:extent cx="5040000" cy="4725000"/>
            <wp:docPr id="41" name="Image 41" descr="Rapport mensuel reçu par e-mail"/>
            <wp:cNvGraphicFramePr>
              <a:graphicFrameLocks noChangeAspect="1"/>
            </wp:cNvGraphicFramePr>
            <a:graphic>
              <a:graphicData uri="http://schemas.openxmlformats.org/drawingml/2006/picture">
                <pic:pic>
                  <pic:nvPicPr>
                    <pic:cNvPr id="41" name="email.png"/>
                    <pic:cNvPicPr/>
                  </pic:nvPicPr>
                  <pic:blipFill>
                    <a:blip r:embed="rIdImg41"/>
                    <a:stretch>
                      <a:fillRect/>
                    </a:stretch>
                  </pic:blipFill>
                  <pic:spPr>
                    <a:xfrm>
                      <a:off x="0" y="0"/>
                      <a:ext cx="5040000" cy="4725000"/>
                    </a:xfrm>
                    <a:prstGeom prst="rect">
                      <a:avLst/>
                    </a:prstGeom>
                    <a:ln w="9525">
                      <a:solidFill>
                        <a:srgbClr val="D9D8D2"/>
                      </a:solidFill>
                    </a:ln>
                  </pic:spPr>
                </pic:pic>
              </a:graphicData>
            </a:graphic>
          </wp:inline>
        </w:drawing>
      </w:r>
    </w:p>
    <w:p>
      <w:pPr>
        <w:pStyle w:val="Caption"/>
      </w:pPr>
      <w:bookmarkStart w:id="114" w:name="_Fig00114"/>
      <w:r>
        <w:rPr/>
        <w:t xml:space="preserve">Figure </w:t>
      </w:r>
      <w:fldSimple w:instr=" SEQ Figure \* ARABIC ">
        <w:r>
          <w:t>39</w:t>
        </w:r>
      </w:fldSimple>
      <w:r>
        <w:rPr/>
        <w:t xml:space="preserve"> – Rapport mensuel reçu par e-mail</w:t>
      </w:r>
      <w:bookmarkEnd w:id="114"/>
    </w:p>
    <w:p>
      <w:pPr>
        <w:pStyle w:val="Heading2"/>
      </w:pPr>
      <w:bookmarkStart w:id="115" w:name="_Toc00115"/>
      <w:r>
        <w:rPr/>
        <w:t xml:space="preserve">8.12 Alertes immédiates</w:t>
      </w:r>
      <w:bookmarkEnd w:id="115"/>
    </w:p>
    <w:p>
      <w:pPr/>
      <w:r>
        <w:rPr/>
        <w:t xml:space="preserve">Les alertes sont évaluées après chaque collecte (toutes les 5 minutes) et partent en un seul message aux destinataires de la section </w:t>
      </w:r>
      <w:r>
        <w:rPr>
          <w:rFonts w:ascii="Consolas" w:hAnsi="Consolas" w:cs="Consolas"/>
          <w:color w:val="1C5CAB"/>
          <w:sz w:val="18"/>
          <w:szCs w:val="18"/>
          <w:shd w:val="clear" w:color="auto" w:fill="EEF3FA"/>
        </w:rPr>
        <w:t xml:space="preserve">alerts</w:t>
      </w:r>
      <w:r>
        <w:rPr/>
        <w:t xml:space="preserve"> : collecte en échec (puis « rétablie ») ou arrêtée depuis plus d'une heure, nouveaux refus de licence avec les utilisateurs concernés, plus aucun jeton disponible, licence qui expire (J-30, J-7, expirée). Une alerte toujours présente n'est rappelée qu'après </w:t>
      </w:r>
      <w:r>
        <w:rPr>
          <w:rFonts w:ascii="Consolas" w:hAnsi="Consolas" w:cs="Consolas"/>
          <w:color w:val="1C5CAB"/>
          <w:sz w:val="18"/>
          <w:szCs w:val="18"/>
          <w:shd w:val="clear" w:color="auto" w:fill="EEF3FA"/>
        </w:rPr>
        <w:t xml:space="preserve">repeat_hours</w:t>
      </w:r>
      <w:r>
        <w:rPr/>
        <w:t xml:space="preserve"> (24 h par défaut) ; un serveur SMTP indisponible ne fait perdre aucune alerte. Aperçu sans envoi : </w:t>
      </w:r>
      <w:r>
        <w:rPr>
          <w:rFonts w:ascii="Consolas" w:hAnsi="Consolas" w:cs="Consolas"/>
          <w:color w:val="1C5CAB"/>
          <w:sz w:val="18"/>
          <w:szCs w:val="18"/>
          <w:shd w:val="clear" w:color="auto" w:fill="EEF3FA"/>
        </w:rPr>
        <w:t xml:space="preserve">check-alerts --dry-run apercu</w:t>
      </w:r>
      <w:r>
        <w:rPr/>
        <w:t xml:space="preserve">.</w:t>
      </w:r>
    </w:p>
    <w:p>
      <w:pPr>
        <w:pStyle w:val="Figure"/>
        <w:keepNext/>
      </w:pPr>
      <w:r>
        <w:drawing>
          <wp:inline distT="0" distB="0" distL="0" distR="0">
            <wp:extent cx="4680000" cy="3809302"/>
            <wp:docPr id="42" name="Image 42" descr="Message d'alertes immédiates"/>
            <wp:cNvGraphicFramePr>
              <a:graphicFrameLocks noChangeAspect="1"/>
            </wp:cNvGraphicFramePr>
            <a:graphic>
              <a:graphicData uri="http://schemas.openxmlformats.org/drawingml/2006/picture">
                <pic:pic>
                  <pic:nvPicPr>
                    <pic:cNvPr id="42" name="alertes.png"/>
                    <pic:cNvPicPr/>
                  </pic:nvPicPr>
                  <pic:blipFill>
                    <a:blip r:embed="rIdImg42"/>
                    <a:stretch>
                      <a:fillRect/>
                    </a:stretch>
                  </pic:blipFill>
                  <pic:spPr>
                    <a:xfrm>
                      <a:off x="0" y="0"/>
                      <a:ext cx="4680000" cy="3809302"/>
                    </a:xfrm>
                    <a:prstGeom prst="rect">
                      <a:avLst/>
                    </a:prstGeom>
                    <a:ln w="9525">
                      <a:solidFill>
                        <a:srgbClr val="D9D8D2"/>
                      </a:solidFill>
                    </a:ln>
                  </pic:spPr>
                </pic:pic>
              </a:graphicData>
            </a:graphic>
          </wp:inline>
        </w:drawing>
      </w:r>
    </w:p>
    <w:p>
      <w:pPr>
        <w:pStyle w:val="Caption"/>
      </w:pPr>
      <w:bookmarkStart w:id="116" w:name="_Fig00116"/>
      <w:r>
        <w:rPr/>
        <w:t xml:space="preserve">Figure </w:t>
      </w:r>
      <w:fldSimple w:instr=" SEQ Figure \* ARABIC ">
        <w:r>
          <w:t>40</w:t>
        </w:r>
      </w:fldSimple>
      <w:r>
        <w:rPr/>
        <w:t xml:space="preserve"> – Message d'alertes immédiates</w:t>
      </w:r>
      <w:bookmarkEnd w:id="116"/>
    </w:p>
    <w:p>
      <w:pPr/>
      <w:r>
        <w:rPr/>
        <w:t xml:space="preserve">Avec des connecteurs </w:t>
      </w:r>
      <w:r>
        <w:rPr>
          <w:rFonts w:ascii="Consolas" w:hAnsi="Consolas" w:cs="Consolas"/>
          <w:color w:val="1C5CAB"/>
          <w:sz w:val="18"/>
          <w:szCs w:val="18"/>
          <w:shd w:val="clear" w:color="auto" w:fill="EEF3FA"/>
        </w:rPr>
        <w:t xml:space="preserve">alerts.itsm</w:t>
      </w:r>
      <w:r>
        <w:rPr/>
        <w:t xml:space="preserve">, chaque alerte grave (pannes, refus, échéances à moins de 7 jours ; </w:t>
      </w:r>
      <w:r>
        <w:rPr>
          <w:rFonts w:ascii="Consolas" w:hAnsi="Consolas" w:cs="Consolas"/>
          <w:color w:val="1C5CAB"/>
          <w:sz w:val="18"/>
          <w:szCs w:val="18"/>
          <w:shd w:val="clear" w:color="auto" w:fill="EEF3FA"/>
        </w:rPr>
        <w:t xml:space="preserve">min_severity</w:t>
      </w:r>
      <w:r>
        <w:rPr/>
        <w:t xml:space="preserve">) ouvre aussi un ticket dans ServiceNow, Jira ou GLPI (ou un message Teams / Slack) : il est complété à chaque rappel et résolu automatiquement quand la condition disparaît, sans doublon, avec rattrapage si l'outil était injoignable. Le connecteur se configure à l'étape « Tickets ITSM » de l'assistant (bouton « Ouvrir un ticket de test ») ; le mot de passe ou les jetons y sont chiffrés par Windows (DPAPI) dans </w:t>
      </w:r>
      <w:r>
        <w:rPr>
          <w:rFonts w:ascii="Consolas" w:hAnsi="Consolas" w:cs="Consolas"/>
          <w:color w:val="1C5CAB"/>
          <w:sz w:val="18"/>
          <w:szCs w:val="18"/>
          <w:shd w:val="clear" w:color="auto" w:fill="EEF3FA"/>
        </w:rPr>
        <w:t xml:space="preserve">C:\HeptagonesLM\secrets\</w:t>
      </w:r>
      <w:r>
        <w:rPr/>
        <w:t xml:space="preserve"> et la configuration n'en contient qu'une référence </w:t>
      </w:r>
      <w:r>
        <w:rPr>
          <w:rFonts w:ascii="Consolas" w:hAnsi="Consolas" w:cs="Consolas"/>
          <w:color w:val="1C5CAB"/>
          <w:sz w:val="18"/>
          <w:szCs w:val="18"/>
          <w:shd w:val="clear" w:color="auto" w:fill="EEF3FA"/>
        </w:rPr>
        <w:t xml:space="preserve">dpapi:</w:t>
      </w:r>
      <w:r>
        <w:rPr/>
        <w:t xml:space="preserve">. Vérification après coup : </w:t>
      </w:r>
      <w:r>
        <w:rPr>
          <w:rFonts w:ascii="Consolas" w:hAnsi="Consolas" w:cs="Consolas"/>
          <w:color w:val="1C5CAB"/>
          <w:sz w:val="18"/>
          <w:szCs w:val="18"/>
          <w:shd w:val="clear" w:color="auto" w:fill="EEF3FA"/>
        </w:rPr>
        <w:t xml:space="preserve">test-itsm</w:t>
      </w:r>
      <w:r>
        <w:rPr/>
        <w:t xml:space="preserve"> (ticket de test ouvert, commenté puis résolu).</w:t>
      </w:r>
    </w:p>
    <w:p>
      <w:pPr>
        <w:pStyle w:val="Heading2"/>
      </w:pPr>
      <w:bookmarkStart w:id="117" w:name="_Toc00117"/>
      <w:r>
        <w:rPr/>
        <w:t xml:space="preserve">8.13 Rôles</w:t>
      </w:r>
      <w:bookmarkEnd w:id="117"/>
    </w:p>
    <w:p>
      <w:pPr/>
      <w:r>
        <w:rPr/>
        <w:t xml:space="preserve">Avec la section </w:t>
      </w:r>
      <w:r>
        <w:rPr>
          <w:rFonts w:ascii="Consolas" w:hAnsi="Consolas" w:cs="Consolas"/>
          <w:color w:val="1C5CAB"/>
          <w:sz w:val="18"/>
          <w:szCs w:val="18"/>
          <w:shd w:val="clear" w:color="auto" w:fill="EEF3FA"/>
        </w:rPr>
        <w:t xml:space="preserve">web.roles</w:t>
      </w:r>
      <w:r>
        <w:rPr/>
        <w:t xml:space="preserve">, un responsable de service ne voit que les utilisateurs de ses services : sessions, répartition, refus, utilisateurs connectés et exports. Le bandeau « Vue limitée » le rappelle, les filtres ne proposent que son périmètre et toute demande hors périmètre est refusée par le serveur (journal d'audit). Les compteurs d'un produit (jetons émis et utilisés, saturation) restent visibles : ils ne désignent personne. Les lecteurs et administrateurs ont une vue globale.</w:t>
      </w:r>
    </w:p>
    <w:p>
      <w:pPr>
        <w:pStyle w:val="Heading2"/>
      </w:pPr>
      <w:bookmarkStart w:id="118" w:name="_Toc00118"/>
      <w:r>
        <w:rPr/>
        <w:t xml:space="preserve">8.14 Licences inutilisées, réservations, emprunts et sites</w:t>
      </w:r>
      <w:bookmarkEnd w:id="118"/>
    </w:p>
    <w:p>
      <w:pPr/>
      <w:r>
        <w:rPr>
          <w:b/>
        </w:rPr>
        <w:t xml:space="preserve">Licences inutilisées</w:t>
      </w:r>
      <w:r>
        <w:rPr/>
        <w:t xml:space="preserve"> liste les licences émises mais jamais utilisées sur la période, avec leur coût annuel : ce sont les premières candidates à la résiliation. </w:t>
      </w:r>
      <w:r>
        <w:rPr>
          <w:b/>
        </w:rPr>
        <w:t xml:space="preserve">Réservations</w:t>
      </w:r>
      <w:r>
        <w:rPr/>
        <w:t xml:space="preserve"> reprend les jetons réservés par le fichier d'options (lignes RESERVE) et mesure leur usage réel par le bénéficiaire.</w:t>
      </w:r>
    </w:p>
    <w:p>
      <w:pPr>
        <w:pStyle w:val="Figure"/>
        <w:keepNext/>
      </w:pPr>
      <w:r>
        <w:drawing>
          <wp:inline distT="0" distB="0" distL="0" distR="0">
            <wp:extent cx="5940000" cy="3712500"/>
            <wp:docPr id="43" name="Image 43" descr="Licences inutilisées"/>
            <wp:cNvGraphicFramePr>
              <a:graphicFrameLocks noChangeAspect="1"/>
            </wp:cNvGraphicFramePr>
            <a:graphic>
              <a:graphicData uri="http://schemas.openxmlformats.org/drawingml/2006/picture">
                <pic:pic>
                  <pic:nvPicPr>
                    <pic:cNvPr id="43" name="unused.png"/>
                    <pic:cNvPicPr/>
                  </pic:nvPicPr>
                  <pic:blipFill>
                    <a:blip r:embed="rIdImg43"/>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119" w:name="_Fig00119"/>
      <w:r>
        <w:rPr/>
        <w:t xml:space="preserve">Figure </w:t>
      </w:r>
      <w:fldSimple w:instr=" SEQ Figure \* ARABIC ">
        <w:r>
          <w:t>41</w:t>
        </w:r>
      </w:fldSimple>
      <w:r>
        <w:rPr/>
        <w:t xml:space="preserve"> – Licences inutilisées</w:t>
      </w:r>
      <w:bookmarkEnd w:id="119"/>
    </w:p>
    <w:p>
      <w:pPr>
        <w:pStyle w:val="Figure"/>
        <w:keepNext/>
      </w:pPr>
      <w:r>
        <w:drawing>
          <wp:inline distT="0" distB="0" distL="0" distR="0">
            <wp:extent cx="5940000" cy="3712500"/>
            <wp:docPr id="44" name="Image 44" descr="Réservations et taux d'usage"/>
            <wp:cNvGraphicFramePr>
              <a:graphicFrameLocks noChangeAspect="1"/>
            </wp:cNvGraphicFramePr>
            <a:graphic>
              <a:graphicData uri="http://schemas.openxmlformats.org/drawingml/2006/picture">
                <pic:pic>
                  <pic:nvPicPr>
                    <pic:cNvPr id="44" name="reservations.png"/>
                    <pic:cNvPicPr/>
                  </pic:nvPicPr>
                  <pic:blipFill>
                    <a:blip r:embed="rIdImg44"/>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120" w:name="_Fig00120"/>
      <w:r>
        <w:rPr/>
        <w:t xml:space="preserve">Figure </w:t>
      </w:r>
      <w:fldSimple w:instr=" SEQ Figure \* ARABIC ">
        <w:r>
          <w:t>42</w:t>
        </w:r>
      </w:fldSimple>
      <w:r>
        <w:rPr/>
        <w:t xml:space="preserve"> – Réservations et taux d'usage</w:t>
      </w:r>
      <w:bookmarkEnd w:id="120"/>
    </w:p>
    <w:p>
      <w:pPr/>
      <w:r>
        <w:rPr/>
        <w:t xml:space="preserve">Les </w:t>
      </w:r>
      <w:r>
        <w:rPr>
          <w:b/>
        </w:rPr>
        <w:t xml:space="preserve">licences empruntées</w:t>
      </w:r>
      <w:r>
        <w:rPr/>
        <w:t xml:space="preserve"> (utilisation hors ligne) sont signalées dans la vue En direct et dans les sessions. Avec la section </w:t>
      </w:r>
      <w:r>
        <w:rPr>
          <w:rFonts w:ascii="Consolas" w:hAnsi="Consolas" w:cs="Consolas"/>
          <w:color w:val="1C5CAB"/>
          <w:sz w:val="18"/>
          <w:szCs w:val="18"/>
          <w:shd w:val="clear" w:color="auto" w:fill="EEF3FA"/>
        </w:rPr>
        <w:t xml:space="preserve">sites</w:t>
      </w:r>
      <w:r>
        <w:rPr/>
        <w:t xml:space="preserve">, chaque poste est rattaché à un site : filtre « Sites » et répartition par site.</w:t>
      </w:r>
    </w:p>
    <w:p>
      <w:pPr>
        <w:pStyle w:val="Heading2"/>
      </w:pPr>
      <w:bookmarkStart w:id="121" w:name="_Toc00121"/>
      <w:r>
        <w:rPr/>
        <w:t xml:space="preserve">8.15 Licences Autodesk « utilisateur nommé »</w:t>
      </w:r>
      <w:bookmarkEnd w:id="121"/>
    </w:p>
    <w:p>
      <w:pPr/>
      <w:r>
        <w:rPr/>
        <w:t xml:space="preserve">La plupart des abonnements Autodesk sont nominatifs : aucun serveur de licences, l'usage n'est connu que du portail Autodesk Account. L'administrateur Autodesk exporte chaque mois le rapport d'usage (Reporting › Usage report › Export, CSV ou Excel) et le dépose dans le dossier </w:t>
      </w:r>
      <w:r>
        <w:rPr>
          <w:rFonts w:ascii="Consolas" w:hAnsi="Consolas" w:cs="Consolas"/>
          <w:color w:val="1C5CAB"/>
          <w:sz w:val="18"/>
          <w:szCs w:val="18"/>
          <w:shd w:val="clear" w:color="auto" w:fill="EEF3FA"/>
        </w:rPr>
        <w:t xml:space="preserve">autodesk.import_dir</w:t>
      </w:r>
      <w:r>
        <w:rPr/>
        <w:t xml:space="preserve"> (importé à la collecte suivante) ou lance </w:t>
      </w:r>
      <w:r>
        <w:rPr>
          <w:rFonts w:ascii="Consolas" w:hAnsi="Consolas" w:cs="Consolas"/>
          <w:color w:val="1C5CAB"/>
          <w:sz w:val="18"/>
          <w:szCs w:val="18"/>
          <w:shd w:val="clear" w:color="auto" w:fill="EEF3FA"/>
        </w:rPr>
        <w:t xml:space="preserve">HeptagonesLM.exe import-autodesk export.csv</w:t>
      </w:r>
      <w:r>
        <w:rPr/>
        <w:t xml:space="preserve">. Colonnes anglaises ou françaises reconnues ; un fichier déjà importé est ignoré.</w:t>
      </w:r>
    </w:p>
    <w:p>
      <w:pPr/>
      <w:r>
        <w:rPr/>
        <w:t xml:space="preserve">Le rapport </w:t>
      </w:r>
      <w:r>
        <w:rPr>
          <w:b/>
        </w:rPr>
        <w:t xml:space="preserve">Autodesk · utilisateurs nommés</w:t>
      </w:r>
      <w:r>
        <w:rPr/>
        <w:t xml:space="preserve"> (menu Optimisation) classe chaque licence affectée : jamais utilisée, inactive (au-delà de </w:t>
      </w:r>
      <w:r>
        <w:rPr>
          <w:rFonts w:ascii="Consolas" w:hAnsi="Consolas" w:cs="Consolas"/>
          <w:color w:val="1C5CAB"/>
          <w:sz w:val="18"/>
          <w:szCs w:val="18"/>
          <w:shd w:val="clear" w:color="auto" w:fill="EEF3FA"/>
        </w:rPr>
        <w:t xml:space="preserve">inactive_days</w:t>
      </w:r>
      <w:r>
        <w:rPr/>
        <w:t xml:space="preserve"> jours) ou active, avec le coût annuel récupérable lorsque </w:t>
      </w:r>
      <w:r>
        <w:rPr>
          <w:rFonts w:ascii="Consolas" w:hAnsi="Consolas" w:cs="Consolas"/>
          <w:color w:val="1C5CAB"/>
          <w:sz w:val="18"/>
          <w:szCs w:val="18"/>
          <w:shd w:val="clear" w:color="auto" w:fill="EEF3FA"/>
        </w:rPr>
        <w:t xml:space="preserve">annual_costs</w:t>
      </w:r>
      <w:r>
        <w:rPr/>
        <w:t xml:space="preserve"> est renseigné. Les licences à récupérer sont à réaffecter dans Autodesk Account ou à ne pas renouveler. Rapport réservé aux administrateurs de licences (les licences nommées ne sont pas rattachées à un service).</w:t>
      </w:r>
    </w:p>
    <w:p>
      <w:pPr>
        <w:pStyle w:val="Figure"/>
        <w:keepNext/>
      </w:pPr>
      <w:r>
        <w:drawing>
          <wp:inline distT="0" distB="0" distL="0" distR="0">
            <wp:extent cx="5940000" cy="6100875"/>
            <wp:docPr id="45" name="Image 45" descr="Autodesk · utilisateurs nommés"/>
            <wp:cNvGraphicFramePr>
              <a:graphicFrameLocks noChangeAspect="1"/>
            </wp:cNvGraphicFramePr>
            <a:graphic>
              <a:graphicData uri="http://schemas.openxmlformats.org/drawingml/2006/picture">
                <pic:pic>
                  <pic:nvPicPr>
                    <pic:cNvPr id="45" name="named.png"/>
                    <pic:cNvPicPr/>
                  </pic:nvPicPr>
                  <pic:blipFill>
                    <a:blip r:embed="rIdImg45"/>
                    <a:stretch>
                      <a:fillRect/>
                    </a:stretch>
                  </pic:blipFill>
                  <pic:spPr>
                    <a:xfrm>
                      <a:off x="0" y="0"/>
                      <a:ext cx="5940000" cy="6100875"/>
                    </a:xfrm>
                    <a:prstGeom prst="rect">
                      <a:avLst/>
                    </a:prstGeom>
                    <a:ln w="9525">
                      <a:solidFill>
                        <a:srgbClr val="D9D8D2"/>
                      </a:solidFill>
                    </a:ln>
                  </pic:spPr>
                </pic:pic>
              </a:graphicData>
            </a:graphic>
          </wp:inline>
        </w:drawing>
      </w:r>
    </w:p>
    <w:p>
      <w:pPr>
        <w:pStyle w:val="Caption"/>
      </w:pPr>
      <w:bookmarkStart w:id="122" w:name="_Fig00122"/>
      <w:r>
        <w:rPr/>
        <w:t xml:space="preserve">Figure </w:t>
      </w:r>
      <w:fldSimple w:instr=" SEQ Figure \* ARABIC ">
        <w:r>
          <w:t>43</w:t>
        </w:r>
      </w:fldSimple>
      <w:r>
        <w:rPr/>
        <w:t xml:space="preserve"> – Autodesk · utilisateurs nommés</w:t>
      </w:r>
      <w:bookmarkEnd w:id="122"/>
    </w:p>
    <w:p>
      <w:pPr>
        <w:pStyle w:val="Heading1"/>
      </w:pPr>
      <w:bookmarkStart w:id="123" w:name="_Toc00123"/>
      <w:r>
        <w:rPr/>
        <w:t xml:space="preserve">9. Sauvegarde, restauration et rétention</w:t>
      </w:r>
      <w:bookmarkEnd w:id="123"/>
    </w:p>
    <w:p>
      <w:pPr>
        <w:pStyle w:val="Heading2"/>
      </w:pPr>
      <w:bookmarkStart w:id="124" w:name="_Toc00124"/>
      <w:r>
        <w:rPr/>
        <w:t xml:space="preserve">9.1 Éléments à sauvegarder</w:t>
      </w:r>
      <w:bookmarkEnd w:id="124"/>
    </w:p>
    <w:p>
      <w:pPr>
        <w:pStyle w:val="Caption"/>
        <w:keepNext/>
      </w:pPr>
      <w:r>
        <w:rPr/>
        <w:t xml:space="preserve">Tableau 25 – Plan de sauvegarde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606"/>
        <w:gridCol w:w="1977"/>
        <w:gridCol w:w="2718"/>
        <w:gridCol w:w="1853"/>
        <w:gridCol w:w="1482"/>
      </w:tblGrid>
      <w:tr>
        <w:trPr>
          <w:tblHeader/>
          <w:cantSplit/>
        </w:trPr>
        <w:tc>
          <w:tcPr>
            <w:tcW w:w="1606" w:type="dxa"/>
            <w:shd w:val="clear" w:color="auto" w:fill="2A78D6"/>
          </w:tcPr>
          <w:p>
            <w:pPr>
              <w:pStyle w:val="TableText"/>
            </w:pPr>
            <w:r>
              <w:rPr>
                <w:b/>
                <w:color w:val="FFFFFF"/>
                <w:sz w:val="18"/>
                <w:szCs w:val="18"/>
              </w:rPr>
              <w:t xml:space="preserve">Élément</w:t>
            </w:r>
          </w:p>
        </w:tc>
        <w:tc>
          <w:tcPr>
            <w:tcW w:w="1977" w:type="dxa"/>
            <w:shd w:val="clear" w:color="auto" w:fill="2A78D6"/>
          </w:tcPr>
          <w:p>
            <w:pPr>
              <w:pStyle w:val="TableText"/>
            </w:pPr>
            <w:r>
              <w:rPr>
                <w:b/>
                <w:color w:val="FFFFFF"/>
                <w:sz w:val="18"/>
                <w:szCs w:val="18"/>
              </w:rPr>
              <w:t xml:space="preserve">Emplacement</w:t>
            </w:r>
          </w:p>
        </w:tc>
        <w:tc>
          <w:tcPr>
            <w:tcW w:w="2718" w:type="dxa"/>
            <w:shd w:val="clear" w:color="auto" w:fill="2A78D6"/>
          </w:tcPr>
          <w:p>
            <w:pPr>
              <w:pStyle w:val="TableText"/>
            </w:pPr>
            <w:r>
              <w:rPr>
                <w:b/>
                <w:color w:val="FFFFFF"/>
                <w:sz w:val="18"/>
                <w:szCs w:val="18"/>
              </w:rPr>
              <w:t xml:space="preserve">Méthode</w:t>
            </w:r>
          </w:p>
        </w:tc>
        <w:tc>
          <w:tcPr>
            <w:tcW w:w="1853" w:type="dxa"/>
            <w:shd w:val="clear" w:color="auto" w:fill="2A78D6"/>
          </w:tcPr>
          <w:p>
            <w:pPr>
              <w:pStyle w:val="TableText"/>
            </w:pPr>
            <w:r>
              <w:rPr>
                <w:b/>
                <w:color w:val="FFFFFF"/>
                <w:sz w:val="18"/>
                <w:szCs w:val="18"/>
              </w:rPr>
              <w:t xml:space="preserve">Fréquence</w:t>
            </w:r>
          </w:p>
        </w:tc>
        <w:tc>
          <w:tcPr>
            <w:tcW w:w="1482" w:type="dxa"/>
            <w:shd w:val="clear" w:color="auto" w:fill="2A78D6"/>
          </w:tcPr>
          <w:p>
            <w:pPr>
              <w:pStyle w:val="TableText"/>
            </w:pPr>
            <w:r>
              <w:rPr>
                <w:b/>
                <w:color w:val="FFFFFF"/>
                <w:sz w:val="18"/>
                <w:szCs w:val="18"/>
              </w:rPr>
              <w:t xml:space="preserve">Criticité</w:t>
            </w:r>
          </w:p>
        </w:tc>
      </w:tr>
      <w:tr>
        <w:trPr>
          <w:cantSplit/>
        </w:trPr>
        <w:tc>
          <w:tcPr>
            <w:tcW w:w="1606" w:type="dxa"/>
          </w:tcPr>
          <w:p>
            <w:pPr>
              <w:pStyle w:val="TableText"/>
            </w:pPr>
            <w:r>
              <w:rPr>
                <w:sz w:val="18"/>
                <w:szCs w:val="18"/>
              </w:rPr>
              <w:t xml:space="preserve">Base HeptagonesLM</w:t>
            </w:r>
          </w:p>
        </w:tc>
        <w:tc>
          <w:tcPr>
            <w:tcW w:w="1977" w:type="dxa"/>
          </w:tcPr>
          <w:p>
            <w:pPr>
              <w:pStyle w:val="TableText"/>
            </w:pPr>
            <w:r>
              <w:rPr>
                <w:sz w:val="18"/>
                <w:szCs w:val="18"/>
              </w:rPr>
              <w:t xml:space="preserve">SQL Server</w:t>
            </w:r>
          </w:p>
        </w:tc>
        <w:tc>
          <w:tcPr>
            <w:tcW w:w="2718" w:type="dxa"/>
          </w:tcPr>
          <w:p>
            <w:pPr>
              <w:pStyle w:val="TableText"/>
            </w:pPr>
            <w:r>
              <w:rPr>
                <w:sz w:val="18"/>
                <w:szCs w:val="18"/>
              </w:rPr>
              <w:t xml:space="preserve">Sauvegarde complète SQL (modèle SIMPLE)</w:t>
            </w:r>
          </w:p>
        </w:tc>
        <w:tc>
          <w:tcPr>
            <w:tcW w:w="1853" w:type="dxa"/>
          </w:tcPr>
          <w:p>
            <w:pPr>
              <w:pStyle w:val="TableText"/>
            </w:pPr>
            <w:r>
              <w:rPr>
                <w:sz w:val="18"/>
                <w:szCs w:val="18"/>
              </w:rPr>
              <w:t xml:space="preserve">Quotidienne, rétention 30 jours</w:t>
            </w:r>
          </w:p>
        </w:tc>
        <w:tc>
          <w:tcPr>
            <w:tcW w:w="1482" w:type="dxa"/>
          </w:tcPr>
          <w:p>
            <w:pPr>
              <w:pStyle w:val="TableText"/>
            </w:pPr>
            <w:r>
              <w:rPr>
                <w:sz w:val="18"/>
                <w:szCs w:val="18"/>
              </w:rPr>
              <w:t xml:space="preserve">Haute (historique)</w:t>
            </w:r>
          </w:p>
        </w:tc>
      </w:tr>
      <w:tr>
        <w:trPr>
          <w:cantSplit/>
        </w:trPr>
        <w:tc>
          <w:tcPr>
            <w:tcW w:w="1606" w:type="dxa"/>
            <w:shd w:val="clear" w:color="auto" w:fill="F4F7FC"/>
          </w:tcPr>
          <w:p>
            <w:pPr>
              <w:pStyle w:val="TableText"/>
            </w:pPr>
            <w:r>
              <w:rPr>
                <w:sz w:val="18"/>
                <w:szCs w:val="18"/>
              </w:rPr>
              <w:t xml:space="preserve">Configuration</w:t>
            </w:r>
          </w:p>
        </w:tc>
        <w:tc>
          <w:tcPr>
            <w:tcW w:w="1977" w:type="dxa"/>
            <w:shd w:val="clear" w:color="auto" w:fill="F4F7FC"/>
          </w:tcPr>
          <w:p>
            <w:pPr>
              <w:pStyle w:val="TableText"/>
            </w:pPr>
            <w:r>
              <w:rPr>
                <w:sz w:val="18"/>
                <w:szCs w:val="18"/>
              </w:rPr>
              <w:t xml:space="preserve">C:\HeptagonesLM\heptagoneslm.yaml</w:t>
            </w:r>
          </w:p>
        </w:tc>
        <w:tc>
          <w:tcPr>
            <w:tcW w:w="2718" w:type="dxa"/>
            <w:shd w:val="clear" w:color="auto" w:fill="F4F7FC"/>
          </w:tcPr>
          <w:p>
            <w:pPr>
              <w:pStyle w:val="TableText"/>
            </w:pPr>
            <w:r>
              <w:rPr>
                <w:sz w:val="18"/>
                <w:szCs w:val="18"/>
              </w:rPr>
              <w:t xml:space="preserve">Sauvegarde fichiers du serveur + copie dans le coffre de configuration</w:t>
            </w:r>
          </w:p>
        </w:tc>
        <w:tc>
          <w:tcPr>
            <w:tcW w:w="1853" w:type="dxa"/>
            <w:shd w:val="clear" w:color="auto" w:fill="F4F7FC"/>
          </w:tcPr>
          <w:p>
            <w:pPr>
              <w:pStyle w:val="TableText"/>
            </w:pPr>
            <w:r>
              <w:rPr>
                <w:sz w:val="18"/>
                <w:szCs w:val="18"/>
              </w:rPr>
              <w:t xml:space="preserve">À chaque modification</w:t>
            </w:r>
          </w:p>
        </w:tc>
        <w:tc>
          <w:tcPr>
            <w:tcW w:w="1482" w:type="dxa"/>
            <w:shd w:val="clear" w:color="auto" w:fill="F4F7FC"/>
          </w:tcPr>
          <w:p>
            <w:pPr>
              <w:pStyle w:val="TableText"/>
            </w:pPr>
            <w:r>
              <w:rPr>
                <w:sz w:val="18"/>
                <w:szCs w:val="18"/>
              </w:rPr>
              <w:t xml:space="preserve">Haute</w:t>
            </w:r>
          </w:p>
        </w:tc>
      </w:tr>
      <w:tr>
        <w:trPr>
          <w:cantSplit/>
        </w:trPr>
        <w:tc>
          <w:tcPr>
            <w:tcW w:w="1606" w:type="dxa"/>
          </w:tcPr>
          <w:p>
            <w:pPr>
              <w:pStyle w:val="TableText"/>
            </w:pPr>
            <w:r>
              <w:rPr>
                <w:sz w:val="18"/>
                <w:szCs w:val="18"/>
              </w:rPr>
              <w:t xml:space="preserve">Certificats et clés</w:t>
            </w:r>
          </w:p>
        </w:tc>
        <w:tc>
          <w:tcPr>
            <w:tcW w:w="1977" w:type="dxa"/>
          </w:tcPr>
          <w:p>
            <w:pPr>
              <w:pStyle w:val="TableText"/>
            </w:pPr>
            <w:r>
              <w:rPr>
                <w:sz w:val="18"/>
                <w:szCs w:val="18"/>
              </w:rPr>
              <w:t xml:space="preserve">C:\HeptagonesLM\certs\</w:t>
            </w:r>
          </w:p>
        </w:tc>
        <w:tc>
          <w:tcPr>
            <w:tcW w:w="2718" w:type="dxa"/>
          </w:tcPr>
          <w:p>
            <w:pPr>
              <w:pStyle w:val="TableText"/>
            </w:pPr>
            <w:r>
              <w:rPr>
                <w:sz w:val="18"/>
                <w:szCs w:val="18"/>
              </w:rPr>
              <w:t xml:space="preserve">Coffre de secrets / PKI</w:t>
            </w:r>
          </w:p>
        </w:tc>
        <w:tc>
          <w:tcPr>
            <w:tcW w:w="1853" w:type="dxa"/>
          </w:tcPr>
          <w:p>
            <w:pPr>
              <w:pStyle w:val="TableText"/>
            </w:pPr>
            <w:r>
              <w:rPr>
                <w:sz w:val="18"/>
                <w:szCs w:val="18"/>
              </w:rPr>
              <w:t xml:space="preserve">À chaque renouvellement</w:t>
            </w:r>
          </w:p>
        </w:tc>
        <w:tc>
          <w:tcPr>
            <w:tcW w:w="1482" w:type="dxa"/>
          </w:tcPr>
          <w:p>
            <w:pPr>
              <w:pStyle w:val="TableText"/>
            </w:pPr>
            <w:r>
              <w:rPr>
                <w:sz w:val="18"/>
                <w:szCs w:val="18"/>
              </w:rPr>
              <w:t xml:space="preserve">Moyenne</w:t>
            </w:r>
          </w:p>
        </w:tc>
      </w:tr>
      <w:tr>
        <w:trPr>
          <w:cantSplit/>
        </w:trPr>
        <w:tc>
          <w:tcPr>
            <w:tcW w:w="1606" w:type="dxa"/>
            <w:shd w:val="clear" w:color="auto" w:fill="F4F7FC"/>
          </w:tcPr>
          <w:p>
            <w:pPr>
              <w:pStyle w:val="TableText"/>
            </w:pPr>
            <w:r>
              <w:rPr>
                <w:sz w:val="18"/>
                <w:szCs w:val="18"/>
              </w:rPr>
              <w:t xml:space="preserve">Secrets ITSM</w:t>
            </w:r>
          </w:p>
        </w:tc>
        <w:tc>
          <w:tcPr>
            <w:tcW w:w="1977" w:type="dxa"/>
            <w:shd w:val="clear" w:color="auto" w:fill="F4F7FC"/>
          </w:tcPr>
          <w:p>
            <w:pPr>
              <w:pStyle w:val="TableText"/>
            </w:pPr>
            <w:r>
              <w:rPr>
                <w:sz w:val="18"/>
                <w:szCs w:val="18"/>
              </w:rPr>
              <w:t xml:space="preserve">C:\HeptagonesLM\secrets\</w:t>
            </w:r>
          </w:p>
        </w:tc>
        <w:tc>
          <w:tcPr>
            <w:tcW w:w="2718" w:type="dxa"/>
            <w:shd w:val="clear" w:color="auto" w:fill="F4F7FC"/>
          </w:tcPr>
          <w:p>
            <w:pPr>
              <w:pStyle w:val="TableText"/>
            </w:pPr>
            <w:r>
              <w:rPr>
                <w:sz w:val="18"/>
                <w:szCs w:val="18"/>
              </w:rPr>
              <w:t xml:space="preserve">Non restaurables sur un autre serveur (DPAPI) : identifiants conservés dans le coffre, ressaisis par l'assistant</w:t>
            </w:r>
          </w:p>
        </w:tc>
        <w:tc>
          <w:tcPr>
            <w:tcW w:w="1853" w:type="dxa"/>
            <w:shd w:val="clear" w:color="auto" w:fill="F4F7FC"/>
          </w:tcPr>
          <w:p>
            <w:pPr>
              <w:pStyle w:val="TableText"/>
            </w:pPr>
            <w:r>
              <w:rPr>
                <w:sz w:val="18"/>
                <w:szCs w:val="18"/>
              </w:rPr>
              <w:t xml:space="preserve">À chaque changement</w:t>
            </w:r>
          </w:p>
        </w:tc>
        <w:tc>
          <w:tcPr>
            <w:tcW w:w="1482" w:type="dxa"/>
            <w:shd w:val="clear" w:color="auto" w:fill="F4F7FC"/>
          </w:tcPr>
          <w:p>
            <w:pPr>
              <w:pStyle w:val="TableText"/>
            </w:pPr>
            <w:r>
              <w:rPr>
                <w:sz w:val="18"/>
                <w:szCs w:val="18"/>
              </w:rPr>
              <w:t xml:space="preserve">Moyenne</w:t>
            </w:r>
          </w:p>
        </w:tc>
      </w:tr>
      <w:tr>
        <w:trPr>
          <w:cantSplit/>
        </w:trPr>
        <w:tc>
          <w:tcPr>
            <w:tcW w:w="1606" w:type="dxa"/>
          </w:tcPr>
          <w:p>
            <w:pPr>
              <w:pStyle w:val="TableText"/>
            </w:pPr>
            <w:r>
              <w:rPr>
                <w:sz w:val="18"/>
                <w:szCs w:val="18"/>
              </w:rPr>
              <w:t xml:space="preserve">Rapports Excel</w:t>
            </w:r>
          </w:p>
        </w:tc>
        <w:tc>
          <w:tcPr>
            <w:tcW w:w="1977" w:type="dxa"/>
          </w:tcPr>
          <w:p>
            <w:pPr>
              <w:pStyle w:val="TableText"/>
            </w:pPr>
            <w:r>
              <w:rPr>
                <w:sz w:val="18"/>
                <w:szCs w:val="18"/>
              </w:rPr>
              <w:t xml:space="preserve">C:\HeptagonesLM\reports\</w:t>
            </w:r>
          </w:p>
        </w:tc>
        <w:tc>
          <w:tcPr>
            <w:tcW w:w="2718" w:type="dxa"/>
          </w:tcPr>
          <w:p>
            <w:pPr>
              <w:pStyle w:val="TableText"/>
            </w:pPr>
            <w:r>
              <w:rPr>
                <w:sz w:val="18"/>
                <w:szCs w:val="18"/>
              </w:rPr>
              <w:t xml:space="preserve">Sauvegarde fichiers</w:t>
            </w:r>
          </w:p>
        </w:tc>
        <w:tc>
          <w:tcPr>
            <w:tcW w:w="1853" w:type="dxa"/>
          </w:tcPr>
          <w:p>
            <w:pPr>
              <w:pStyle w:val="TableText"/>
            </w:pPr>
            <w:r>
              <w:rPr>
                <w:sz w:val="18"/>
                <w:szCs w:val="18"/>
              </w:rPr>
              <w:t xml:space="preserve">Mensuelle</w:t>
            </w:r>
          </w:p>
        </w:tc>
        <w:tc>
          <w:tcPr>
            <w:tcW w:w="1482" w:type="dxa"/>
          </w:tcPr>
          <w:p>
            <w:pPr>
              <w:pStyle w:val="TableText"/>
            </w:pPr>
            <w:r>
              <w:rPr>
                <w:sz w:val="18"/>
                <w:szCs w:val="18"/>
              </w:rPr>
              <w:t xml:space="preserve">Faible (régénérables)</w:t>
            </w:r>
          </w:p>
        </w:tc>
      </w:tr>
      <w:tr>
        <w:trPr>
          <w:cantSplit/>
        </w:trPr>
        <w:tc>
          <w:tcPr>
            <w:tcW w:w="1606" w:type="dxa"/>
            <w:shd w:val="clear" w:color="auto" w:fill="F4F7FC"/>
          </w:tcPr>
          <w:p>
            <w:pPr>
              <w:pStyle w:val="TableText"/>
            </w:pPr>
            <w:r>
              <w:rPr>
                <w:sz w:val="18"/>
                <w:szCs w:val="18"/>
              </w:rPr>
              <w:t xml:space="preserve">Journaux</w:t>
            </w:r>
          </w:p>
        </w:tc>
        <w:tc>
          <w:tcPr>
            <w:tcW w:w="1977" w:type="dxa"/>
            <w:shd w:val="clear" w:color="auto" w:fill="F4F7FC"/>
          </w:tcPr>
          <w:p>
            <w:pPr>
              <w:pStyle w:val="TableText"/>
            </w:pPr>
            <w:r>
              <w:rPr>
                <w:sz w:val="18"/>
                <w:szCs w:val="18"/>
              </w:rPr>
              <w:t xml:space="preserve">C:\HeptagonesLM\logs\</w:t>
            </w:r>
          </w:p>
        </w:tc>
        <w:tc>
          <w:tcPr>
            <w:tcW w:w="2718" w:type="dxa"/>
            <w:shd w:val="clear" w:color="auto" w:fill="F4F7FC"/>
          </w:tcPr>
          <w:p>
            <w:pPr>
              <w:pStyle w:val="TableText"/>
            </w:pPr>
            <w:r>
              <w:rPr>
                <w:sz w:val="18"/>
                <w:szCs w:val="18"/>
              </w:rPr>
              <w:t xml:space="preserve">SIEM ou sauvegarde fichiers</w:t>
            </w:r>
          </w:p>
        </w:tc>
        <w:tc>
          <w:tcPr>
            <w:tcW w:w="1853" w:type="dxa"/>
            <w:shd w:val="clear" w:color="auto" w:fill="F4F7FC"/>
          </w:tcPr>
          <w:p>
            <w:pPr>
              <w:pStyle w:val="TableText"/>
            </w:pPr>
            <w:r>
              <w:rPr>
                <w:sz w:val="18"/>
                <w:szCs w:val="18"/>
              </w:rPr>
              <w:t xml:space="preserve">Quotidienne</w:t>
            </w:r>
          </w:p>
        </w:tc>
        <w:tc>
          <w:tcPr>
            <w:tcW w:w="1482" w:type="dxa"/>
            <w:shd w:val="clear" w:color="auto" w:fill="F4F7FC"/>
          </w:tcPr>
          <w:p>
            <w:pPr>
              <w:pStyle w:val="TableText"/>
            </w:pPr>
            <w:r>
              <w:rPr>
                <w:sz w:val="18"/>
                <w:szCs w:val="18"/>
              </w:rPr>
              <w:t xml:space="preserve">Moyenne (audit)</w:t>
            </w:r>
          </w:p>
        </w:tc>
      </w:tr>
      <w:tr>
        <w:trPr>
          <w:cantSplit/>
        </w:trPr>
        <w:tc>
          <w:tcPr>
            <w:tcW w:w="1606" w:type="dxa"/>
          </w:tcPr>
          <w:p>
            <w:pPr>
              <w:pStyle w:val="TableText"/>
            </w:pPr>
            <w:r>
              <w:rPr>
                <w:sz w:val="18"/>
                <w:szCs w:val="18"/>
              </w:rPr>
              <w:t xml:space="preserve">Binaires</w:t>
            </w:r>
          </w:p>
        </w:tc>
        <w:tc>
          <w:tcPr>
            <w:tcW w:w="1977" w:type="dxa"/>
          </w:tcPr>
          <w:p>
            <w:pPr>
              <w:pStyle w:val="TableText"/>
            </w:pPr>
            <w:r>
              <w:rPr>
                <w:sz w:val="18"/>
                <w:szCs w:val="18"/>
              </w:rPr>
              <w:t xml:space="preserve">HeptagonesLM-Setup.exe (contient HeptagonesLM.exe)</w:t>
            </w:r>
          </w:p>
        </w:tc>
        <w:tc>
          <w:tcPr>
            <w:tcW w:w="2718" w:type="dxa"/>
          </w:tcPr>
          <w:p>
            <w:pPr>
              <w:pStyle w:val="TableText"/>
            </w:pPr>
            <w:r>
              <w:rPr>
                <w:sz w:val="18"/>
                <w:szCs w:val="18"/>
              </w:rPr>
              <w:t xml:space="preserve">Release GitHub (reconstructible)</w:t>
            </w:r>
          </w:p>
        </w:tc>
        <w:tc>
          <w:tcPr>
            <w:tcW w:w="1853" w:type="dxa"/>
          </w:tcPr>
          <w:p>
            <w:pPr>
              <w:pStyle w:val="TableText"/>
            </w:pPr>
            <w:r>
              <w:rPr>
                <w:sz w:val="18"/>
                <w:szCs w:val="18"/>
              </w:rPr>
              <w:t xml:space="preserve">—</w:t>
            </w:r>
          </w:p>
        </w:tc>
        <w:tc>
          <w:tcPr>
            <w:tcW w:w="1482" w:type="dxa"/>
          </w:tcPr>
          <w:p>
            <w:pPr>
              <w:pStyle w:val="TableText"/>
            </w:pPr>
            <w:r>
              <w:rPr>
                <w:sz w:val="18"/>
                <w:szCs w:val="18"/>
              </w:rPr>
              <w:t xml:space="preserve">Faible</w:t>
            </w:r>
          </w:p>
        </w:tc>
      </w:tr>
    </w:tbl>
    <w:p>
      <w:pPr>
        <w:spacing w:after="80"/>
      </w:pPr>
    </w:p>
    <w:p>
      <w:pPr>
        <w:pStyle w:val="Heading2"/>
      </w:pPr>
      <w:bookmarkStart w:id="125" w:name="_Toc00125"/>
      <w:r>
        <w:rPr/>
        <w:t xml:space="preserve">9.2 Politique de rétention</w:t>
      </w:r>
      <w:bookmarkEnd w:id="125"/>
    </w:p>
    <w:p>
      <w:pPr>
        <w:pStyle w:val="Caption"/>
        <w:keepNext/>
      </w:pPr>
      <w:r>
        <w:rPr/>
        <w:t xml:space="preserve">Tableau 26 – Rétention des données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579"/>
        <w:gridCol w:w="1376"/>
        <w:gridCol w:w="2478"/>
        <w:gridCol w:w="2202"/>
      </w:tblGrid>
      <w:tr>
        <w:trPr>
          <w:tblHeader/>
          <w:cantSplit/>
        </w:trPr>
        <w:tc>
          <w:tcPr>
            <w:tcW w:w="3579" w:type="dxa"/>
            <w:shd w:val="clear" w:color="auto" w:fill="2A78D6"/>
          </w:tcPr>
          <w:p>
            <w:pPr>
              <w:pStyle w:val="TableText"/>
            </w:pPr>
            <w:r>
              <w:rPr>
                <w:b/>
                <w:color w:val="FFFFFF"/>
                <w:sz w:val="18"/>
                <w:szCs w:val="18"/>
              </w:rPr>
              <w:t xml:space="preserve">Donnée</w:t>
            </w:r>
          </w:p>
        </w:tc>
        <w:tc>
          <w:tcPr>
            <w:tcW w:w="1376" w:type="dxa"/>
            <w:shd w:val="clear" w:color="auto" w:fill="2A78D6"/>
          </w:tcPr>
          <w:p>
            <w:pPr>
              <w:pStyle w:val="TableText"/>
            </w:pPr>
            <w:r>
              <w:rPr>
                <w:b/>
                <w:color w:val="FFFFFF"/>
                <w:sz w:val="18"/>
                <w:szCs w:val="18"/>
              </w:rPr>
              <w:t xml:space="preserve">Durée</w:t>
            </w:r>
          </w:p>
        </w:tc>
        <w:tc>
          <w:tcPr>
            <w:tcW w:w="2478" w:type="dxa"/>
            <w:shd w:val="clear" w:color="auto" w:fill="2A78D6"/>
          </w:tcPr>
          <w:p>
            <w:pPr>
              <w:pStyle w:val="TableText"/>
            </w:pPr>
            <w:r>
              <w:rPr>
                <w:b/>
                <w:color w:val="FFFFFF"/>
                <w:sz w:val="18"/>
                <w:szCs w:val="18"/>
              </w:rPr>
              <w:t xml:space="preserve">Paramètre</w:t>
            </w:r>
          </w:p>
        </w:tc>
        <w:tc>
          <w:tcPr>
            <w:tcW w:w="2202" w:type="dxa"/>
            <w:shd w:val="clear" w:color="auto" w:fill="2A78D6"/>
          </w:tcPr>
          <w:p>
            <w:pPr>
              <w:pStyle w:val="TableText"/>
            </w:pPr>
            <w:r>
              <w:rPr>
                <w:b/>
                <w:color w:val="FFFFFF"/>
                <w:sz w:val="18"/>
                <w:szCs w:val="18"/>
              </w:rPr>
              <w:t xml:space="preserve">Mécanisme</w:t>
            </w:r>
          </w:p>
        </w:tc>
      </w:tr>
      <w:tr>
        <w:trPr>
          <w:cantSplit/>
        </w:trPr>
        <w:tc>
          <w:tcPr>
            <w:tcW w:w="3579" w:type="dxa"/>
          </w:tcPr>
          <w:p>
            <w:pPr>
              <w:pStyle w:val="TableText"/>
            </w:pPr>
            <w:r>
              <w:rPr>
                <w:sz w:val="18"/>
                <w:szCs w:val="18"/>
              </w:rPr>
              <w:t xml:space="preserve">Sondages bruts (usage_snapshot)</w:t>
            </w:r>
          </w:p>
        </w:tc>
        <w:tc>
          <w:tcPr>
            <w:tcW w:w="1376" w:type="dxa"/>
          </w:tcPr>
          <w:p>
            <w:pPr>
              <w:pStyle w:val="TableText"/>
            </w:pPr>
            <w:r>
              <w:rPr>
                <w:sz w:val="18"/>
                <w:szCs w:val="18"/>
              </w:rPr>
              <w:t xml:space="preserve">90 jours</w:t>
            </w:r>
          </w:p>
        </w:tc>
        <w:tc>
          <w:tcPr>
            <w:tcW w:w="2478" w:type="dxa"/>
          </w:tcPr>
          <w:p>
            <w:pPr>
              <w:pStyle w:val="TableText"/>
            </w:pPr>
            <w:r>
              <w:rPr>
                <w:rFonts w:ascii="Consolas" w:hAnsi="Consolas" w:cs="Consolas"/>
                <w:color w:val="1C5CAB"/>
                <w:sz w:val="18"/>
                <w:szCs w:val="18"/>
                <w:shd w:val="clear" w:color="auto" w:fill="EEF3FA"/>
              </w:rPr>
              <w:t xml:space="preserve">retention.snapshots_days</w:t>
            </w:r>
          </w:p>
        </w:tc>
        <w:tc>
          <w:tcPr>
            <w:tcW w:w="2202" w:type="dxa"/>
          </w:tcPr>
          <w:p>
            <w:pPr>
              <w:pStyle w:val="TableText"/>
            </w:pPr>
            <w:r>
              <w:rPr>
                <w:sz w:val="18"/>
                <w:szCs w:val="18"/>
              </w:rPr>
              <w:t xml:space="preserve">Tâche Purge (hebdomadaire)</w:t>
            </w:r>
          </w:p>
        </w:tc>
      </w:tr>
      <w:tr>
        <w:trPr>
          <w:cantSplit/>
        </w:trPr>
        <w:tc>
          <w:tcPr>
            <w:tcW w:w="3579" w:type="dxa"/>
            <w:shd w:val="clear" w:color="auto" w:fill="F4F7FC"/>
          </w:tcPr>
          <w:p>
            <w:pPr>
              <w:pStyle w:val="TableText"/>
            </w:pPr>
            <w:r>
              <w:rPr>
                <w:sz w:val="18"/>
                <w:szCs w:val="18"/>
              </w:rPr>
              <w:t xml:space="preserve">Refus et évènements (license_event)</w:t>
            </w:r>
          </w:p>
        </w:tc>
        <w:tc>
          <w:tcPr>
            <w:tcW w:w="1376" w:type="dxa"/>
            <w:shd w:val="clear" w:color="auto" w:fill="F4F7FC"/>
          </w:tcPr>
          <w:p>
            <w:pPr>
              <w:pStyle w:val="TableText"/>
            </w:pPr>
            <w:r>
              <w:rPr>
                <w:sz w:val="18"/>
                <w:szCs w:val="18"/>
              </w:rPr>
              <w:t xml:space="preserve">730 jours</w:t>
            </w:r>
          </w:p>
        </w:tc>
        <w:tc>
          <w:tcPr>
            <w:tcW w:w="2478" w:type="dxa"/>
            <w:shd w:val="clear" w:color="auto" w:fill="F4F7FC"/>
          </w:tcPr>
          <w:p>
            <w:pPr>
              <w:pStyle w:val="TableText"/>
            </w:pPr>
            <w:r>
              <w:rPr>
                <w:rFonts w:ascii="Consolas" w:hAnsi="Consolas" w:cs="Consolas"/>
                <w:color w:val="1C5CAB"/>
                <w:sz w:val="18"/>
                <w:szCs w:val="18"/>
                <w:shd w:val="clear" w:color="auto" w:fill="EEF3FA"/>
              </w:rPr>
              <w:t xml:space="preserve">retention.events_days</w:t>
            </w:r>
          </w:p>
        </w:tc>
        <w:tc>
          <w:tcPr>
            <w:tcW w:w="2202" w:type="dxa"/>
            <w:shd w:val="clear" w:color="auto" w:fill="F4F7FC"/>
          </w:tcPr>
          <w:p>
            <w:pPr>
              <w:pStyle w:val="TableText"/>
            </w:pPr>
            <w:r>
              <w:rPr>
                <w:sz w:val="18"/>
                <w:szCs w:val="18"/>
              </w:rPr>
              <w:t xml:space="preserve">Tâche Purge</w:t>
            </w:r>
          </w:p>
        </w:tc>
      </w:tr>
      <w:tr>
        <w:trPr>
          <w:cantSplit/>
        </w:trPr>
        <w:tc>
          <w:tcPr>
            <w:tcW w:w="3579" w:type="dxa"/>
          </w:tcPr>
          <w:p>
            <w:pPr>
              <w:pStyle w:val="TableText"/>
            </w:pPr>
            <w:r>
              <w:rPr>
                <w:sz w:val="18"/>
                <w:szCs w:val="18"/>
              </w:rPr>
              <w:t xml:space="preserve">Journal des collectes (collection_run)</w:t>
            </w:r>
          </w:p>
        </w:tc>
        <w:tc>
          <w:tcPr>
            <w:tcW w:w="1376" w:type="dxa"/>
          </w:tcPr>
          <w:p>
            <w:pPr>
              <w:pStyle w:val="TableText"/>
            </w:pPr>
            <w:r>
              <w:rPr>
                <w:sz w:val="18"/>
                <w:szCs w:val="18"/>
              </w:rPr>
              <w:t xml:space="preserve">730 jours</w:t>
            </w:r>
          </w:p>
        </w:tc>
        <w:tc>
          <w:tcPr>
            <w:tcW w:w="2478" w:type="dxa"/>
          </w:tcPr>
          <w:p>
            <w:pPr>
              <w:pStyle w:val="TableText"/>
            </w:pPr>
            <w:r>
              <w:rPr>
                <w:rFonts w:ascii="Consolas" w:hAnsi="Consolas" w:cs="Consolas"/>
                <w:color w:val="1C5CAB"/>
                <w:sz w:val="18"/>
                <w:szCs w:val="18"/>
                <w:shd w:val="clear" w:color="auto" w:fill="EEF3FA"/>
              </w:rPr>
              <w:t xml:space="preserve">retention.events_days</w:t>
            </w:r>
          </w:p>
        </w:tc>
        <w:tc>
          <w:tcPr>
            <w:tcW w:w="2202" w:type="dxa"/>
          </w:tcPr>
          <w:p>
            <w:pPr>
              <w:pStyle w:val="TableText"/>
            </w:pPr>
            <w:r>
              <w:rPr>
                <w:sz w:val="18"/>
                <w:szCs w:val="18"/>
              </w:rPr>
              <w:t xml:space="preserve">Tâche Purge</w:t>
            </w:r>
          </w:p>
        </w:tc>
      </w:tr>
      <w:tr>
        <w:trPr>
          <w:cantSplit/>
        </w:trPr>
        <w:tc>
          <w:tcPr>
            <w:tcW w:w="3579" w:type="dxa"/>
            <w:shd w:val="clear" w:color="auto" w:fill="F4F7FC"/>
          </w:tcPr>
          <w:p>
            <w:pPr>
              <w:pStyle w:val="TableText"/>
            </w:pPr>
            <w:r>
              <w:rPr>
                <w:sz w:val="18"/>
                <w:szCs w:val="18"/>
              </w:rPr>
              <w:t xml:space="preserve">Agrégats horaires, sessions, référentiels</w:t>
            </w:r>
          </w:p>
        </w:tc>
        <w:tc>
          <w:tcPr>
            <w:tcW w:w="1376" w:type="dxa"/>
            <w:shd w:val="clear" w:color="auto" w:fill="F4F7FC"/>
          </w:tcPr>
          <w:p>
            <w:pPr>
              <w:pStyle w:val="TableText"/>
            </w:pPr>
            <w:r>
              <w:rPr>
                <w:sz w:val="18"/>
                <w:szCs w:val="18"/>
              </w:rPr>
              <w:t xml:space="preserve">Sans limite</w:t>
            </w:r>
          </w:p>
        </w:tc>
        <w:tc>
          <w:tcPr>
            <w:tcW w:w="2478" w:type="dxa"/>
            <w:shd w:val="clear" w:color="auto" w:fill="F4F7FC"/>
          </w:tcPr>
          <w:p>
            <w:pPr>
              <w:pStyle w:val="TableText"/>
            </w:pPr>
            <w:r>
              <w:rPr>
                <w:sz w:val="18"/>
                <w:szCs w:val="18"/>
              </w:rPr>
              <w:t xml:space="preserve">—</w:t>
            </w:r>
          </w:p>
        </w:tc>
        <w:tc>
          <w:tcPr>
            <w:tcW w:w="2202" w:type="dxa"/>
            <w:shd w:val="clear" w:color="auto" w:fill="F4F7FC"/>
          </w:tcPr>
          <w:p>
            <w:pPr>
              <w:pStyle w:val="TableText"/>
            </w:pPr>
            <w:r>
              <w:rPr>
                <w:sz w:val="18"/>
                <w:szCs w:val="18"/>
              </w:rPr>
              <w:t xml:space="preserve">Base des rapports historiques</w:t>
            </w:r>
          </w:p>
        </w:tc>
      </w:tr>
      <w:tr>
        <w:trPr>
          <w:cantSplit/>
        </w:trPr>
        <w:tc>
          <w:tcPr>
            <w:tcW w:w="3579" w:type="dxa"/>
          </w:tcPr>
          <w:p>
            <w:pPr>
              <w:pStyle w:val="TableText"/>
            </w:pPr>
            <w:r>
              <w:rPr>
                <w:sz w:val="18"/>
                <w:szCs w:val="18"/>
              </w:rPr>
              <w:t xml:space="preserve">Journal fichier heptagoneslm.log</w:t>
            </w:r>
          </w:p>
        </w:tc>
        <w:tc>
          <w:tcPr>
            <w:tcW w:w="1376" w:type="dxa"/>
          </w:tcPr>
          <w:p>
            <w:pPr>
              <w:pStyle w:val="TableText"/>
            </w:pPr>
            <w:r>
              <w:rPr>
                <w:sz w:val="18"/>
                <w:szCs w:val="18"/>
              </w:rPr>
              <w:t xml:space="preserve">5 × 5 Mo</w:t>
            </w:r>
          </w:p>
        </w:tc>
        <w:tc>
          <w:tcPr>
            <w:tcW w:w="2478" w:type="dxa"/>
          </w:tcPr>
          <w:p>
            <w:pPr>
              <w:pStyle w:val="TableText"/>
            </w:pPr>
            <w:r>
              <w:rPr>
                <w:sz w:val="18"/>
                <w:szCs w:val="18"/>
              </w:rPr>
              <w:t xml:space="preserve">—</w:t>
            </w:r>
          </w:p>
        </w:tc>
        <w:tc>
          <w:tcPr>
            <w:tcW w:w="2202" w:type="dxa"/>
          </w:tcPr>
          <w:p>
            <w:pPr>
              <w:pStyle w:val="TableText"/>
            </w:pPr>
            <w:r>
              <w:rPr>
                <w:sz w:val="18"/>
                <w:szCs w:val="18"/>
              </w:rPr>
              <w:t xml:space="preserve">Rotation automatique</w:t>
            </w:r>
          </w:p>
        </w:tc>
      </w:tr>
    </w:tbl>
    <w:p>
      <w:pPr>
        <w:spacing w:after="80"/>
      </w:pPr>
    </w:p>
    <w:tbl>
      <w:tblPr>
        <w:tblW w:w="9638" w:type="dxa"/>
        <w:tblInd w:w="0" w:type="dxa"/>
        <w:tblBorders>
          <w:left w:val="single" w:sz="24" w:color="E0A100"/>
        </w:tblBorders>
        <w:tblCellMar>
          <w:top w:w="100" w:type="dxa"/>
          <w:left w:w="180" w:type="dxa"/>
          <w:bottom w:w="100" w:type="dxa"/>
          <w:right w:w="180" w:type="dxa"/>
        </w:tblCellMar>
      </w:tblPr>
      <w:tblGrid>
        <w:gridCol w:w="9638"/>
      </w:tblGrid>
      <w:tr>
        <w:tc>
          <w:tcPr>
            <w:tcW w:w="9638" w:type="dxa"/>
            <w:shd w:val="clear" w:color="auto" w:fill="FFF8E6"/>
          </w:tcPr>
          <w:p>
            <w:pPr>
              <w:spacing w:before="0" w:after="0"/>
            </w:pPr>
            <w:r>
              <w:rPr>
                <w:b/>
                <w:color w:val="E0A100"/>
              </w:rPr>
              <w:t xml:space="preserve">Attention — </w:t>
            </w:r>
            <w:r>
              <w:rPr/>
              <w:t xml:space="preserve">Les sessions contiennent des données nominatives conservées sans limite par défaut. Définir avec le DPO une durée adaptée (par exemple 3 ans) et, si nécessaire, une purge complémentaire (annexe C).</w:t>
            </w:r>
          </w:p>
        </w:tc>
      </w:tr>
    </w:tbl>
    <w:p>
      <w:pPr>
        <w:spacing w:after="60"/>
      </w:pPr>
    </w:p>
    <w:p>
      <w:pPr>
        <w:pStyle w:val="Heading2"/>
      </w:pPr>
      <w:bookmarkStart w:id="126" w:name="_Toc00126"/>
      <w:r>
        <w:rPr/>
        <w:t xml:space="preserve">9.3 Procédure de sauvegarde SQL</w:t>
      </w:r>
      <w:bookmarkEnd w:id="126"/>
    </w:p>
    <w:p>
      <w:pPr>
        <w:pStyle w:val="Code"/>
      </w:pPr>
      <w:r>
        <w:t xml:space="preserve">BACKUP DATABASE HeptagonesLM TO DISK = N'\\srv-backup\sql\HeptagonesLM_$(ESCAPE_SQUOTE(DATE)).bak'</w:t>
      </w:r>
    </w:p>
    <w:p>
      <w:pPr>
        <w:pStyle w:val="Code"/>
      </w:pPr>
      <w:r>
        <w:t xml:space="preserve">  WITH COMPRESSION, CHECKSUM, INIT;</w:t>
      </w:r>
    </w:p>
    <w:p>
      <w:pPr/>
      <w:r>
        <w:rPr/>
        <w:t xml:space="preserve">En pratique, intégrer la base au plan de maintenance ou à l'outil de sauvegarde de l'instance.</w:t>
      </w:r>
    </w:p>
    <w:p>
      <w:pPr>
        <w:pStyle w:val="Heading2"/>
      </w:pPr>
      <w:bookmarkStart w:id="127" w:name="_Toc00127"/>
      <w:r>
        <w:rPr/>
        <w:t xml:space="preserve">9.4 Procédure de restauration</w:t>
      </w:r>
      <w:bookmarkEnd w:id="127"/>
    </w:p>
    <w:p>
      <w:pPr>
        <w:pStyle w:val="ListParagraph"/>
        <w:numPr>
          <w:ilvl w:val="0"/>
          <w:numId w:val="8"/>
        </w:numPr>
      </w:pPr>
      <w:r>
        <w:rPr/>
        <w:t xml:space="preserve">Désactiver les tâches HeptagonesLM (§ 7.2).</w:t>
      </w:r>
    </w:p>
    <w:p>
      <w:pPr>
        <w:pStyle w:val="ListParagraph"/>
        <w:numPr>
          <w:ilvl w:val="0"/>
          <w:numId w:val="8"/>
        </w:numPr>
      </w:pPr>
      <w:r>
        <w:rPr/>
        <w:t xml:space="preserve">Restaurer la base : </w:t>
      </w:r>
      <w:r>
        <w:rPr>
          <w:rFonts w:ascii="Consolas" w:hAnsi="Consolas" w:cs="Consolas"/>
          <w:color w:val="1C5CAB"/>
          <w:sz w:val="18"/>
          <w:szCs w:val="18"/>
          <w:shd w:val="clear" w:color="auto" w:fill="EEF3FA"/>
        </w:rPr>
        <w:t xml:space="preserve">RESTORE DATABASE HeptagonesLM FROM DISK = N'…HeptagonesLM_AAAAMMJJ.bak' WITH REPLACE;</w:t>
      </w:r>
    </w:p>
    <w:p>
      <w:pPr>
        <w:pStyle w:val="ListParagraph"/>
        <w:numPr>
          <w:ilvl w:val="0"/>
          <w:numId w:val="8"/>
        </w:numPr>
      </w:pPr>
      <w:r>
        <w:rPr/>
        <w:t xml:space="preserve">Recréer l'utilisateur du compte de service si l'instance est différente (script </w:t>
      </w:r>
      <w:r>
        <w:rPr>
          <w:rFonts w:ascii="Consolas" w:hAnsi="Consolas" w:cs="Consolas"/>
          <w:color w:val="1C5CAB"/>
          <w:sz w:val="18"/>
          <w:szCs w:val="18"/>
          <w:shd w:val="clear" w:color="auto" w:fill="EEF3FA"/>
        </w:rPr>
        <w:t xml:space="preserve">00_create_database.sql</w:t>
      </w:r>
      <w:r>
        <w:rPr/>
        <w:t xml:space="preserve">).</w:t>
      </w:r>
    </w:p>
    <w:p>
      <w:pPr>
        <w:pStyle w:val="ListParagraph"/>
        <w:numPr>
          <w:ilvl w:val="0"/>
          <w:numId w:val="8"/>
        </w:numPr>
      </w:pPr>
      <w:r>
        <w:rPr/>
        <w:t xml:space="preserve">Si la sauvegarde provient d'une version antérieure de HeptagonesLM : attribuer db_ddladmin puis exécuter </w:t>
      </w:r>
      <w:r>
        <w:rPr>
          <w:rFonts w:ascii="Consolas" w:hAnsi="Consolas" w:cs="Consolas"/>
          <w:color w:val="1C5CAB"/>
          <w:sz w:val="18"/>
          <w:szCs w:val="18"/>
          <w:shd w:val="clear" w:color="auto" w:fill="EEF3FA"/>
        </w:rPr>
        <w:t xml:space="preserve">init-db</w:t>
      </w:r>
      <w:r>
        <w:rPr/>
        <w:t xml:space="preserve"> (mise à niveau du schéma), puis retirer le droit.</w:t>
      </w:r>
    </w:p>
    <w:p>
      <w:pPr>
        <w:pStyle w:val="ListParagraph"/>
        <w:numPr>
          <w:ilvl w:val="0"/>
          <w:numId w:val="8"/>
        </w:numPr>
      </w:pPr>
      <w:r>
        <w:rPr/>
        <w:t xml:space="preserve">Réactiver les tâches ; vérifier le badge « Collectes OK » et la vue Collectes.</w:t>
      </w:r>
    </w:p>
    <w:p>
      <w:pPr>
        <w:pStyle w:val="ListParagraph"/>
        <w:numPr>
          <w:ilvl w:val="0"/>
          <w:numId w:val="8"/>
        </w:numPr>
      </w:pPr>
      <w:r>
        <w:rPr/>
        <w:t xml:space="preserve">La période entre la sauvegarde et la restauration reste sans données lmstat ; les logs debug sont relus depuis l'offset sauvegardé.</w:t>
      </w:r>
    </w:p>
    <w:p>
      <w:pPr>
        <w:pStyle w:val="Heading2"/>
      </w:pPr>
      <w:bookmarkStart w:id="128" w:name="_Toc00128"/>
      <w:r>
        <w:rPr/>
        <w:t xml:space="preserve">9.5 Purge manuelle</w:t>
      </w:r>
      <w:bookmarkEnd w:id="128"/>
    </w:p>
    <w:p>
      <w:pPr>
        <w:pStyle w:val="Code"/>
      </w:pPr>
      <w:r>
        <w:t xml:space="preserve">.\HeptagonesLM.exe -c heptagoneslm.yaml purge</w:t>
      </w:r>
    </w:p>
    <w:p>
      <w:pPr/>
      <w:r>
        <w:rPr/>
        <w:t xml:space="preserve">La commande affiche le nombre de lignes supprimées par table. Elle peut être lancée à tout moment.</w:t>
      </w:r>
    </w:p>
    <w:p>
      <w:pPr>
        <w:pStyle w:val="Heading1"/>
      </w:pPr>
      <w:bookmarkStart w:id="129" w:name="_Toc00129"/>
      <w:r>
        <w:rPr/>
        <w:t xml:space="preserve">10. Sécurité</w:t>
      </w:r>
      <w:bookmarkEnd w:id="129"/>
    </w:p>
    <w:p>
      <w:pPr>
        <w:pStyle w:val="Heading2"/>
      </w:pPr>
      <w:bookmarkStart w:id="130" w:name="_Toc00130"/>
      <w:r>
        <w:rPr/>
        <w:t xml:space="preserve">10.1 Principes</w:t>
      </w:r>
      <w:bookmarkEnd w:id="130"/>
    </w:p>
    <w:p>
      <w:pPr>
        <w:pStyle w:val="ListParagraph"/>
        <w:numPr>
          <w:ilvl w:val="0"/>
          <w:numId w:val="9"/>
        </w:numPr>
      </w:pPr>
      <w:r>
        <w:rPr>
          <w:b/>
        </w:rPr>
        <w:t xml:space="preserve">Lecture seule</w:t>
      </w:r>
      <w:r>
        <w:rPr/>
        <w:t xml:space="preserve"> : l'interface ne permet aucune modification ; la configuration se fait uniquement sur le serveur.</w:t>
      </w:r>
    </w:p>
    <w:p>
      <w:pPr>
        <w:pStyle w:val="ListParagraph"/>
        <w:numPr>
          <w:ilvl w:val="0"/>
          <w:numId w:val="9"/>
        </w:numPr>
      </w:pPr>
      <w:r>
        <w:rPr>
          <w:b/>
        </w:rPr>
        <w:t xml:space="preserve">Moindre privilège</w:t>
      </w:r>
      <w:r>
        <w:rPr/>
        <w:t xml:space="preserve"> : compte de service dédié non administrateur, droits SQL limités, db_ddladmin temporaire.</w:t>
      </w:r>
    </w:p>
    <w:p>
      <w:pPr>
        <w:pStyle w:val="ListParagraph"/>
        <w:numPr>
          <w:ilvl w:val="0"/>
          <w:numId w:val="9"/>
        </w:numPr>
      </w:pPr>
      <w:r>
        <w:rPr>
          <w:b/>
        </w:rPr>
        <w:t xml:space="preserve">Défense en profondeur</w:t>
      </w:r>
      <w:r>
        <w:rPr/>
        <w:t xml:space="preserve"> : écoute locale par défaut, HTTPS obligatoire pour la connexion AD sur le réseau, contrôle de l'en-tête Host, délais et plafond de connexions.</w:t>
      </w:r>
    </w:p>
    <w:p>
      <w:pPr>
        <w:pStyle w:val="ListParagraph"/>
        <w:numPr>
          <w:ilvl w:val="0"/>
          <w:numId w:val="9"/>
        </w:numPr>
      </w:pPr>
      <w:r>
        <w:rPr>
          <w:b/>
        </w:rPr>
        <w:t xml:space="preserve">Aucun secret dans la configuration</w:t>
      </w:r>
      <w:r>
        <w:rPr/>
        <w:t xml:space="preserve"> : mots de passe dans des variables d'environnement ; mot de passe ou jetons de l'outil ITSM chiffrés par Windows (DPAPI, portée machine) dans secrets\, lisibles seulement par SYSTEM, les administrateurs et le compte de service ; gMSA recommandé.</w:t>
      </w:r>
    </w:p>
    <w:p>
      <w:pPr>
        <w:pStyle w:val="Heading2"/>
      </w:pPr>
      <w:bookmarkStart w:id="131" w:name="_Toc00131"/>
      <w:r>
        <w:rPr/>
        <w:t xml:space="preserve">10.2 Authentification et habilitations</w:t>
      </w:r>
      <w:bookmarkEnd w:id="131"/>
    </w:p>
    <w:p>
      <w:pPr>
        <w:pStyle w:val="Caption"/>
        <w:keepNext/>
      </w:pPr>
      <w:r>
        <w:rPr/>
        <w:t xml:space="preserve">Tableau 27 – Modes d'authentification</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239"/>
        <w:gridCol w:w="2478"/>
        <w:gridCol w:w="3442"/>
        <w:gridCol w:w="2478"/>
      </w:tblGrid>
      <w:tr>
        <w:trPr>
          <w:tblHeader/>
          <w:cantSplit/>
        </w:trPr>
        <w:tc>
          <w:tcPr>
            <w:tcW w:w="1239" w:type="dxa"/>
            <w:shd w:val="clear" w:color="auto" w:fill="2A78D6"/>
          </w:tcPr>
          <w:p>
            <w:pPr>
              <w:pStyle w:val="TableText"/>
            </w:pPr>
            <w:r>
              <w:rPr>
                <w:b/>
                <w:color w:val="FFFFFF"/>
                <w:sz w:val="18"/>
                <w:szCs w:val="18"/>
              </w:rPr>
              <w:t xml:space="preserve">Mode</w:t>
            </w:r>
          </w:p>
        </w:tc>
        <w:tc>
          <w:tcPr>
            <w:tcW w:w="2478" w:type="dxa"/>
            <w:shd w:val="clear" w:color="auto" w:fill="2A78D6"/>
          </w:tcPr>
          <w:p>
            <w:pPr>
              <w:pStyle w:val="TableText"/>
            </w:pPr>
            <w:r>
              <w:rPr>
                <w:b/>
                <w:color w:val="FFFFFF"/>
                <w:sz w:val="18"/>
                <w:szCs w:val="18"/>
              </w:rPr>
              <w:t xml:space="preserve">Expérience</w:t>
            </w:r>
          </w:p>
        </w:tc>
        <w:tc>
          <w:tcPr>
            <w:tcW w:w="3442" w:type="dxa"/>
            <w:shd w:val="clear" w:color="auto" w:fill="2A78D6"/>
          </w:tcPr>
          <w:p>
            <w:pPr>
              <w:pStyle w:val="TableText"/>
            </w:pPr>
            <w:r>
              <w:rPr>
                <w:b/>
                <w:color w:val="FFFFFF"/>
                <w:sz w:val="18"/>
                <w:szCs w:val="18"/>
              </w:rPr>
              <w:t xml:space="preserve">Mise en œuvre</w:t>
            </w:r>
          </w:p>
        </w:tc>
        <w:tc>
          <w:tcPr>
            <w:tcW w:w="2478" w:type="dxa"/>
            <w:shd w:val="clear" w:color="auto" w:fill="2A78D6"/>
          </w:tcPr>
          <w:p>
            <w:pPr>
              <w:pStyle w:val="TableText"/>
            </w:pPr>
            <w:r>
              <w:rPr>
                <w:b/>
                <w:color w:val="FFFFFF"/>
                <w:sz w:val="18"/>
                <w:szCs w:val="18"/>
              </w:rPr>
              <w:t xml:space="preserve">Usage</w:t>
            </w:r>
          </w:p>
        </w:tc>
      </w:tr>
      <w:tr>
        <w:trPr>
          <w:cantSplit/>
        </w:trPr>
        <w:tc>
          <w:tcPr>
            <w:tcW w:w="1239" w:type="dxa"/>
          </w:tcPr>
          <w:p>
            <w:pPr>
              <w:pStyle w:val="TableText"/>
            </w:pPr>
            <w:r>
              <w:rPr>
                <w:sz w:val="18"/>
                <w:szCs w:val="18"/>
              </w:rPr>
              <w:t xml:space="preserve">none</w:t>
            </w:r>
          </w:p>
        </w:tc>
        <w:tc>
          <w:tcPr>
            <w:tcW w:w="2478" w:type="dxa"/>
          </w:tcPr>
          <w:p>
            <w:pPr>
              <w:pStyle w:val="TableText"/>
            </w:pPr>
            <w:r>
              <w:rPr>
                <w:sz w:val="18"/>
                <w:szCs w:val="18"/>
              </w:rPr>
              <w:t xml:space="preserve">Aucune connexion</w:t>
            </w:r>
          </w:p>
        </w:tc>
        <w:tc>
          <w:tcPr>
            <w:tcW w:w="3442" w:type="dxa"/>
          </w:tcPr>
          <w:p>
            <w:pPr>
              <w:pStyle w:val="TableText"/>
            </w:pPr>
            <w:r>
              <w:rPr>
                <w:sz w:val="18"/>
                <w:szCs w:val="18"/>
              </w:rPr>
              <w:t xml:space="preserve">Écoute sur le poste local uniquement</w:t>
            </w:r>
          </w:p>
        </w:tc>
        <w:tc>
          <w:tcPr>
            <w:tcW w:w="2478" w:type="dxa"/>
          </w:tcPr>
          <w:p>
            <w:pPr>
              <w:pStyle w:val="TableText"/>
            </w:pPr>
            <w:r>
              <w:rPr>
                <w:sz w:val="18"/>
                <w:szCs w:val="18"/>
              </w:rPr>
              <w:t xml:space="preserve">Poste d'administration, essais</w:t>
            </w:r>
          </w:p>
        </w:tc>
      </w:tr>
      <w:tr>
        <w:trPr>
          <w:cantSplit/>
        </w:trPr>
        <w:tc>
          <w:tcPr>
            <w:tcW w:w="1239" w:type="dxa"/>
            <w:shd w:val="clear" w:color="auto" w:fill="F4F7FC"/>
          </w:tcPr>
          <w:p>
            <w:pPr>
              <w:pStyle w:val="TableText"/>
            </w:pPr>
            <w:r>
              <w:rPr>
                <w:sz w:val="18"/>
                <w:szCs w:val="18"/>
              </w:rPr>
              <w:t xml:space="preserve">ldap</w:t>
            </w:r>
          </w:p>
        </w:tc>
        <w:tc>
          <w:tcPr>
            <w:tcW w:w="2478" w:type="dxa"/>
            <w:shd w:val="clear" w:color="auto" w:fill="F4F7FC"/>
          </w:tcPr>
          <w:p>
            <w:pPr>
              <w:pStyle w:val="TableText"/>
            </w:pPr>
            <w:r>
              <w:rPr>
                <w:sz w:val="18"/>
                <w:szCs w:val="18"/>
              </w:rPr>
              <w:t xml:space="preserve">Identifiant et mot de passe Windows</w:t>
            </w:r>
          </w:p>
        </w:tc>
        <w:tc>
          <w:tcPr>
            <w:tcW w:w="3442" w:type="dxa"/>
            <w:shd w:val="clear" w:color="auto" w:fill="F4F7FC"/>
          </w:tcPr>
          <w:p>
            <w:pPr>
              <w:pStyle w:val="TableText"/>
            </w:pPr>
            <w:r>
              <w:rPr>
                <w:sz w:val="18"/>
                <w:szCs w:val="18"/>
              </w:rPr>
              <w:t xml:space="preserve">LDAPS vers les DC, HTTPS, groupe autorisé</w:t>
            </w:r>
          </w:p>
        </w:tc>
        <w:tc>
          <w:tcPr>
            <w:tcW w:w="2478" w:type="dxa"/>
            <w:shd w:val="clear" w:color="auto" w:fill="F4F7FC"/>
          </w:tcPr>
          <w:p>
            <w:pPr>
              <w:pStyle w:val="TableText"/>
            </w:pPr>
            <w:r>
              <w:rPr>
                <w:sz w:val="18"/>
                <w:szCs w:val="18"/>
              </w:rPr>
              <w:t xml:space="preserve">Recommandé en production</w:t>
            </w:r>
          </w:p>
        </w:tc>
      </w:tr>
      <w:tr>
        <w:trPr>
          <w:cantSplit/>
        </w:trPr>
        <w:tc>
          <w:tcPr>
            <w:tcW w:w="1239" w:type="dxa"/>
          </w:tcPr>
          <w:p>
            <w:pPr>
              <w:pStyle w:val="TableText"/>
            </w:pPr>
            <w:r>
              <w:rPr>
                <w:sz w:val="18"/>
                <w:szCs w:val="18"/>
              </w:rPr>
              <w:t xml:space="preserve">header</w:t>
            </w:r>
          </w:p>
        </w:tc>
        <w:tc>
          <w:tcPr>
            <w:tcW w:w="2478" w:type="dxa"/>
          </w:tcPr>
          <w:p>
            <w:pPr>
              <w:pStyle w:val="TableText"/>
            </w:pPr>
            <w:r>
              <w:rPr>
                <w:sz w:val="18"/>
                <w:szCs w:val="18"/>
              </w:rPr>
              <w:t xml:space="preserve">Aucune saisie (SSO)</w:t>
            </w:r>
          </w:p>
        </w:tc>
        <w:tc>
          <w:tcPr>
            <w:tcW w:w="3442" w:type="dxa"/>
          </w:tcPr>
          <w:p>
            <w:pPr>
              <w:pStyle w:val="TableText"/>
            </w:pPr>
            <w:r>
              <w:rPr>
                <w:sz w:val="18"/>
                <w:szCs w:val="18"/>
              </w:rPr>
              <w:t xml:space="preserve">IIS en frontal avec authentification Windows</w:t>
            </w:r>
          </w:p>
        </w:tc>
        <w:tc>
          <w:tcPr>
            <w:tcW w:w="2478" w:type="dxa"/>
          </w:tcPr>
          <w:p>
            <w:pPr>
              <w:pStyle w:val="TableText"/>
            </w:pPr>
            <w:r>
              <w:rPr>
                <w:sz w:val="18"/>
                <w:szCs w:val="18"/>
              </w:rPr>
              <w:t xml:space="preserve">Exposition large, SSO souhaité</w:t>
            </w:r>
          </w:p>
        </w:tc>
      </w:tr>
    </w:tbl>
    <w:p>
      <w:pPr>
        <w:spacing w:after="80"/>
      </w:pPr>
    </w:p>
    <w:p>
      <w:pPr/>
      <w:r>
        <w:rPr/>
        <w:t xml:space="preserve">Tout utilisateur authentifié et autorisé voit l'ensemble des données (pas de droits par service dans cette version). L'habilitation se gère donc par l'appartenance au groupe AD </w:t>
      </w:r>
      <w:r>
        <w:rPr>
          <w:rFonts w:ascii="Consolas" w:hAnsi="Consolas" w:cs="Consolas"/>
          <w:color w:val="1C5CAB"/>
          <w:sz w:val="18"/>
          <w:szCs w:val="18"/>
          <w:shd w:val="clear" w:color="auto" w:fill="EEF3FA"/>
        </w:rPr>
        <w:t xml:space="preserve">allowed_groups</w:t>
      </w:r>
      <w:r>
        <w:rPr/>
        <w:t xml:space="preserve">.</w:t>
      </w:r>
    </w:p>
    <w:p>
      <w:pPr>
        <w:pStyle w:val="Heading2"/>
      </w:pPr>
      <w:bookmarkStart w:id="132" w:name="_Toc00132"/>
      <w:r>
        <w:rPr/>
        <w:t xml:space="preserve">10.3 Chiffrement</w:t>
      </w:r>
      <w:bookmarkEnd w:id="132"/>
    </w:p>
    <w:p>
      <w:pPr>
        <w:pStyle w:val="Caption"/>
        <w:keepNext/>
      </w:pPr>
      <w:r>
        <w:rPr/>
        <w:t xml:space="preserve">Tableau 28 – Chiffrement des flux</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753"/>
        <w:gridCol w:w="6884"/>
      </w:tblGrid>
      <w:tr>
        <w:trPr>
          <w:tblHeader/>
          <w:cantSplit/>
        </w:trPr>
        <w:tc>
          <w:tcPr>
            <w:tcW w:w="2753" w:type="dxa"/>
            <w:shd w:val="clear" w:color="auto" w:fill="2A78D6"/>
          </w:tcPr>
          <w:p>
            <w:pPr>
              <w:pStyle w:val="TableText"/>
            </w:pPr>
            <w:r>
              <w:rPr>
                <w:b/>
                <w:color w:val="FFFFFF"/>
                <w:sz w:val="18"/>
                <w:szCs w:val="18"/>
              </w:rPr>
              <w:t xml:space="preserve">Flux</w:t>
            </w:r>
          </w:p>
        </w:tc>
        <w:tc>
          <w:tcPr>
            <w:tcW w:w="6884" w:type="dxa"/>
            <w:shd w:val="clear" w:color="auto" w:fill="2A78D6"/>
          </w:tcPr>
          <w:p>
            <w:pPr>
              <w:pStyle w:val="TableText"/>
            </w:pPr>
            <w:r>
              <w:rPr>
                <w:b/>
                <w:color w:val="FFFFFF"/>
                <w:sz w:val="18"/>
                <w:szCs w:val="18"/>
              </w:rPr>
              <w:t xml:space="preserve">Protection</w:t>
            </w:r>
          </w:p>
        </w:tc>
      </w:tr>
      <w:tr>
        <w:trPr>
          <w:cantSplit/>
        </w:trPr>
        <w:tc>
          <w:tcPr>
            <w:tcW w:w="2753" w:type="dxa"/>
          </w:tcPr>
          <w:p>
            <w:pPr>
              <w:pStyle w:val="TableText"/>
            </w:pPr>
            <w:r>
              <w:rPr>
                <w:sz w:val="18"/>
                <w:szCs w:val="18"/>
              </w:rPr>
              <w:t xml:space="preserve">Navigateur → HeptagonesLM</w:t>
            </w:r>
          </w:p>
        </w:tc>
        <w:tc>
          <w:tcPr>
            <w:tcW w:w="6884" w:type="dxa"/>
          </w:tcPr>
          <w:p>
            <w:pPr>
              <w:pStyle w:val="TableText"/>
            </w:pPr>
            <w:r>
              <w:rPr>
                <w:sz w:val="18"/>
                <w:szCs w:val="18"/>
              </w:rPr>
              <w:t xml:space="preserve">HTTPS (TLS) avec certificat d'entreprise ; cookie de session </w:t>
            </w:r>
            <w:r>
              <w:rPr>
                <w:rFonts w:ascii="Consolas" w:hAnsi="Consolas" w:cs="Consolas"/>
                <w:color w:val="1C5CAB"/>
                <w:sz w:val="18"/>
                <w:szCs w:val="18"/>
                <w:shd w:val="clear" w:color="auto" w:fill="EEF3FA"/>
              </w:rPr>
              <w:t xml:space="preserve">HttpOnly</w:t>
            </w:r>
            <w:r>
              <w:rPr>
                <w:sz w:val="18"/>
                <w:szCs w:val="18"/>
              </w:rPr>
              <w:t xml:space="preserve">, </w:t>
            </w:r>
            <w:r>
              <w:rPr>
                <w:rFonts w:ascii="Consolas" w:hAnsi="Consolas" w:cs="Consolas"/>
                <w:color w:val="1C5CAB"/>
                <w:sz w:val="18"/>
                <w:szCs w:val="18"/>
                <w:shd w:val="clear" w:color="auto" w:fill="EEF3FA"/>
              </w:rPr>
              <w:t xml:space="preserve">Secure</w:t>
            </w:r>
            <w:r>
              <w:rPr>
                <w:sz w:val="18"/>
                <w:szCs w:val="18"/>
              </w:rPr>
              <w:t xml:space="preserve">, </w:t>
            </w:r>
            <w:r>
              <w:rPr>
                <w:rFonts w:ascii="Consolas" w:hAnsi="Consolas" w:cs="Consolas"/>
                <w:color w:val="1C5CAB"/>
                <w:sz w:val="18"/>
                <w:szCs w:val="18"/>
                <w:shd w:val="clear" w:color="auto" w:fill="EEF3FA"/>
              </w:rPr>
              <w:t xml:space="preserve">SameSite</w:t>
            </w:r>
          </w:p>
        </w:tc>
      </w:tr>
      <w:tr>
        <w:trPr>
          <w:cantSplit/>
        </w:trPr>
        <w:tc>
          <w:tcPr>
            <w:tcW w:w="2753" w:type="dxa"/>
            <w:shd w:val="clear" w:color="auto" w:fill="F4F7FC"/>
          </w:tcPr>
          <w:p>
            <w:pPr>
              <w:pStyle w:val="TableText"/>
            </w:pPr>
            <w:r>
              <w:rPr>
                <w:sz w:val="18"/>
                <w:szCs w:val="18"/>
              </w:rPr>
              <w:t xml:space="preserve">HeptagonesLM → Active Directory</w:t>
            </w:r>
          </w:p>
        </w:tc>
        <w:tc>
          <w:tcPr>
            <w:tcW w:w="6884" w:type="dxa"/>
            <w:shd w:val="clear" w:color="auto" w:fill="F4F7FC"/>
          </w:tcPr>
          <w:p>
            <w:pPr>
              <w:pStyle w:val="TableText"/>
            </w:pPr>
            <w:r>
              <w:rPr>
                <w:sz w:val="18"/>
                <w:szCs w:val="18"/>
              </w:rPr>
              <w:t xml:space="preserve">LDAPS (636) ou STARTTLS vérifié avant l'envoi du mot de passe ; certificat validé</w:t>
            </w:r>
          </w:p>
        </w:tc>
      </w:tr>
      <w:tr>
        <w:trPr>
          <w:cantSplit/>
        </w:trPr>
        <w:tc>
          <w:tcPr>
            <w:tcW w:w="2753" w:type="dxa"/>
          </w:tcPr>
          <w:p>
            <w:pPr>
              <w:pStyle w:val="TableText"/>
            </w:pPr>
            <w:r>
              <w:rPr>
                <w:sz w:val="18"/>
                <w:szCs w:val="18"/>
              </w:rPr>
              <w:t xml:space="preserve">HeptagonesLM → SQL Server</w:t>
            </w:r>
          </w:p>
        </w:tc>
        <w:tc>
          <w:tcPr>
            <w:tcW w:w="6884" w:type="dxa"/>
          </w:tcPr>
          <w:p>
            <w:pPr>
              <w:pStyle w:val="TableText"/>
            </w:pPr>
            <w:r>
              <w:rPr>
                <w:rFonts w:ascii="Consolas" w:hAnsi="Consolas" w:cs="Consolas"/>
                <w:color w:val="1C5CAB"/>
                <w:sz w:val="18"/>
                <w:szCs w:val="18"/>
                <w:shd w:val="clear" w:color="auto" w:fill="EEF3FA"/>
              </w:rPr>
              <w:t xml:space="preserve">Encrypt=yes</w:t>
            </w:r>
            <w:r>
              <w:rPr>
                <w:sz w:val="18"/>
                <w:szCs w:val="18"/>
              </w:rPr>
              <w:t xml:space="preserve"> avec validation du certificat (avertissement si </w:t>
            </w:r>
            <w:r>
              <w:rPr>
                <w:rFonts w:ascii="Consolas" w:hAnsi="Consolas" w:cs="Consolas"/>
                <w:color w:val="1C5CAB"/>
                <w:sz w:val="18"/>
                <w:szCs w:val="18"/>
                <w:shd w:val="clear" w:color="auto" w:fill="EEF3FA"/>
              </w:rPr>
              <w:t xml:space="preserve">TrustServerCertificate=yes</w:t>
            </w:r>
            <w:r>
              <w:rPr>
                <w:sz w:val="18"/>
                <w:szCs w:val="18"/>
              </w:rPr>
              <w:t xml:space="preserve">)</w:t>
            </w:r>
          </w:p>
        </w:tc>
      </w:tr>
      <w:tr>
        <w:trPr>
          <w:cantSplit/>
        </w:trPr>
        <w:tc>
          <w:tcPr>
            <w:tcW w:w="2753" w:type="dxa"/>
            <w:shd w:val="clear" w:color="auto" w:fill="F4F7FC"/>
          </w:tcPr>
          <w:p>
            <w:pPr>
              <w:pStyle w:val="TableText"/>
            </w:pPr>
            <w:r>
              <w:rPr>
                <w:sz w:val="18"/>
                <w:szCs w:val="18"/>
              </w:rPr>
              <w:t xml:space="preserve">HeptagonesLM → SMTP</w:t>
            </w:r>
          </w:p>
        </w:tc>
        <w:tc>
          <w:tcPr>
            <w:tcW w:w="6884" w:type="dxa"/>
            <w:shd w:val="clear" w:color="auto" w:fill="F4F7FC"/>
          </w:tcPr>
          <w:p>
            <w:pPr>
              <w:pStyle w:val="TableText"/>
            </w:pPr>
            <w:r>
              <w:rPr>
                <w:sz w:val="18"/>
                <w:szCs w:val="18"/>
              </w:rPr>
              <w:t xml:space="preserve">STARTTLS ou SSL ; authentification refusée sans chiffrement</w:t>
            </w:r>
          </w:p>
        </w:tc>
      </w:tr>
      <w:tr>
        <w:trPr>
          <w:cantSplit/>
        </w:trPr>
        <w:tc>
          <w:tcPr>
            <w:tcW w:w="2753" w:type="dxa"/>
          </w:tcPr>
          <w:p>
            <w:pPr>
              <w:pStyle w:val="TableText"/>
            </w:pPr>
            <w:r>
              <w:rPr>
                <w:sz w:val="18"/>
                <w:szCs w:val="18"/>
              </w:rPr>
              <w:t xml:space="preserve">HeptagonesLM → serveurs de licences</w:t>
            </w:r>
          </w:p>
        </w:tc>
        <w:tc>
          <w:tcPr>
            <w:tcW w:w="6884" w:type="dxa"/>
          </w:tcPr>
          <w:p>
            <w:pPr>
              <w:pStyle w:val="TableText"/>
            </w:pPr>
            <w:r>
              <w:rPr>
                <w:sz w:val="18"/>
                <w:szCs w:val="18"/>
              </w:rPr>
              <w:t xml:space="preserve">Protocole FlexLM (non chiffré, ne transporte pas de secret)</w:t>
            </w:r>
          </w:p>
        </w:tc>
      </w:tr>
    </w:tbl>
    <w:p>
      <w:pPr>
        <w:spacing w:after="80"/>
      </w:pPr>
    </w:p>
    <w:p>
      <w:pPr>
        <w:pStyle w:val="Heading2"/>
      </w:pPr>
      <w:bookmarkStart w:id="133" w:name="_Toc00133"/>
      <w:r>
        <w:rPr/>
        <w:t xml:space="preserve">10.4 Traçabilité</w:t>
      </w:r>
      <w:bookmarkEnd w:id="133"/>
    </w:p>
    <w:p>
      <w:pPr/>
      <w:r>
        <w:rPr/>
        <w:t xml:space="preserve">Le journal </w:t>
      </w:r>
      <w:r>
        <w:rPr>
          <w:rFonts w:ascii="Consolas" w:hAnsi="Consolas" w:cs="Consolas"/>
          <w:color w:val="1C5CAB"/>
          <w:sz w:val="18"/>
          <w:szCs w:val="18"/>
          <w:shd w:val="clear" w:color="auto" w:fill="EEF3FA"/>
        </w:rPr>
        <w:t xml:space="preserve">heptagoneslm.audit</w:t>
      </w:r>
      <w:r>
        <w:rPr/>
        <w:t xml:space="preserve"> enregistre les connexions réussies, les échecs (avec la cause réelle), les blocages, les déconnexions et chaque export (utilisateur, adresse IP, type, format, filtres). Les caractères de contrôle sont neutralisés pour empêcher la falsification du journal.</w:t>
      </w:r>
    </w:p>
    <w:p>
      <w:pPr>
        <w:pStyle w:val="Heading2"/>
      </w:pPr>
      <w:bookmarkStart w:id="134" w:name="_Toc00134"/>
      <w:r>
        <w:rPr/>
        <w:t xml:space="preserve">10.5 Données personnelles</w:t>
      </w:r>
      <w:bookmarkEnd w:id="134"/>
    </w:p>
    <w:p>
      <w:pPr>
        <w:pStyle w:val="Caption"/>
        <w:keepNext/>
      </w:pPr>
      <w:r>
        <w:rPr/>
        <w:t xml:space="preserve">Tableau 29 – Données personnelles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202"/>
        <w:gridCol w:w="7435"/>
      </w:tblGrid>
      <w:tr>
        <w:trPr>
          <w:tblHeader/>
          <w:cantSplit/>
        </w:trPr>
        <w:tc>
          <w:tcPr>
            <w:tcW w:w="2202" w:type="dxa"/>
            <w:shd w:val="clear" w:color="auto" w:fill="2A78D6"/>
          </w:tcPr>
          <w:p>
            <w:pPr>
              <w:pStyle w:val="TableText"/>
            </w:pPr>
            <w:r>
              <w:rPr>
                <w:b/>
                <w:color w:val="FFFFFF"/>
                <w:sz w:val="18"/>
                <w:szCs w:val="18"/>
              </w:rPr>
              <w:t xml:space="preserve">Élément</w:t>
            </w:r>
          </w:p>
        </w:tc>
        <w:tc>
          <w:tcPr>
            <w:tcW w:w="7435" w:type="dxa"/>
            <w:shd w:val="clear" w:color="auto" w:fill="2A78D6"/>
          </w:tcPr>
          <w:p>
            <w:pPr>
              <w:pStyle w:val="TableText"/>
            </w:pPr>
            <w:r>
              <w:rPr>
                <w:b/>
                <w:color w:val="FFFFFF"/>
                <w:sz w:val="18"/>
                <w:szCs w:val="18"/>
              </w:rPr>
              <w:t xml:space="preserve">Description</w:t>
            </w:r>
          </w:p>
        </w:tc>
      </w:tr>
      <w:tr>
        <w:trPr>
          <w:cantSplit/>
        </w:trPr>
        <w:tc>
          <w:tcPr>
            <w:tcW w:w="2202" w:type="dxa"/>
          </w:tcPr>
          <w:p>
            <w:pPr>
              <w:pStyle w:val="TableText"/>
            </w:pPr>
            <w:r>
              <w:rPr>
                <w:sz w:val="18"/>
                <w:szCs w:val="18"/>
              </w:rPr>
              <w:t xml:space="preserve">Données traitées</w:t>
            </w:r>
          </w:p>
        </w:tc>
        <w:tc>
          <w:tcPr>
            <w:tcW w:w="7435" w:type="dxa"/>
          </w:tcPr>
          <w:p>
            <w:pPr>
              <w:pStyle w:val="TableText"/>
            </w:pPr>
            <w:r>
              <w:rPr>
                <w:sz w:val="18"/>
                <w:szCs w:val="18"/>
              </w:rPr>
              <w:t xml:space="preserve">Identifiant Windows, nom, service, nom du poste, horaires d'utilisation des logiciels</w:t>
            </w:r>
          </w:p>
        </w:tc>
      </w:tr>
      <w:tr>
        <w:trPr>
          <w:cantSplit/>
        </w:trPr>
        <w:tc>
          <w:tcPr>
            <w:tcW w:w="2202" w:type="dxa"/>
            <w:shd w:val="clear" w:color="auto" w:fill="F4F7FC"/>
          </w:tcPr>
          <w:p>
            <w:pPr>
              <w:pStyle w:val="TableText"/>
            </w:pPr>
            <w:r>
              <w:rPr>
                <w:sz w:val="18"/>
                <w:szCs w:val="18"/>
              </w:rPr>
              <w:t xml:space="preserve">Finalité</w:t>
            </w:r>
          </w:p>
        </w:tc>
        <w:tc>
          <w:tcPr>
            <w:tcW w:w="7435" w:type="dxa"/>
            <w:shd w:val="clear" w:color="auto" w:fill="F4F7FC"/>
          </w:tcPr>
          <w:p>
            <w:pPr>
              <w:pStyle w:val="TableText"/>
            </w:pPr>
            <w:r>
              <w:rPr>
                <w:sz w:val="18"/>
                <w:szCs w:val="18"/>
              </w:rPr>
              <w:t xml:space="preserve">Dimensionnement et optimisation du parc de licences, refacturation interne</w:t>
            </w:r>
          </w:p>
        </w:tc>
      </w:tr>
      <w:tr>
        <w:trPr>
          <w:cantSplit/>
        </w:trPr>
        <w:tc>
          <w:tcPr>
            <w:tcW w:w="2202" w:type="dxa"/>
          </w:tcPr>
          <w:p>
            <w:pPr>
              <w:pStyle w:val="TableText"/>
            </w:pPr>
            <w:r>
              <w:rPr>
                <w:sz w:val="18"/>
                <w:szCs w:val="18"/>
              </w:rPr>
              <w:t xml:space="preserve">Base légale</w:t>
            </w:r>
          </w:p>
        </w:tc>
        <w:tc>
          <w:tcPr>
            <w:tcW w:w="7435" w:type="dxa"/>
          </w:tcPr>
          <w:p>
            <w:pPr>
              <w:pStyle w:val="TableText"/>
            </w:pPr>
            <w:r>
              <w:rPr>
                <w:sz w:val="18"/>
                <w:szCs w:val="18"/>
              </w:rPr>
              <w:t xml:space="preserve">Intérêt légitime de l'employeur (à confirmer par le DPO)</w:t>
            </w:r>
          </w:p>
        </w:tc>
      </w:tr>
      <w:tr>
        <w:trPr>
          <w:cantSplit/>
        </w:trPr>
        <w:tc>
          <w:tcPr>
            <w:tcW w:w="2202" w:type="dxa"/>
            <w:shd w:val="clear" w:color="auto" w:fill="F4F7FC"/>
          </w:tcPr>
          <w:p>
            <w:pPr>
              <w:pStyle w:val="TableText"/>
            </w:pPr>
            <w:r>
              <w:rPr>
                <w:sz w:val="18"/>
                <w:szCs w:val="18"/>
              </w:rPr>
              <w:t xml:space="preserve">Destinataires</w:t>
            </w:r>
          </w:p>
        </w:tc>
        <w:tc>
          <w:tcPr>
            <w:tcW w:w="7435" w:type="dxa"/>
            <w:shd w:val="clear" w:color="auto" w:fill="F4F7FC"/>
          </w:tcPr>
          <w:p>
            <w:pPr>
              <w:pStyle w:val="TableText"/>
            </w:pPr>
            <w:r>
              <w:rPr>
                <w:sz w:val="18"/>
                <w:szCs w:val="18"/>
              </w:rPr>
              <w:t xml:space="preserve">Membres du groupe d'accès ; abonnés au rapport mensuel</w:t>
            </w:r>
          </w:p>
        </w:tc>
      </w:tr>
      <w:tr>
        <w:trPr>
          <w:cantSplit/>
        </w:trPr>
        <w:tc>
          <w:tcPr>
            <w:tcW w:w="2202" w:type="dxa"/>
          </w:tcPr>
          <w:p>
            <w:pPr>
              <w:pStyle w:val="TableText"/>
            </w:pPr>
            <w:r>
              <w:rPr>
                <w:sz w:val="18"/>
                <w:szCs w:val="18"/>
              </w:rPr>
              <w:t xml:space="preserve">Conservation</w:t>
            </w:r>
          </w:p>
        </w:tc>
        <w:tc>
          <w:tcPr>
            <w:tcW w:w="7435" w:type="dxa"/>
          </w:tcPr>
          <w:p>
            <w:pPr>
              <w:pStyle w:val="TableText"/>
            </w:pPr>
            <w:r>
              <w:rPr>
                <w:sz w:val="18"/>
                <w:szCs w:val="18"/>
              </w:rPr>
              <w:t xml:space="preserve">Voir § 9.2 ; à fixer avec le DPO</w:t>
            </w:r>
          </w:p>
        </w:tc>
      </w:tr>
      <w:tr>
        <w:trPr>
          <w:cantSplit/>
        </w:trPr>
        <w:tc>
          <w:tcPr>
            <w:tcW w:w="2202" w:type="dxa"/>
            <w:shd w:val="clear" w:color="auto" w:fill="F4F7FC"/>
          </w:tcPr>
          <w:p>
            <w:pPr>
              <w:pStyle w:val="TableText"/>
            </w:pPr>
            <w:r>
              <w:rPr>
                <w:sz w:val="18"/>
                <w:szCs w:val="18"/>
              </w:rPr>
              <w:t xml:space="preserve">Actions recommandées</w:t>
            </w:r>
          </w:p>
        </w:tc>
        <w:tc>
          <w:tcPr>
            <w:tcW w:w="7435" w:type="dxa"/>
            <w:shd w:val="clear" w:color="auto" w:fill="F4F7FC"/>
          </w:tcPr>
          <w:p>
            <w:pPr>
              <w:pStyle w:val="TableText"/>
            </w:pPr>
            <w:r>
              <w:rPr>
                <w:sz w:val="18"/>
                <w:szCs w:val="18"/>
              </w:rPr>
              <w:t xml:space="preserve">Inscription au registre des traitements, information des utilisateurs, revue des accès</w:t>
            </w:r>
          </w:p>
        </w:tc>
      </w:tr>
    </w:tbl>
    <w:p>
      <w:pPr>
        <w:spacing w:after="80"/>
      </w:pPr>
    </w:p>
    <w:p>
      <w:pPr>
        <w:pStyle w:val="Heading2"/>
      </w:pPr>
      <w:bookmarkStart w:id="135" w:name="_Toc00135"/>
      <w:r>
        <w:rPr/>
        <w:t xml:space="preserve">10.6 Liste de contrôle de déploiement</w:t>
      </w:r>
      <w:bookmarkEnd w:id="135"/>
    </w:p>
    <w:p>
      <w:pPr>
        <w:pStyle w:val="Caption"/>
        <w:keepNext/>
      </w:pPr>
      <w:r>
        <w:rPr/>
        <w:t xml:space="preserve">Tableau 30 – Liste de contrôle sécurité</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566"/>
        <w:gridCol w:w="8362"/>
        <w:gridCol w:w="708"/>
      </w:tblGrid>
      <w:tr>
        <w:trPr>
          <w:tblHeader/>
          <w:cantSplit/>
        </w:trPr>
        <w:tc>
          <w:tcPr>
            <w:tcW w:w="566" w:type="dxa"/>
            <w:shd w:val="clear" w:color="auto" w:fill="2A78D6"/>
          </w:tcPr>
          <w:p>
            <w:pPr>
              <w:pStyle w:val="TableText"/>
            </w:pPr>
            <w:r>
              <w:rPr>
                <w:b/>
                <w:color w:val="FFFFFF"/>
                <w:sz w:val="18"/>
                <w:szCs w:val="18"/>
              </w:rPr>
              <w:t xml:space="preserve">N°</w:t>
            </w:r>
          </w:p>
        </w:tc>
        <w:tc>
          <w:tcPr>
            <w:tcW w:w="8362" w:type="dxa"/>
            <w:shd w:val="clear" w:color="auto" w:fill="2A78D6"/>
          </w:tcPr>
          <w:p>
            <w:pPr>
              <w:pStyle w:val="TableText"/>
            </w:pPr>
            <w:r>
              <w:rPr>
                <w:b/>
                <w:color w:val="FFFFFF"/>
                <w:sz w:val="18"/>
                <w:szCs w:val="18"/>
              </w:rPr>
              <w:t xml:space="preserve">Contrôle</w:t>
            </w:r>
          </w:p>
        </w:tc>
        <w:tc>
          <w:tcPr>
            <w:tcW w:w="708" w:type="dxa"/>
            <w:shd w:val="clear" w:color="auto" w:fill="2A78D6"/>
          </w:tcPr>
          <w:p>
            <w:pPr>
              <w:pStyle w:val="TableText"/>
            </w:pPr>
            <w:r>
              <w:rPr>
                <w:b/>
                <w:color w:val="FFFFFF"/>
                <w:sz w:val="18"/>
                <w:szCs w:val="18"/>
              </w:rPr>
              <w:t xml:space="preserve">OK</w:t>
            </w:r>
          </w:p>
        </w:tc>
      </w:tr>
      <w:tr>
        <w:trPr>
          <w:cantSplit/>
        </w:trPr>
        <w:tc>
          <w:tcPr>
            <w:tcW w:w="566" w:type="dxa"/>
          </w:tcPr>
          <w:p>
            <w:pPr>
              <w:pStyle w:val="TableText"/>
            </w:pPr>
            <w:r>
              <w:rPr>
                <w:sz w:val="18"/>
                <w:szCs w:val="18"/>
              </w:rPr>
              <w:t xml:space="preserve">1</w:t>
            </w:r>
          </w:p>
        </w:tc>
        <w:tc>
          <w:tcPr>
            <w:tcW w:w="8362" w:type="dxa"/>
          </w:tcPr>
          <w:p>
            <w:pPr>
              <w:pStyle w:val="TableText"/>
            </w:pPr>
            <w:r>
              <w:rPr>
                <w:sz w:val="18"/>
                <w:szCs w:val="18"/>
              </w:rPr>
              <w:t xml:space="preserve">Compte de service dédié, non administrateur (gMSA recommandé) pour toutes les tâches</w:t>
            </w:r>
          </w:p>
        </w:tc>
        <w:tc>
          <w:tcPr>
            <w:tcW w:w="708" w:type="dxa"/>
          </w:tcPr>
          <w:p>
            <w:pPr>
              <w:pStyle w:val="TableText"/>
            </w:pPr>
            <w:r>
              <w:rPr>
                <w:sz w:val="18"/>
                <w:szCs w:val="18"/>
              </w:rPr>
              <w:t xml:space="preserve">☐</w:t>
            </w:r>
          </w:p>
        </w:tc>
      </w:tr>
      <w:tr>
        <w:trPr>
          <w:cantSplit/>
        </w:trPr>
        <w:tc>
          <w:tcPr>
            <w:tcW w:w="566" w:type="dxa"/>
            <w:shd w:val="clear" w:color="auto" w:fill="F4F7FC"/>
          </w:tcPr>
          <w:p>
            <w:pPr>
              <w:pStyle w:val="TableText"/>
            </w:pPr>
            <w:r>
              <w:rPr>
                <w:sz w:val="18"/>
                <w:szCs w:val="18"/>
              </w:rPr>
              <w:t xml:space="preserve">2</w:t>
            </w:r>
          </w:p>
        </w:tc>
        <w:tc>
          <w:tcPr>
            <w:tcW w:w="8362" w:type="dxa"/>
            <w:shd w:val="clear" w:color="auto" w:fill="F4F7FC"/>
          </w:tcPr>
          <w:p>
            <w:pPr>
              <w:pStyle w:val="TableText"/>
            </w:pPr>
            <w:r>
              <w:rPr>
                <w:sz w:val="18"/>
                <w:szCs w:val="18"/>
              </w:rPr>
              <w:t xml:space="preserve">Base : db_datareader + db_datawriter ; db_ddladmin retiré après init-db</w:t>
            </w:r>
          </w:p>
        </w:tc>
        <w:tc>
          <w:tcPr>
            <w:tcW w:w="708" w:type="dxa"/>
            <w:shd w:val="clear" w:color="auto" w:fill="F4F7FC"/>
          </w:tcPr>
          <w:p>
            <w:pPr>
              <w:pStyle w:val="TableText"/>
            </w:pPr>
            <w:r>
              <w:rPr>
                <w:sz w:val="18"/>
                <w:szCs w:val="18"/>
              </w:rPr>
              <w:t xml:space="preserve">☐</w:t>
            </w:r>
          </w:p>
        </w:tc>
      </w:tr>
      <w:tr>
        <w:trPr>
          <w:cantSplit/>
        </w:trPr>
        <w:tc>
          <w:tcPr>
            <w:tcW w:w="566" w:type="dxa"/>
          </w:tcPr>
          <w:p>
            <w:pPr>
              <w:pStyle w:val="TableText"/>
            </w:pPr>
            <w:r>
              <w:rPr>
                <w:sz w:val="18"/>
                <w:szCs w:val="18"/>
              </w:rPr>
              <w:t xml:space="preserve">3</w:t>
            </w:r>
          </w:p>
        </w:tc>
        <w:tc>
          <w:tcPr>
            <w:tcW w:w="8362" w:type="dxa"/>
          </w:tcPr>
          <w:p>
            <w:pPr>
              <w:pStyle w:val="TableText"/>
            </w:pPr>
            <w:r>
              <w:rPr>
                <w:sz w:val="18"/>
                <w:szCs w:val="18"/>
              </w:rPr>
              <w:t xml:space="preserve">Chaîne de connexion </w:t>
            </w:r>
            <w:r>
              <w:rPr>
                <w:rFonts w:ascii="Consolas" w:hAnsi="Consolas" w:cs="Consolas"/>
                <w:color w:val="1C5CAB"/>
                <w:sz w:val="18"/>
                <w:szCs w:val="18"/>
                <w:shd w:val="clear" w:color="auto" w:fill="EEF3FA"/>
              </w:rPr>
              <w:t xml:space="preserve">Encrypt=yes</w:t>
            </w:r>
            <w:r>
              <w:rPr>
                <w:sz w:val="18"/>
                <w:szCs w:val="18"/>
              </w:rPr>
              <w:t xml:space="preserve">, certificat SQL valide</w:t>
            </w:r>
          </w:p>
        </w:tc>
        <w:tc>
          <w:tcPr>
            <w:tcW w:w="708" w:type="dxa"/>
          </w:tcPr>
          <w:p>
            <w:pPr>
              <w:pStyle w:val="TableText"/>
            </w:pPr>
            <w:r>
              <w:rPr>
                <w:sz w:val="18"/>
                <w:szCs w:val="18"/>
              </w:rPr>
              <w:t xml:space="preserve">☐</w:t>
            </w:r>
          </w:p>
        </w:tc>
      </w:tr>
      <w:tr>
        <w:trPr>
          <w:cantSplit/>
        </w:trPr>
        <w:tc>
          <w:tcPr>
            <w:tcW w:w="566" w:type="dxa"/>
            <w:shd w:val="clear" w:color="auto" w:fill="F4F7FC"/>
          </w:tcPr>
          <w:p>
            <w:pPr>
              <w:pStyle w:val="TableText"/>
            </w:pPr>
            <w:r>
              <w:rPr>
                <w:sz w:val="18"/>
                <w:szCs w:val="18"/>
              </w:rPr>
              <w:t xml:space="preserve">4</w:t>
            </w:r>
          </w:p>
        </w:tc>
        <w:tc>
          <w:tcPr>
            <w:tcW w:w="8362" w:type="dxa"/>
            <w:shd w:val="clear" w:color="auto" w:fill="F4F7FC"/>
          </w:tcPr>
          <w:p>
            <w:pPr>
              <w:pStyle w:val="TableText"/>
            </w:pPr>
            <w:r>
              <w:rPr>
                <w:sz w:val="18"/>
                <w:szCs w:val="18"/>
              </w:rPr>
              <w:t xml:space="preserve">Interface partagée : </w:t>
            </w:r>
            <w:r>
              <w:rPr>
                <w:rFonts w:ascii="Consolas" w:hAnsi="Consolas" w:cs="Consolas"/>
                <w:color w:val="1C5CAB"/>
                <w:sz w:val="18"/>
                <w:szCs w:val="18"/>
                <w:shd w:val="clear" w:color="auto" w:fill="EEF3FA"/>
              </w:rPr>
              <w:t xml:space="preserve">auth.mode: ldap</w:t>
            </w:r>
            <w:r>
              <w:rPr>
                <w:sz w:val="18"/>
                <w:szCs w:val="18"/>
              </w:rPr>
              <w:t xml:space="preserve"> (ou header) + HTTPS + </w:t>
            </w:r>
            <w:r>
              <w:rPr>
                <w:rFonts w:ascii="Consolas" w:hAnsi="Consolas" w:cs="Consolas"/>
                <w:color w:val="1C5CAB"/>
                <w:sz w:val="18"/>
                <w:szCs w:val="18"/>
                <w:shd w:val="clear" w:color="auto" w:fill="EEF3FA"/>
              </w:rPr>
              <w:t xml:space="preserve">allowed_groups</w:t>
            </w:r>
          </w:p>
        </w:tc>
        <w:tc>
          <w:tcPr>
            <w:tcW w:w="708" w:type="dxa"/>
            <w:shd w:val="clear" w:color="auto" w:fill="F4F7FC"/>
          </w:tcPr>
          <w:p>
            <w:pPr>
              <w:pStyle w:val="TableText"/>
            </w:pPr>
            <w:r>
              <w:rPr>
                <w:sz w:val="18"/>
                <w:szCs w:val="18"/>
              </w:rPr>
              <w:t xml:space="preserve">☐</w:t>
            </w:r>
          </w:p>
        </w:tc>
      </w:tr>
      <w:tr>
        <w:trPr>
          <w:cantSplit/>
        </w:trPr>
        <w:tc>
          <w:tcPr>
            <w:tcW w:w="566" w:type="dxa"/>
          </w:tcPr>
          <w:p>
            <w:pPr>
              <w:pStyle w:val="TableText"/>
            </w:pPr>
            <w:r>
              <w:rPr>
                <w:sz w:val="18"/>
                <w:szCs w:val="18"/>
              </w:rPr>
              <w:t xml:space="preserve">5</w:t>
            </w:r>
          </w:p>
        </w:tc>
        <w:tc>
          <w:tcPr>
            <w:tcW w:w="8362" w:type="dxa"/>
          </w:tcPr>
          <w:p>
            <w:pPr>
              <w:pStyle w:val="TableText"/>
            </w:pPr>
            <w:r>
              <w:rPr>
                <w:rFonts w:ascii="Consolas" w:hAnsi="Consolas" w:cs="Consolas"/>
                <w:color w:val="1C5CAB"/>
                <w:sz w:val="18"/>
                <w:szCs w:val="18"/>
                <w:shd w:val="clear" w:color="auto" w:fill="EEF3FA"/>
              </w:rPr>
              <w:t xml:space="preserve">public_url</w:t>
            </w:r>
            <w:r>
              <w:rPr>
                <w:sz w:val="18"/>
                <w:szCs w:val="18"/>
              </w:rPr>
              <w:t xml:space="preserve"> / </w:t>
            </w:r>
            <w:r>
              <w:rPr>
                <w:rFonts w:ascii="Consolas" w:hAnsi="Consolas" w:cs="Consolas"/>
                <w:color w:val="1C5CAB"/>
                <w:sz w:val="18"/>
                <w:szCs w:val="18"/>
                <w:shd w:val="clear" w:color="auto" w:fill="EEF3FA"/>
              </w:rPr>
              <w:t xml:space="preserve">allowed_hosts</w:t>
            </w:r>
            <w:r>
              <w:rPr>
                <w:sz w:val="18"/>
                <w:szCs w:val="18"/>
              </w:rPr>
              <w:t xml:space="preserve"> renseignés avec les noms réellement utilisés</w:t>
            </w:r>
          </w:p>
        </w:tc>
        <w:tc>
          <w:tcPr>
            <w:tcW w:w="708" w:type="dxa"/>
          </w:tcPr>
          <w:p>
            <w:pPr>
              <w:pStyle w:val="TableText"/>
            </w:pPr>
            <w:r>
              <w:rPr>
                <w:sz w:val="18"/>
                <w:szCs w:val="18"/>
              </w:rPr>
              <w:t xml:space="preserve">☐</w:t>
            </w:r>
          </w:p>
        </w:tc>
      </w:tr>
      <w:tr>
        <w:trPr>
          <w:cantSplit/>
        </w:trPr>
        <w:tc>
          <w:tcPr>
            <w:tcW w:w="566" w:type="dxa"/>
            <w:shd w:val="clear" w:color="auto" w:fill="F4F7FC"/>
          </w:tcPr>
          <w:p>
            <w:pPr>
              <w:pStyle w:val="TableText"/>
            </w:pPr>
            <w:r>
              <w:rPr>
                <w:sz w:val="18"/>
                <w:szCs w:val="18"/>
              </w:rPr>
              <w:t xml:space="preserve">6</w:t>
            </w:r>
          </w:p>
        </w:tc>
        <w:tc>
          <w:tcPr>
            <w:tcW w:w="8362" w:type="dxa"/>
            <w:shd w:val="clear" w:color="auto" w:fill="F4F7FC"/>
          </w:tcPr>
          <w:p>
            <w:pPr>
              <w:pStyle w:val="TableText"/>
            </w:pPr>
            <w:r>
              <w:rPr>
                <w:sz w:val="18"/>
                <w:szCs w:val="18"/>
              </w:rPr>
              <w:t xml:space="preserve">LDAPS avec vérification du certificat (</w:t>
            </w:r>
            <w:r>
              <w:rPr>
                <w:rFonts w:ascii="Consolas" w:hAnsi="Consolas" w:cs="Consolas"/>
                <w:color w:val="1C5CAB"/>
                <w:sz w:val="18"/>
                <w:szCs w:val="18"/>
                <w:shd w:val="clear" w:color="auto" w:fill="EEF3FA"/>
              </w:rPr>
              <w:t xml:space="preserve">ldap_ca_file</w:t>
            </w:r>
            <w:r>
              <w:rPr>
                <w:sz w:val="18"/>
                <w:szCs w:val="18"/>
              </w:rPr>
              <w:t xml:space="preserve"> si AC interne)</w:t>
            </w:r>
          </w:p>
        </w:tc>
        <w:tc>
          <w:tcPr>
            <w:tcW w:w="708" w:type="dxa"/>
            <w:shd w:val="clear" w:color="auto" w:fill="F4F7FC"/>
          </w:tcPr>
          <w:p>
            <w:pPr>
              <w:pStyle w:val="TableText"/>
            </w:pPr>
            <w:r>
              <w:rPr>
                <w:sz w:val="18"/>
                <w:szCs w:val="18"/>
              </w:rPr>
              <w:t xml:space="preserve">☐</w:t>
            </w:r>
          </w:p>
        </w:tc>
      </w:tr>
      <w:tr>
        <w:trPr>
          <w:cantSplit/>
        </w:trPr>
        <w:tc>
          <w:tcPr>
            <w:tcW w:w="566" w:type="dxa"/>
          </w:tcPr>
          <w:p>
            <w:pPr>
              <w:pStyle w:val="TableText"/>
            </w:pPr>
            <w:r>
              <w:rPr>
                <w:sz w:val="18"/>
                <w:szCs w:val="18"/>
              </w:rPr>
              <w:t xml:space="preserve">7</w:t>
            </w:r>
          </w:p>
        </w:tc>
        <w:tc>
          <w:tcPr>
            <w:tcW w:w="8362" w:type="dxa"/>
          </w:tcPr>
          <w:p>
            <w:pPr>
              <w:pStyle w:val="TableText"/>
            </w:pPr>
            <w:r>
              <w:rPr>
                <w:sz w:val="18"/>
                <w:szCs w:val="18"/>
              </w:rPr>
              <w:t xml:space="preserve">SMTP en STARTTLS ou SSL ; mots de passe en variables d'environnement</w:t>
            </w:r>
          </w:p>
        </w:tc>
        <w:tc>
          <w:tcPr>
            <w:tcW w:w="708" w:type="dxa"/>
          </w:tcPr>
          <w:p>
            <w:pPr>
              <w:pStyle w:val="TableText"/>
            </w:pPr>
            <w:r>
              <w:rPr>
                <w:sz w:val="18"/>
                <w:szCs w:val="18"/>
              </w:rPr>
              <w:t xml:space="preserve">☐</w:t>
            </w:r>
          </w:p>
        </w:tc>
      </w:tr>
      <w:tr>
        <w:trPr>
          <w:cantSplit/>
        </w:trPr>
        <w:tc>
          <w:tcPr>
            <w:tcW w:w="566" w:type="dxa"/>
            <w:shd w:val="clear" w:color="auto" w:fill="F4F7FC"/>
          </w:tcPr>
          <w:p>
            <w:pPr>
              <w:pStyle w:val="TableText"/>
            </w:pPr>
            <w:r>
              <w:rPr>
                <w:sz w:val="18"/>
                <w:szCs w:val="18"/>
              </w:rPr>
              <w:t xml:space="preserve">8</w:t>
            </w:r>
          </w:p>
        </w:tc>
        <w:tc>
          <w:tcPr>
            <w:tcW w:w="8362" w:type="dxa"/>
            <w:shd w:val="clear" w:color="auto" w:fill="F4F7FC"/>
          </w:tcPr>
          <w:p>
            <w:pPr>
              <w:pStyle w:val="TableText"/>
            </w:pPr>
            <w:r>
              <w:rPr>
                <w:sz w:val="18"/>
                <w:szCs w:val="18"/>
              </w:rPr>
              <w:t xml:space="preserve">Droits NTFS restreints sur heptagoneslm.yaml, la clé TLS et les journaux</w:t>
            </w:r>
          </w:p>
        </w:tc>
        <w:tc>
          <w:tcPr>
            <w:tcW w:w="708" w:type="dxa"/>
            <w:shd w:val="clear" w:color="auto" w:fill="F4F7FC"/>
          </w:tcPr>
          <w:p>
            <w:pPr>
              <w:pStyle w:val="TableText"/>
            </w:pPr>
            <w:r>
              <w:rPr>
                <w:sz w:val="18"/>
                <w:szCs w:val="18"/>
              </w:rPr>
              <w:t xml:space="preserve">☐</w:t>
            </w:r>
          </w:p>
        </w:tc>
      </w:tr>
      <w:tr>
        <w:trPr>
          <w:cantSplit/>
        </w:trPr>
        <w:tc>
          <w:tcPr>
            <w:tcW w:w="566" w:type="dxa"/>
          </w:tcPr>
          <w:p>
            <w:pPr>
              <w:pStyle w:val="TableText"/>
            </w:pPr>
            <w:r>
              <w:rPr>
                <w:sz w:val="18"/>
                <w:szCs w:val="18"/>
              </w:rPr>
              <w:t xml:space="preserve">9</w:t>
            </w:r>
          </w:p>
        </w:tc>
        <w:tc>
          <w:tcPr>
            <w:tcW w:w="8362" w:type="dxa"/>
          </w:tcPr>
          <w:p>
            <w:pPr>
              <w:pStyle w:val="TableText"/>
            </w:pPr>
            <w:r>
              <w:rPr>
                <w:sz w:val="18"/>
                <w:szCs w:val="18"/>
              </w:rPr>
              <w:t xml:space="preserve">Journal d'audit collecté par le SIEM ; durée de conservation définie</w:t>
            </w:r>
          </w:p>
        </w:tc>
        <w:tc>
          <w:tcPr>
            <w:tcW w:w="708" w:type="dxa"/>
          </w:tcPr>
          <w:p>
            <w:pPr>
              <w:pStyle w:val="TableText"/>
            </w:pPr>
            <w:r>
              <w:rPr>
                <w:sz w:val="18"/>
                <w:szCs w:val="18"/>
              </w:rPr>
              <w:t xml:space="preserve">☐</w:t>
            </w:r>
          </w:p>
        </w:tc>
      </w:tr>
      <w:tr>
        <w:trPr>
          <w:cantSplit/>
        </w:trPr>
        <w:tc>
          <w:tcPr>
            <w:tcW w:w="566" w:type="dxa"/>
            <w:shd w:val="clear" w:color="auto" w:fill="F4F7FC"/>
          </w:tcPr>
          <w:p>
            <w:pPr>
              <w:pStyle w:val="TableText"/>
            </w:pPr>
            <w:r>
              <w:rPr>
                <w:sz w:val="18"/>
                <w:szCs w:val="18"/>
              </w:rPr>
              <w:t xml:space="preserve">10</w:t>
            </w:r>
          </w:p>
        </w:tc>
        <w:tc>
          <w:tcPr>
            <w:tcW w:w="8362" w:type="dxa"/>
            <w:shd w:val="clear" w:color="auto" w:fill="F4F7FC"/>
          </w:tcPr>
          <w:p>
            <w:pPr>
              <w:pStyle w:val="TableText"/>
            </w:pPr>
            <w:r>
              <w:rPr>
                <w:sz w:val="18"/>
                <w:szCs w:val="18"/>
              </w:rPr>
              <w:t xml:space="preserve">Pare-feu : port de l'interface ouvert aux seuls réseaux utilisateurs</w:t>
            </w:r>
          </w:p>
        </w:tc>
        <w:tc>
          <w:tcPr>
            <w:tcW w:w="708" w:type="dxa"/>
            <w:shd w:val="clear" w:color="auto" w:fill="F4F7FC"/>
          </w:tcPr>
          <w:p>
            <w:pPr>
              <w:pStyle w:val="TableText"/>
            </w:pPr>
            <w:r>
              <w:rPr>
                <w:sz w:val="18"/>
                <w:szCs w:val="18"/>
              </w:rPr>
              <w:t xml:space="preserve">☐</w:t>
            </w:r>
          </w:p>
        </w:tc>
      </w:tr>
      <w:tr>
        <w:trPr>
          <w:cantSplit/>
        </w:trPr>
        <w:tc>
          <w:tcPr>
            <w:tcW w:w="566" w:type="dxa"/>
          </w:tcPr>
          <w:p>
            <w:pPr>
              <w:pStyle w:val="TableText"/>
            </w:pPr>
            <w:r>
              <w:rPr>
                <w:sz w:val="18"/>
                <w:szCs w:val="18"/>
              </w:rPr>
              <w:t xml:space="preserve">11</w:t>
            </w:r>
          </w:p>
        </w:tc>
        <w:tc>
          <w:tcPr>
            <w:tcW w:w="8362" w:type="dxa"/>
          </w:tcPr>
          <w:p>
            <w:pPr>
              <w:pStyle w:val="TableText"/>
            </w:pPr>
            <w:r>
              <w:rPr>
                <w:sz w:val="18"/>
                <w:szCs w:val="18"/>
              </w:rPr>
              <w:t xml:space="preserve">Empreinte SHA-256 de HeptagonesLM-Setup.exe vérifiée</w:t>
            </w:r>
          </w:p>
        </w:tc>
        <w:tc>
          <w:tcPr>
            <w:tcW w:w="708" w:type="dxa"/>
          </w:tcPr>
          <w:p>
            <w:pPr>
              <w:pStyle w:val="TableText"/>
            </w:pPr>
            <w:r>
              <w:rPr>
                <w:sz w:val="18"/>
                <w:szCs w:val="18"/>
              </w:rPr>
              <w:t xml:space="preserve">☐</w:t>
            </w:r>
          </w:p>
        </w:tc>
      </w:tr>
    </w:tbl>
    <w:p>
      <w:pPr>
        <w:spacing w:after="80"/>
      </w:pPr>
    </w:p>
    <w:p>
      <w:pPr>
        <w:pStyle w:val="Heading2"/>
      </w:pPr>
      <w:bookmarkStart w:id="136" w:name="_Toc00136"/>
      <w:r>
        <w:rPr/>
        <w:t xml:space="preserve">10.7 Risques résiduels</w:t>
      </w:r>
      <w:bookmarkEnd w:id="136"/>
    </w:p>
    <w:p>
      <w:pPr>
        <w:pStyle w:val="Caption"/>
        <w:keepNext/>
      </w:pPr>
      <w:r>
        <w:rPr/>
        <w:t xml:space="preserve">Tableau 31 – Risques résiduels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4819"/>
        <w:gridCol w:w="4819"/>
      </w:tblGrid>
      <w:tr>
        <w:trPr>
          <w:tblHeader/>
          <w:cantSplit/>
        </w:trPr>
        <w:tc>
          <w:tcPr>
            <w:tcW w:w="4819" w:type="dxa"/>
            <w:shd w:val="clear" w:color="auto" w:fill="2A78D6"/>
          </w:tcPr>
          <w:p>
            <w:pPr>
              <w:pStyle w:val="TableText"/>
            </w:pPr>
            <w:r>
              <w:rPr>
                <w:b/>
                <w:color w:val="FFFFFF"/>
                <w:sz w:val="18"/>
                <w:szCs w:val="18"/>
              </w:rPr>
              <w:t xml:space="preserve">Risque</w:t>
            </w:r>
          </w:p>
        </w:tc>
        <w:tc>
          <w:tcPr>
            <w:tcW w:w="4819" w:type="dxa"/>
            <w:shd w:val="clear" w:color="auto" w:fill="2A78D6"/>
          </w:tcPr>
          <w:p>
            <w:pPr>
              <w:pStyle w:val="TableText"/>
            </w:pPr>
            <w:r>
              <w:rPr>
                <w:b/>
                <w:color w:val="FFFFFF"/>
                <w:sz w:val="18"/>
                <w:szCs w:val="18"/>
              </w:rPr>
              <w:t xml:space="preserve">Mesure recommandée</w:t>
            </w:r>
          </w:p>
        </w:tc>
      </w:tr>
      <w:tr>
        <w:trPr>
          <w:cantSplit/>
        </w:trPr>
        <w:tc>
          <w:tcPr>
            <w:tcW w:w="4819" w:type="dxa"/>
          </w:tcPr>
          <w:p>
            <w:pPr>
              <w:pStyle w:val="TableText"/>
            </w:pPr>
            <w:r>
              <w:rPr>
                <w:sz w:val="18"/>
                <w:szCs w:val="18"/>
              </w:rPr>
              <w:t xml:space="preserve">Tous les utilisateurs autorisés voient toutes les données nominatives</w:t>
            </w:r>
          </w:p>
        </w:tc>
        <w:tc>
          <w:tcPr>
            <w:tcW w:w="4819" w:type="dxa"/>
          </w:tcPr>
          <w:p>
            <w:pPr>
              <w:pStyle w:val="TableText"/>
            </w:pPr>
            <w:r>
              <w:rPr>
                <w:sz w:val="18"/>
                <w:szCs w:val="18"/>
              </w:rPr>
              <w:t xml:space="preserve">Limiter le groupe d'accès ; droits par service (évolution)</w:t>
            </w:r>
          </w:p>
        </w:tc>
      </w:tr>
      <w:tr>
        <w:trPr>
          <w:cantSplit/>
        </w:trPr>
        <w:tc>
          <w:tcPr>
            <w:tcW w:w="4819" w:type="dxa"/>
            <w:shd w:val="clear" w:color="auto" w:fill="F4F7FC"/>
          </w:tcPr>
          <w:p>
            <w:pPr>
              <w:pStyle w:val="TableText"/>
            </w:pPr>
            <w:r>
              <w:rPr>
                <w:sz w:val="18"/>
                <w:szCs w:val="18"/>
              </w:rPr>
              <w:t xml:space="preserve">Exécutable non signé</w:t>
            </w:r>
          </w:p>
        </w:tc>
        <w:tc>
          <w:tcPr>
            <w:tcW w:w="4819" w:type="dxa"/>
            <w:shd w:val="clear" w:color="auto" w:fill="F4F7FC"/>
          </w:tcPr>
          <w:p>
            <w:pPr>
              <w:pStyle w:val="TableText"/>
            </w:pPr>
            <w:r>
              <w:rPr>
                <w:sz w:val="18"/>
                <w:szCs w:val="18"/>
              </w:rPr>
              <w:t xml:space="preserve">Vérifier l'empreinte ; signature Authenticode (évolution)</w:t>
            </w:r>
          </w:p>
        </w:tc>
      </w:tr>
      <w:tr>
        <w:trPr>
          <w:cantSplit/>
        </w:trPr>
        <w:tc>
          <w:tcPr>
            <w:tcW w:w="4819" w:type="dxa"/>
          </w:tcPr>
          <w:p>
            <w:pPr>
              <w:pStyle w:val="TableText"/>
            </w:pPr>
            <w:r>
              <w:rPr>
                <w:sz w:val="18"/>
                <w:szCs w:val="18"/>
              </w:rPr>
              <w:t xml:space="preserve">Serveur HTTP intégré</w:t>
            </w:r>
          </w:p>
        </w:tc>
        <w:tc>
          <w:tcPr>
            <w:tcW w:w="4819" w:type="dxa"/>
          </w:tcPr>
          <w:p>
            <w:pPr>
              <w:pStyle w:val="TableText"/>
            </w:pPr>
            <w:r>
              <w:rPr>
                <w:sz w:val="18"/>
                <w:szCs w:val="18"/>
              </w:rPr>
              <w:t xml:space="preserve">Pour une exposition large : IIS en frontal (mode header)</w:t>
            </w:r>
          </w:p>
        </w:tc>
      </w:tr>
      <w:tr>
        <w:trPr>
          <w:cantSplit/>
        </w:trPr>
        <w:tc>
          <w:tcPr>
            <w:tcW w:w="4819" w:type="dxa"/>
            <w:shd w:val="clear" w:color="auto" w:fill="F4F7FC"/>
          </w:tcPr>
          <w:p>
            <w:pPr>
              <w:pStyle w:val="TableText"/>
            </w:pPr>
            <w:r>
              <w:rPr>
                <w:sz w:val="18"/>
                <w:szCs w:val="18"/>
              </w:rPr>
              <w:t xml:space="preserve">Mode none sur un serveur multi-utilisateurs (RDS)</w:t>
            </w:r>
          </w:p>
        </w:tc>
        <w:tc>
          <w:tcPr>
            <w:tcW w:w="4819" w:type="dxa"/>
            <w:shd w:val="clear" w:color="auto" w:fill="F4F7FC"/>
          </w:tcPr>
          <w:p>
            <w:pPr>
              <w:pStyle w:val="TableText"/>
            </w:pPr>
            <w:r>
              <w:rPr>
                <w:sz w:val="18"/>
                <w:szCs w:val="18"/>
              </w:rPr>
              <w:t xml:space="preserve">Utiliser le mode ldap</w:t>
            </w:r>
          </w:p>
        </w:tc>
      </w:tr>
    </w:tbl>
    <w:p>
      <w:pPr>
        <w:spacing w:after="80"/>
      </w:pPr>
    </w:p>
    <w:p>
      <w:pPr>
        <w:pStyle w:val="Heading1"/>
      </w:pPr>
      <w:bookmarkStart w:id="137" w:name="_Toc00137"/>
      <w:r>
        <w:rPr/>
        <w:t xml:space="preserve">11. Gestion des incidents</w:t>
      </w:r>
      <w:bookmarkEnd w:id="137"/>
    </w:p>
    <w:p>
      <w:pPr>
        <w:pStyle w:val="Heading2"/>
      </w:pPr>
      <w:bookmarkStart w:id="138" w:name="_Toc00138"/>
      <w:r>
        <w:rPr/>
        <w:t xml:space="preserve">11.1 Démarche de diagnostic</w:t>
      </w:r>
      <w:bookmarkEnd w:id="138"/>
    </w:p>
    <w:p>
      <w:pPr>
        <w:pStyle w:val="ListParagraph"/>
        <w:numPr>
          <w:ilvl w:val="0"/>
          <w:numId w:val="10"/>
        </w:numPr>
      </w:pPr>
      <w:r>
        <w:rPr/>
        <w:t xml:space="preserve">Qualifier : interface, collecte d'un serveur, toutes les collectes, rapport, e-mail, connexion ?</w:t>
      </w:r>
    </w:p>
    <w:p>
      <w:pPr>
        <w:pStyle w:val="ListParagraph"/>
        <w:numPr>
          <w:ilvl w:val="0"/>
          <w:numId w:val="10"/>
        </w:numPr>
      </w:pPr>
      <w:r>
        <w:rPr/>
        <w:t xml:space="preserve">Consulter le badge d'état, les alertes du tableau de bord et la vue </w:t>
      </w:r>
      <w:r>
        <w:rPr>
          <w:b/>
        </w:rPr>
        <w:t xml:space="preserve">Collectes</w:t>
      </w:r>
      <w:r>
        <w:rPr/>
        <w:t xml:space="preserve"> (message d'erreur par serveur).</w:t>
      </w:r>
    </w:p>
    <w:p>
      <w:pPr>
        <w:pStyle w:val="ListParagraph"/>
        <w:numPr>
          <w:ilvl w:val="0"/>
          <w:numId w:val="10"/>
        </w:numPr>
      </w:pPr>
      <w:r>
        <w:rPr/>
        <w:t xml:space="preserve">Consulter </w:t>
      </w:r>
      <w:r>
        <w:rPr>
          <w:rFonts w:ascii="Consolas" w:hAnsi="Consolas" w:cs="Consolas"/>
          <w:color w:val="1C5CAB"/>
          <w:sz w:val="18"/>
          <w:szCs w:val="18"/>
          <w:shd w:val="clear" w:color="auto" w:fill="EEF3FA"/>
        </w:rPr>
        <w:t xml:space="preserve">C:\HeptagonesLM\logs\heptagoneslm.log</w:t>
      </w:r>
      <w:r>
        <w:rPr/>
        <w:t xml:space="preserve"> (lignes ERROR / WARNING à l'heure de l'incident).</w:t>
      </w:r>
    </w:p>
    <w:p>
      <w:pPr>
        <w:pStyle w:val="ListParagraph"/>
        <w:numPr>
          <w:ilvl w:val="0"/>
          <w:numId w:val="10"/>
        </w:numPr>
      </w:pPr>
      <w:r>
        <w:rPr/>
        <w:t xml:space="preserve">Vérifier le Planificateur de tâches (dernier résultat, historique).</w:t>
      </w:r>
    </w:p>
    <w:p>
      <w:pPr>
        <w:pStyle w:val="ListParagraph"/>
        <w:numPr>
          <w:ilvl w:val="0"/>
          <w:numId w:val="10"/>
        </w:numPr>
      </w:pPr>
      <w:r>
        <w:rPr/>
        <w:t xml:space="preserve">Reproduire en ligne de commande avec </w:t>
      </w:r>
      <w:r>
        <w:rPr>
          <w:rFonts w:ascii="Consolas" w:hAnsi="Consolas" w:cs="Consolas"/>
          <w:color w:val="1C5CAB"/>
          <w:sz w:val="18"/>
          <w:szCs w:val="18"/>
          <w:shd w:val="clear" w:color="auto" w:fill="EEF3FA"/>
        </w:rPr>
        <w:t xml:space="preserve">-v</w:t>
      </w:r>
      <w:r>
        <w:rPr/>
        <w:t xml:space="preserve"> (journal détaillé) : </w:t>
      </w:r>
      <w:r>
        <w:rPr>
          <w:rFonts w:ascii="Consolas" w:hAnsi="Consolas" w:cs="Consolas"/>
          <w:color w:val="1C5CAB"/>
          <w:sz w:val="18"/>
          <w:szCs w:val="18"/>
          <w:shd w:val="clear" w:color="auto" w:fill="EEF3FA"/>
        </w:rPr>
        <w:t xml:space="preserve">.\HeptagonesLM.exe -v -c heptagoneslm.yaml collect --server X</w:t>
      </w:r>
      <w:r>
        <w:rPr/>
        <w:t xml:space="preserve">.</w:t>
      </w:r>
    </w:p>
    <w:p>
      <w:pPr>
        <w:pStyle w:val="ListParagraph"/>
        <w:numPr>
          <w:ilvl w:val="0"/>
          <w:numId w:val="10"/>
        </w:numPr>
      </w:pPr>
      <w:r>
        <w:rPr/>
        <w:t xml:space="preserve">Appliquer la résolution du tableau 11.2 ou escalader (§ 11.4).</w:t>
      </w:r>
    </w:p>
    <w:p>
      <w:pPr>
        <w:pStyle w:val="Heading2"/>
      </w:pPr>
      <w:bookmarkStart w:id="139" w:name="_Toc00139"/>
      <w:r>
        <w:rPr/>
        <w:t xml:space="preserve">11.2 Incidents courants</w:t>
      </w:r>
      <w:bookmarkEnd w:id="139"/>
    </w:p>
    <w:p>
      <w:pPr>
        <w:pStyle w:val="Caption"/>
        <w:keepNext/>
      </w:pPr>
      <w:r>
        <w:rPr/>
        <w:t xml:space="preserve">Tableau 32 – Incidents courants et résolutions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409"/>
        <w:gridCol w:w="2155"/>
        <w:gridCol w:w="2409"/>
        <w:gridCol w:w="2663"/>
      </w:tblGrid>
      <w:tr>
        <w:trPr>
          <w:tblHeader/>
          <w:cantSplit/>
        </w:trPr>
        <w:tc>
          <w:tcPr>
            <w:tcW w:w="2409" w:type="dxa"/>
            <w:shd w:val="clear" w:color="auto" w:fill="2A78D6"/>
          </w:tcPr>
          <w:p>
            <w:pPr>
              <w:pStyle w:val="TableText"/>
            </w:pPr>
            <w:r>
              <w:rPr>
                <w:b/>
                <w:color w:val="FFFFFF"/>
                <w:sz w:val="16"/>
                <w:szCs w:val="16"/>
              </w:rPr>
              <w:t xml:space="preserve">Symptôme</w:t>
            </w:r>
          </w:p>
        </w:tc>
        <w:tc>
          <w:tcPr>
            <w:tcW w:w="2155" w:type="dxa"/>
            <w:shd w:val="clear" w:color="auto" w:fill="2A78D6"/>
          </w:tcPr>
          <w:p>
            <w:pPr>
              <w:pStyle w:val="TableText"/>
            </w:pPr>
            <w:r>
              <w:rPr>
                <w:b/>
                <w:color w:val="FFFFFF"/>
                <w:sz w:val="16"/>
                <w:szCs w:val="16"/>
              </w:rPr>
              <w:t xml:space="preserve">Cause probable</w:t>
            </w:r>
          </w:p>
        </w:tc>
        <w:tc>
          <w:tcPr>
            <w:tcW w:w="2409" w:type="dxa"/>
            <w:shd w:val="clear" w:color="auto" w:fill="2A78D6"/>
          </w:tcPr>
          <w:p>
            <w:pPr>
              <w:pStyle w:val="TableText"/>
            </w:pPr>
            <w:r>
              <w:rPr>
                <w:b/>
                <w:color w:val="FFFFFF"/>
                <w:sz w:val="16"/>
                <w:szCs w:val="16"/>
              </w:rPr>
              <w:t xml:space="preserve">Diagnostic</w:t>
            </w:r>
          </w:p>
        </w:tc>
        <w:tc>
          <w:tcPr>
            <w:tcW w:w="2663" w:type="dxa"/>
            <w:shd w:val="clear" w:color="auto" w:fill="2A78D6"/>
          </w:tcPr>
          <w:p>
            <w:pPr>
              <w:pStyle w:val="TableText"/>
            </w:pPr>
            <w:r>
              <w:rPr>
                <w:b/>
                <w:color w:val="FFFFFF"/>
                <w:sz w:val="16"/>
                <w:szCs w:val="16"/>
              </w:rPr>
              <w:t xml:space="preserve">Résolution</w:t>
            </w:r>
          </w:p>
        </w:tc>
      </w:tr>
      <w:tr>
        <w:trPr>
          <w:cantSplit/>
        </w:trPr>
        <w:tc>
          <w:tcPr>
            <w:tcW w:w="2409" w:type="dxa"/>
          </w:tcPr>
          <w:p>
            <w:pPr>
              <w:pStyle w:val="TableText"/>
            </w:pPr>
            <w:r>
              <w:rPr>
                <w:sz w:val="16"/>
                <w:szCs w:val="16"/>
              </w:rPr>
              <w:t xml:space="preserve">Alerte « Collecte en échec : X » ; badge « collecteur(s) en échec »</w:t>
            </w:r>
          </w:p>
        </w:tc>
        <w:tc>
          <w:tcPr>
            <w:tcW w:w="2155" w:type="dxa"/>
          </w:tcPr>
          <w:p>
            <w:pPr>
              <w:pStyle w:val="TableText"/>
            </w:pPr>
            <w:r>
              <w:rPr>
                <w:sz w:val="16"/>
                <w:szCs w:val="16"/>
              </w:rPr>
              <w:t xml:space="preserve">Serveur de licences arrêté, flux fermé, nom DNS</w:t>
            </w:r>
          </w:p>
        </w:tc>
        <w:tc>
          <w:tcPr>
            <w:tcW w:w="2409" w:type="dxa"/>
          </w:tcPr>
          <w:p>
            <w:pPr>
              <w:pStyle w:val="TableText"/>
            </w:pPr>
            <w:r>
              <w:rPr>
                <w:sz w:val="16"/>
                <w:szCs w:val="16"/>
              </w:rPr>
              <w:t xml:space="preserve">Vue Collectes ; </w:t>
            </w:r>
            <w:r>
              <w:rPr>
                <w:rFonts w:ascii="Consolas" w:hAnsi="Consolas" w:cs="Consolas"/>
                <w:color w:val="1C5CAB"/>
                <w:sz w:val="16"/>
                <w:szCs w:val="16"/>
                <w:shd w:val="clear" w:color="auto" w:fill="EEF3FA"/>
              </w:rPr>
              <w:t xml:space="preserve">lmutil lmstat -a -c port@hôte</w:t>
            </w:r>
            <w:r>
              <w:rPr>
                <w:sz w:val="16"/>
                <w:szCs w:val="16"/>
              </w:rPr>
              <w:t xml:space="preserve"> depuis le serveur HeptagonesLM ; </w:t>
            </w:r>
            <w:r>
              <w:rPr>
                <w:rFonts w:ascii="Consolas" w:hAnsi="Consolas" w:cs="Consolas"/>
                <w:color w:val="1C5CAB"/>
                <w:sz w:val="16"/>
                <w:szCs w:val="16"/>
                <w:shd w:val="clear" w:color="auto" w:fill="EEF3FA"/>
              </w:rPr>
              <w:t xml:space="preserve">Test-NetConnection hôte -Port 27000</w:t>
            </w:r>
          </w:p>
        </w:tc>
        <w:tc>
          <w:tcPr>
            <w:tcW w:w="2663" w:type="dxa"/>
          </w:tcPr>
          <w:p>
            <w:pPr>
              <w:pStyle w:val="TableText"/>
            </w:pPr>
            <w:r>
              <w:rPr>
                <w:sz w:val="16"/>
                <w:szCs w:val="16"/>
              </w:rPr>
              <w:t xml:space="preserve">Faire redémarrer le serveur de licences ; ouvrir le flux (F2 / F3) ; corriger </w:t>
            </w:r>
            <w:r>
              <w:rPr>
                <w:rFonts w:ascii="Consolas" w:hAnsi="Consolas" w:cs="Consolas"/>
                <w:color w:val="1C5CAB"/>
                <w:sz w:val="16"/>
                <w:szCs w:val="16"/>
                <w:shd w:val="clear" w:color="auto" w:fill="EEF3FA"/>
              </w:rPr>
              <w:t xml:space="preserve">port_at_host</w:t>
            </w:r>
          </w:p>
        </w:tc>
      </w:tr>
      <w:tr>
        <w:trPr>
          <w:cantSplit/>
        </w:trPr>
        <w:tc>
          <w:tcPr>
            <w:tcW w:w="2409" w:type="dxa"/>
            <w:shd w:val="clear" w:color="auto" w:fill="F4F7FC"/>
          </w:tcPr>
          <w:p>
            <w:pPr>
              <w:pStyle w:val="TableText"/>
            </w:pPr>
            <w:r>
              <w:rPr>
                <w:sz w:val="16"/>
                <w:szCs w:val="16"/>
              </w:rPr>
              <w:t xml:space="preserve">Message « délai dépassé (60s) »</w:t>
            </w:r>
          </w:p>
        </w:tc>
        <w:tc>
          <w:tcPr>
            <w:tcW w:w="2155" w:type="dxa"/>
            <w:shd w:val="clear" w:color="auto" w:fill="F4F7FC"/>
          </w:tcPr>
          <w:p>
            <w:pPr>
              <w:pStyle w:val="TableText"/>
            </w:pPr>
            <w:r>
              <w:rPr>
                <w:sz w:val="16"/>
                <w:szCs w:val="16"/>
              </w:rPr>
              <w:t xml:space="preserve">Serveur lent, triade partiellement arrêtée</w:t>
            </w:r>
          </w:p>
        </w:tc>
        <w:tc>
          <w:tcPr>
            <w:tcW w:w="2409" w:type="dxa"/>
            <w:shd w:val="clear" w:color="auto" w:fill="F4F7FC"/>
          </w:tcPr>
          <w:p>
            <w:pPr>
              <w:pStyle w:val="TableText"/>
            </w:pPr>
            <w:r>
              <w:rPr>
                <w:sz w:val="16"/>
                <w:szCs w:val="16"/>
              </w:rPr>
              <w:t xml:space="preserve">Durée de </w:t>
            </w:r>
            <w:r>
              <w:rPr>
                <w:rFonts w:ascii="Consolas" w:hAnsi="Consolas" w:cs="Consolas"/>
                <w:color w:val="1C5CAB"/>
                <w:sz w:val="16"/>
                <w:szCs w:val="16"/>
                <w:shd w:val="clear" w:color="auto" w:fill="EEF3FA"/>
              </w:rPr>
              <w:t xml:space="preserve">lmstat</w:t>
            </w:r>
            <w:r>
              <w:rPr>
                <w:sz w:val="16"/>
                <w:szCs w:val="16"/>
              </w:rPr>
              <w:t xml:space="preserve"> à la main</w:t>
            </w:r>
          </w:p>
        </w:tc>
        <w:tc>
          <w:tcPr>
            <w:tcW w:w="2663" w:type="dxa"/>
            <w:shd w:val="clear" w:color="auto" w:fill="F4F7FC"/>
          </w:tcPr>
          <w:p>
            <w:pPr>
              <w:pStyle w:val="TableText"/>
            </w:pPr>
            <w:r>
              <w:rPr>
                <w:sz w:val="16"/>
                <w:szCs w:val="16"/>
              </w:rPr>
              <w:t xml:space="preserve">Augmenter </w:t>
            </w:r>
            <w:r>
              <w:rPr>
                <w:rFonts w:ascii="Consolas" w:hAnsi="Consolas" w:cs="Consolas"/>
                <w:color w:val="1C5CAB"/>
                <w:sz w:val="16"/>
                <w:szCs w:val="16"/>
                <w:shd w:val="clear" w:color="auto" w:fill="EEF3FA"/>
              </w:rPr>
              <w:t xml:space="preserve">timeout_s</w:t>
            </w:r>
            <w:r>
              <w:rPr>
                <w:sz w:val="16"/>
                <w:szCs w:val="16"/>
              </w:rPr>
              <w:t xml:space="preserve"> ; signaler le serveur défaillant de la triade</w:t>
            </w:r>
          </w:p>
        </w:tc>
      </w:tr>
      <w:tr>
        <w:trPr>
          <w:cantSplit/>
        </w:trPr>
        <w:tc>
          <w:tcPr>
            <w:tcW w:w="2409" w:type="dxa"/>
          </w:tcPr>
          <w:p>
            <w:pPr>
              <w:pStyle w:val="TableText"/>
            </w:pPr>
            <w:r>
              <w:rPr>
                <w:sz w:val="16"/>
                <w:szCs w:val="16"/>
              </w:rPr>
              <w:t xml:space="preserve">Alerte « Collecte arrêtée » ; badge « Dernière collecte il y a … »</w:t>
            </w:r>
          </w:p>
        </w:tc>
        <w:tc>
          <w:tcPr>
            <w:tcW w:w="2155" w:type="dxa"/>
          </w:tcPr>
          <w:p>
            <w:pPr>
              <w:pStyle w:val="TableText"/>
            </w:pPr>
            <w:r>
              <w:rPr>
                <w:sz w:val="16"/>
                <w:szCs w:val="16"/>
              </w:rPr>
              <w:t xml:space="preserve">Tâche désactivée, mot de passe du compte expiré, serveur HeptagonesLM arrêté</w:t>
            </w:r>
          </w:p>
        </w:tc>
        <w:tc>
          <w:tcPr>
            <w:tcW w:w="2409" w:type="dxa"/>
          </w:tcPr>
          <w:p>
            <w:pPr>
              <w:pStyle w:val="TableText"/>
            </w:pPr>
            <w:r>
              <w:rPr>
                <w:rFonts w:ascii="Consolas" w:hAnsi="Consolas" w:cs="Consolas"/>
                <w:color w:val="1C5CAB"/>
                <w:sz w:val="16"/>
                <w:szCs w:val="16"/>
                <w:shd w:val="clear" w:color="auto" w:fill="EEF3FA"/>
              </w:rPr>
              <w:t xml:space="preserve">Get-ScheduledTaskInfo</w:t>
            </w:r>
            <w:r>
              <w:rPr>
                <w:sz w:val="16"/>
                <w:szCs w:val="16"/>
              </w:rPr>
              <w:t xml:space="preserve"> (LastTaskResult, LastRunTime) ; journal Planificateur</w:t>
            </w:r>
          </w:p>
        </w:tc>
        <w:tc>
          <w:tcPr>
            <w:tcW w:w="2663" w:type="dxa"/>
          </w:tcPr>
          <w:p>
            <w:pPr>
              <w:pStyle w:val="TableText"/>
            </w:pPr>
            <w:r>
              <w:rPr>
                <w:sz w:val="16"/>
                <w:szCs w:val="16"/>
              </w:rPr>
              <w:t xml:space="preserve">Réactiver la tâche ; réenregistrer les tâches avec le nouveau mot de passe (ou passer en gMSA)</w:t>
            </w:r>
          </w:p>
        </w:tc>
      </w:tr>
      <w:tr>
        <w:trPr>
          <w:cantSplit/>
        </w:trPr>
        <w:tc>
          <w:tcPr>
            <w:tcW w:w="2409" w:type="dxa"/>
            <w:shd w:val="clear" w:color="auto" w:fill="F4F7FC"/>
          </w:tcPr>
          <w:p>
            <w:pPr>
              <w:pStyle w:val="TableText"/>
            </w:pPr>
            <w:r>
              <w:rPr>
                <w:sz w:val="16"/>
                <w:szCs w:val="16"/>
              </w:rPr>
              <w:t xml:space="preserve">« lmutil introuvable : … »</w:t>
            </w:r>
          </w:p>
        </w:tc>
        <w:tc>
          <w:tcPr>
            <w:tcW w:w="2155" w:type="dxa"/>
            <w:shd w:val="clear" w:color="auto" w:fill="F4F7FC"/>
          </w:tcPr>
          <w:p>
            <w:pPr>
              <w:pStyle w:val="TableText"/>
            </w:pPr>
            <w:r>
              <w:rPr>
                <w:sz w:val="16"/>
                <w:szCs w:val="16"/>
              </w:rPr>
              <w:t xml:space="preserve">Chemin </w:t>
            </w:r>
            <w:r>
              <w:rPr>
                <w:rFonts w:ascii="Consolas" w:hAnsi="Consolas" w:cs="Consolas"/>
                <w:color w:val="1C5CAB"/>
                <w:sz w:val="16"/>
                <w:szCs w:val="16"/>
                <w:shd w:val="clear" w:color="auto" w:fill="EEF3FA"/>
              </w:rPr>
              <w:t xml:space="preserve">lmutil_path</w:t>
            </w:r>
            <w:r>
              <w:rPr>
                <w:sz w:val="16"/>
                <w:szCs w:val="16"/>
              </w:rPr>
              <w:t xml:space="preserve"> erroné</w:t>
            </w:r>
          </w:p>
        </w:tc>
        <w:tc>
          <w:tcPr>
            <w:tcW w:w="2409" w:type="dxa"/>
            <w:shd w:val="clear" w:color="auto" w:fill="F4F7FC"/>
          </w:tcPr>
          <w:p>
            <w:pPr>
              <w:pStyle w:val="TableText"/>
            </w:pPr>
            <w:r>
              <w:rPr>
                <w:sz w:val="16"/>
                <w:szCs w:val="16"/>
              </w:rPr>
              <w:t xml:space="preserve">Vérifier le fichier</w:t>
            </w:r>
          </w:p>
        </w:tc>
        <w:tc>
          <w:tcPr>
            <w:tcW w:w="2663" w:type="dxa"/>
            <w:shd w:val="clear" w:color="auto" w:fill="F4F7FC"/>
          </w:tcPr>
          <w:p>
            <w:pPr>
              <w:pStyle w:val="TableText"/>
            </w:pPr>
            <w:r>
              <w:rPr>
                <w:sz w:val="16"/>
                <w:szCs w:val="16"/>
              </w:rPr>
              <w:t xml:space="preserve">Corriger le chemin (un dossier est complété par lmutil.exe ; un script .cmd / .bat est accepté) ou utiliser « Rechercher l'outil » dans l'assistant</w:t>
            </w:r>
          </w:p>
        </w:tc>
      </w:tr>
      <w:tr>
        <w:trPr>
          <w:cantSplit/>
        </w:trPr>
        <w:tc>
          <w:tcPr>
            <w:tcW w:w="2409" w:type="dxa"/>
          </w:tcPr>
          <w:p>
            <w:pPr>
              <w:pStyle w:val="TableText"/>
            </w:pPr>
            <w:r>
              <w:rPr>
                <w:sz w:val="16"/>
                <w:szCs w:val="16"/>
              </w:rPr>
              <w:t xml:space="preserve">Bandeau jaune « Démonstration » dans l'interface</w:t>
            </w:r>
          </w:p>
        </w:tc>
        <w:tc>
          <w:tcPr>
            <w:tcW w:w="2155" w:type="dxa"/>
          </w:tcPr>
          <w:p>
            <w:pPr>
              <w:pStyle w:val="TableText"/>
            </w:pPr>
            <w:r>
              <w:rPr>
                <w:sz w:val="16"/>
                <w:szCs w:val="16"/>
              </w:rPr>
              <w:t xml:space="preserve">Interface lancée sur des données fictives (</w:t>
            </w:r>
            <w:r>
              <w:rPr>
                <w:rFonts w:ascii="Consolas" w:hAnsi="Consolas" w:cs="Consolas"/>
                <w:color w:val="1C5CAB"/>
                <w:sz w:val="16"/>
                <w:szCs w:val="16"/>
                <w:shd w:val="clear" w:color="auto" w:fill="EEF3FA"/>
              </w:rPr>
              <w:t xml:space="preserve">web --demo</w:t>
            </w:r>
            <w:r>
              <w:rPr>
                <w:sz w:val="16"/>
                <w:szCs w:val="16"/>
              </w:rPr>
              <w:t xml:space="preserve"> ou HeptagonesLM.exe sans installation)</w:t>
            </w:r>
          </w:p>
        </w:tc>
        <w:tc>
          <w:tcPr>
            <w:tcW w:w="2409" w:type="dxa"/>
          </w:tcPr>
          <w:p>
            <w:pPr>
              <w:pStyle w:val="TableText"/>
            </w:pPr>
            <w:r>
              <w:rPr>
                <w:sz w:val="16"/>
                <w:szCs w:val="16"/>
              </w:rPr>
              <w:t xml:space="preserve">Titre de l'onglet « [Démonstration] »</w:t>
            </w:r>
          </w:p>
        </w:tc>
        <w:tc>
          <w:tcPr>
            <w:tcW w:w="2663" w:type="dxa"/>
          </w:tcPr>
          <w:p>
            <w:pPr>
              <w:pStyle w:val="TableText"/>
            </w:pPr>
            <w:r>
              <w:rPr>
                <w:sz w:val="16"/>
                <w:szCs w:val="16"/>
              </w:rPr>
              <w:t xml:space="preserve">Ouvrir l'adresse de l'installation (fin de l'assistant) ; installer avec HeptagonesLM-Setup.exe</w:t>
            </w:r>
          </w:p>
        </w:tc>
      </w:tr>
      <w:tr>
        <w:trPr>
          <w:cantSplit/>
        </w:trPr>
        <w:tc>
          <w:tcPr>
            <w:tcW w:w="2409" w:type="dxa"/>
            <w:shd w:val="clear" w:color="auto" w:fill="F4F7FC"/>
          </w:tcPr>
          <w:p>
            <w:pPr>
              <w:pStyle w:val="TableText"/>
            </w:pPr>
            <w:r>
              <w:rPr>
                <w:sz w:val="16"/>
                <w:szCs w:val="16"/>
              </w:rPr>
              <w:t xml:space="preserve">Code retour 1 « Erreur de configuration : … »</w:t>
            </w:r>
          </w:p>
        </w:tc>
        <w:tc>
          <w:tcPr>
            <w:tcW w:w="2155" w:type="dxa"/>
            <w:shd w:val="clear" w:color="auto" w:fill="F4F7FC"/>
          </w:tcPr>
          <w:p>
            <w:pPr>
              <w:pStyle w:val="TableText"/>
            </w:pPr>
            <w:r>
              <w:rPr>
                <w:sz w:val="16"/>
                <w:szCs w:val="16"/>
              </w:rPr>
              <w:t xml:space="preserve">Fichier YAML invalide (indentation, tabulation, guillemets)</w:t>
            </w:r>
          </w:p>
        </w:tc>
        <w:tc>
          <w:tcPr>
            <w:tcW w:w="2409" w:type="dxa"/>
            <w:shd w:val="clear" w:color="auto" w:fill="F4F7FC"/>
          </w:tcPr>
          <w:p>
            <w:pPr>
              <w:pStyle w:val="TableText"/>
            </w:pPr>
            <w:r>
              <w:rPr>
                <w:sz w:val="16"/>
                <w:szCs w:val="16"/>
              </w:rPr>
              <w:t xml:space="preserve">Message exact dans la console / le journal</w:t>
            </w:r>
          </w:p>
        </w:tc>
        <w:tc>
          <w:tcPr>
            <w:tcW w:w="2663" w:type="dxa"/>
            <w:shd w:val="clear" w:color="auto" w:fill="F4F7FC"/>
          </w:tcPr>
          <w:p>
            <w:pPr>
              <w:pStyle w:val="TableText"/>
            </w:pPr>
            <w:r>
              <w:rPr>
                <w:sz w:val="16"/>
                <w:szCs w:val="16"/>
              </w:rPr>
              <w:t xml:space="preserve">Corriger le fichier ; revenir à la copie de sauvegarde</w:t>
            </w:r>
          </w:p>
        </w:tc>
      </w:tr>
      <w:tr>
        <w:trPr>
          <w:cantSplit/>
        </w:trPr>
        <w:tc>
          <w:tcPr>
            <w:tcW w:w="2409" w:type="dxa"/>
          </w:tcPr>
          <w:p>
            <w:pPr>
              <w:pStyle w:val="TableText"/>
            </w:pPr>
            <w:r>
              <w:rPr>
                <w:sz w:val="16"/>
                <w:szCs w:val="16"/>
              </w:rPr>
              <w:t xml:space="preserve">Erreur ODBC / connexion SQL impossible</w:t>
            </w:r>
          </w:p>
        </w:tc>
        <w:tc>
          <w:tcPr>
            <w:tcW w:w="2155" w:type="dxa"/>
          </w:tcPr>
          <w:p>
            <w:pPr>
              <w:pStyle w:val="TableText"/>
            </w:pPr>
            <w:r>
              <w:rPr>
                <w:sz w:val="16"/>
                <w:szCs w:val="16"/>
              </w:rPr>
              <w:t xml:space="preserve">Pilote absent, instance arrêtée, certificat SQL non reconnu (</w:t>
            </w:r>
            <w:r>
              <w:rPr>
                <w:rFonts w:ascii="Consolas" w:hAnsi="Consolas" w:cs="Consolas"/>
                <w:color w:val="1C5CAB"/>
                <w:sz w:val="16"/>
                <w:szCs w:val="16"/>
                <w:shd w:val="clear" w:color="auto" w:fill="EEF3FA"/>
              </w:rPr>
              <w:t xml:space="preserve">Encrypt=yes</w:t>
            </w:r>
            <w:r>
              <w:rPr>
                <w:sz w:val="16"/>
                <w:szCs w:val="16"/>
              </w:rPr>
              <w:t xml:space="preserve">), droits</w:t>
            </w:r>
          </w:p>
        </w:tc>
        <w:tc>
          <w:tcPr>
            <w:tcW w:w="2409" w:type="dxa"/>
          </w:tcPr>
          <w:p>
            <w:pPr>
              <w:pStyle w:val="TableText"/>
            </w:pPr>
            <w:r>
              <w:rPr>
                <w:sz w:val="16"/>
                <w:szCs w:val="16"/>
              </w:rPr>
              <w:t xml:space="preserve">Test </w:t>
            </w:r>
            <w:r>
              <w:rPr>
                <w:rFonts w:ascii="Consolas" w:hAnsi="Consolas" w:cs="Consolas"/>
                <w:color w:val="1C5CAB"/>
                <w:sz w:val="16"/>
                <w:szCs w:val="16"/>
                <w:shd w:val="clear" w:color="auto" w:fill="EEF3FA"/>
              </w:rPr>
              <w:t xml:space="preserve">sqlcmd -S instance -E</w:t>
            </w:r>
            <w:r>
              <w:rPr>
                <w:sz w:val="16"/>
                <w:szCs w:val="16"/>
              </w:rPr>
              <w:t xml:space="preserve"> avec le compte de service ; message ODBC</w:t>
            </w:r>
          </w:p>
        </w:tc>
        <w:tc>
          <w:tcPr>
            <w:tcW w:w="2663" w:type="dxa"/>
          </w:tcPr>
          <w:p>
            <w:pPr>
              <w:pStyle w:val="TableText"/>
            </w:pPr>
            <w:r>
              <w:rPr>
                <w:sz w:val="16"/>
                <w:szCs w:val="16"/>
              </w:rPr>
              <w:t xml:space="preserve">Installer ODBC Driver 18 ; corriger le certificat ou le nom du serveur (nom du certificat) ; accorder les rôles</w:t>
            </w:r>
          </w:p>
        </w:tc>
      </w:tr>
      <w:tr>
        <w:trPr>
          <w:cantSplit/>
        </w:trPr>
        <w:tc>
          <w:tcPr>
            <w:tcW w:w="2409" w:type="dxa"/>
            <w:shd w:val="clear" w:color="auto" w:fill="F4F7FC"/>
          </w:tcPr>
          <w:p>
            <w:pPr>
              <w:pStyle w:val="TableText"/>
            </w:pPr>
            <w:r>
              <w:rPr>
                <w:sz w:val="16"/>
                <w:szCs w:val="16"/>
              </w:rPr>
              <w:t xml:space="preserve">« Colonne feature.expires_on absente : exécuter heptagoneslm init-db »</w:t>
            </w:r>
          </w:p>
        </w:tc>
        <w:tc>
          <w:tcPr>
            <w:tcW w:w="2155" w:type="dxa"/>
            <w:shd w:val="clear" w:color="auto" w:fill="F4F7FC"/>
          </w:tcPr>
          <w:p>
            <w:pPr>
              <w:pStyle w:val="TableText"/>
            </w:pPr>
            <w:r>
              <w:rPr>
                <w:sz w:val="16"/>
                <w:szCs w:val="16"/>
              </w:rPr>
              <w:t xml:space="preserve">Schéma non mis à jour après une montée de version</w:t>
            </w:r>
          </w:p>
        </w:tc>
        <w:tc>
          <w:tcPr>
            <w:tcW w:w="2409" w:type="dxa"/>
            <w:shd w:val="clear" w:color="auto" w:fill="F4F7FC"/>
          </w:tcPr>
          <w:p>
            <w:pPr>
              <w:pStyle w:val="TableText"/>
            </w:pPr>
            <w:r>
              <w:rPr>
                <w:sz w:val="16"/>
                <w:szCs w:val="16"/>
              </w:rPr>
              <w:t xml:space="preserve">Version du schéma (</w:t>
            </w:r>
            <w:r>
              <w:rPr>
                <w:rFonts w:ascii="Consolas" w:hAnsi="Consolas" w:cs="Consolas"/>
                <w:color w:val="1C5CAB"/>
                <w:sz w:val="16"/>
                <w:szCs w:val="16"/>
                <w:shd w:val="clear" w:color="auto" w:fill="EEF3FA"/>
              </w:rPr>
              <w:t xml:space="preserve">SELECT * FROM schema_info</w:t>
            </w:r>
            <w:r>
              <w:rPr>
                <w:sz w:val="16"/>
                <w:szCs w:val="16"/>
              </w:rPr>
              <w:t xml:space="preserve">)</w:t>
            </w:r>
          </w:p>
        </w:tc>
        <w:tc>
          <w:tcPr>
            <w:tcW w:w="2663" w:type="dxa"/>
            <w:shd w:val="clear" w:color="auto" w:fill="F4F7FC"/>
          </w:tcPr>
          <w:p>
            <w:pPr>
              <w:pStyle w:val="TableText"/>
            </w:pPr>
            <w:r>
              <w:rPr>
                <w:sz w:val="16"/>
                <w:szCs w:val="16"/>
              </w:rPr>
              <w:t xml:space="preserve">db_ddladmin temporaire + </w:t>
            </w:r>
            <w:r>
              <w:rPr>
                <w:rFonts w:ascii="Consolas" w:hAnsi="Consolas" w:cs="Consolas"/>
                <w:color w:val="1C5CAB"/>
                <w:sz w:val="16"/>
                <w:szCs w:val="16"/>
                <w:shd w:val="clear" w:color="auto" w:fill="EEF3FA"/>
              </w:rPr>
              <w:t xml:space="preserve">init-db</w:t>
            </w:r>
            <w:r>
              <w:rPr>
                <w:sz w:val="16"/>
                <w:szCs w:val="16"/>
              </w:rPr>
              <w:t xml:space="preserve"> (§ 12.1)</w:t>
            </w:r>
          </w:p>
        </w:tc>
      </w:tr>
      <w:tr>
        <w:trPr>
          <w:cantSplit/>
        </w:trPr>
        <w:tc>
          <w:tcPr>
            <w:tcW w:w="2409" w:type="dxa"/>
          </w:tcPr>
          <w:p>
            <w:pPr>
              <w:pStyle w:val="TableText"/>
            </w:pPr>
            <w:r>
              <w:rPr>
                <w:sz w:val="16"/>
                <w:szCs w:val="16"/>
              </w:rPr>
              <w:t xml:space="preserve">« Une collecte est déjà en cours : exécution ignorée » répété</w:t>
            </w:r>
          </w:p>
        </w:tc>
        <w:tc>
          <w:tcPr>
            <w:tcW w:w="2155" w:type="dxa"/>
          </w:tcPr>
          <w:p>
            <w:pPr>
              <w:pStyle w:val="TableText"/>
            </w:pPr>
            <w:r>
              <w:rPr>
                <w:sz w:val="16"/>
                <w:szCs w:val="16"/>
              </w:rPr>
              <w:t xml:space="preserve">Collecte bloquée (lmstat très lent)</w:t>
            </w:r>
          </w:p>
        </w:tc>
        <w:tc>
          <w:tcPr>
            <w:tcW w:w="2409" w:type="dxa"/>
          </w:tcPr>
          <w:p>
            <w:pPr>
              <w:pStyle w:val="TableText"/>
            </w:pPr>
            <w:r>
              <w:rPr>
                <w:sz w:val="16"/>
                <w:szCs w:val="16"/>
              </w:rPr>
              <w:t xml:space="preserve">Processus HeptagonesLM en cours, durée</w:t>
            </w:r>
          </w:p>
        </w:tc>
        <w:tc>
          <w:tcPr>
            <w:tcW w:w="2663" w:type="dxa"/>
          </w:tcPr>
          <w:p>
            <w:pPr>
              <w:pStyle w:val="TableText"/>
            </w:pPr>
            <w:r>
              <w:rPr>
                <w:sz w:val="16"/>
                <w:szCs w:val="16"/>
              </w:rPr>
              <w:t xml:space="preserve">Arrêter le processus bloqué ; réduire </w:t>
            </w:r>
            <w:r>
              <w:rPr>
                <w:rFonts w:ascii="Consolas" w:hAnsi="Consolas" w:cs="Consolas"/>
                <w:color w:val="1C5CAB"/>
                <w:sz w:val="16"/>
                <w:szCs w:val="16"/>
                <w:shd w:val="clear" w:color="auto" w:fill="EEF3FA"/>
              </w:rPr>
              <w:t xml:space="preserve">timeout_s</w:t>
            </w:r>
            <w:r>
              <w:rPr>
                <w:sz w:val="16"/>
                <w:szCs w:val="16"/>
              </w:rPr>
              <w:t xml:space="preserve"> ; vérifier le serveur de licences</w:t>
            </w:r>
          </w:p>
        </w:tc>
      </w:tr>
      <w:tr>
        <w:trPr>
          <w:cantSplit/>
        </w:trPr>
        <w:tc>
          <w:tcPr>
            <w:tcW w:w="2409" w:type="dxa"/>
            <w:shd w:val="clear" w:color="auto" w:fill="F4F7FC"/>
          </w:tcPr>
          <w:p>
            <w:pPr>
              <w:pStyle w:val="TableText"/>
            </w:pPr>
            <w:r>
              <w:rPr>
                <w:sz w:val="16"/>
                <w:szCs w:val="16"/>
              </w:rPr>
              <w:t xml:space="preserve">Aucun refus visible / « évènement(s) sans date ignoré(s) »</w:t>
            </w:r>
          </w:p>
        </w:tc>
        <w:tc>
          <w:tcPr>
            <w:tcW w:w="2155" w:type="dxa"/>
            <w:shd w:val="clear" w:color="auto" w:fill="F4F7FC"/>
          </w:tcPr>
          <w:p>
            <w:pPr>
              <w:pStyle w:val="TableText"/>
            </w:pPr>
            <w:r>
              <w:rPr>
                <w:sz w:val="16"/>
                <w:szCs w:val="16"/>
              </w:rPr>
              <w:t xml:space="preserve">Collecteur log absent, log non accessible, log sans horodatage</w:t>
            </w:r>
          </w:p>
        </w:tc>
        <w:tc>
          <w:tcPr>
            <w:tcW w:w="2409" w:type="dxa"/>
            <w:shd w:val="clear" w:color="auto" w:fill="F4F7FC"/>
          </w:tcPr>
          <w:p>
            <w:pPr>
              <w:pStyle w:val="TableText"/>
            </w:pPr>
            <w:r>
              <w:rPr>
                <w:sz w:val="16"/>
                <w:szCs w:val="16"/>
              </w:rPr>
              <w:t xml:space="preserve">Droits du compte sur le partage ; contenu du log</w:t>
            </w:r>
          </w:p>
        </w:tc>
        <w:tc>
          <w:tcPr>
            <w:tcW w:w="2663" w:type="dxa"/>
            <w:shd w:val="clear" w:color="auto" w:fill="F4F7FC"/>
          </w:tcPr>
          <w:p>
            <w:pPr>
              <w:pStyle w:val="TableText"/>
            </w:pPr>
            <w:r>
              <w:rPr>
                <w:sz w:val="16"/>
                <w:szCs w:val="16"/>
              </w:rPr>
              <w:t xml:space="preserve">Accorder la lecture ; activer le log debug FlexLM (option </w:t>
            </w:r>
            <w:r>
              <w:rPr>
                <w:rFonts w:ascii="Consolas" w:hAnsi="Consolas" w:cs="Consolas"/>
                <w:color w:val="1C5CAB"/>
                <w:sz w:val="16"/>
                <w:szCs w:val="16"/>
                <w:shd w:val="clear" w:color="auto" w:fill="EEF3FA"/>
              </w:rPr>
              <w:t xml:space="preserve">-l</w:t>
            </w:r>
            <w:r>
              <w:rPr>
                <w:sz w:val="16"/>
                <w:szCs w:val="16"/>
              </w:rPr>
              <w:t xml:space="preserve"> de lmgrd) ; </w:t>
            </w:r>
            <w:r>
              <w:rPr>
                <w:rFonts w:ascii="Consolas" w:hAnsi="Consolas" w:cs="Consolas"/>
                <w:color w:val="1C5CAB"/>
                <w:sz w:val="16"/>
                <w:szCs w:val="16"/>
                <w:shd w:val="clear" w:color="auto" w:fill="EEF3FA"/>
              </w:rPr>
              <w:t xml:space="preserve">collectors: [lmstat, log]</w:t>
            </w:r>
          </w:p>
        </w:tc>
      </w:tr>
      <w:tr>
        <w:trPr>
          <w:cantSplit/>
        </w:trPr>
        <w:tc>
          <w:tcPr>
            <w:tcW w:w="2409" w:type="dxa"/>
          </w:tcPr>
          <w:p>
            <w:pPr>
              <w:pStyle w:val="TableText"/>
            </w:pPr>
            <w:r>
              <w:rPr>
                <w:sz w:val="16"/>
                <w:szCs w:val="16"/>
              </w:rPr>
              <w:t xml:space="preserve">Interface injoignable depuis les postes</w:t>
            </w:r>
          </w:p>
        </w:tc>
        <w:tc>
          <w:tcPr>
            <w:tcW w:w="2155" w:type="dxa"/>
          </w:tcPr>
          <w:p>
            <w:pPr>
              <w:pStyle w:val="TableText"/>
            </w:pPr>
            <w:r>
              <w:rPr>
                <w:sz w:val="16"/>
                <w:szCs w:val="16"/>
              </w:rPr>
              <w:t xml:space="preserve">Tâche web arrêtée, pare-feu, </w:t>
            </w:r>
            <w:r>
              <w:rPr>
                <w:rFonts w:ascii="Consolas" w:hAnsi="Consolas" w:cs="Consolas"/>
                <w:color w:val="1C5CAB"/>
                <w:sz w:val="16"/>
                <w:szCs w:val="16"/>
                <w:shd w:val="clear" w:color="auto" w:fill="EEF3FA"/>
              </w:rPr>
              <w:t xml:space="preserve">host: 127.0.0.1</w:t>
            </w:r>
          </w:p>
        </w:tc>
        <w:tc>
          <w:tcPr>
            <w:tcW w:w="2409" w:type="dxa"/>
          </w:tcPr>
          <w:p>
            <w:pPr>
              <w:pStyle w:val="TableText"/>
            </w:pPr>
            <w:r>
              <w:rPr>
                <w:sz w:val="16"/>
                <w:szCs w:val="16"/>
              </w:rPr>
              <w:t xml:space="preserve">État de la tâche ; </w:t>
            </w:r>
            <w:r>
              <w:rPr>
                <w:rFonts w:ascii="Consolas" w:hAnsi="Consolas" w:cs="Consolas"/>
                <w:color w:val="1C5CAB"/>
                <w:sz w:val="16"/>
                <w:szCs w:val="16"/>
                <w:shd w:val="clear" w:color="auto" w:fill="EEF3FA"/>
              </w:rPr>
              <w:t xml:space="preserve">Test-NetConnection heptagoneslm -Port 8765</w:t>
            </w:r>
          </w:p>
        </w:tc>
        <w:tc>
          <w:tcPr>
            <w:tcW w:w="2663" w:type="dxa"/>
          </w:tcPr>
          <w:p>
            <w:pPr>
              <w:pStyle w:val="TableText"/>
            </w:pPr>
            <w:r>
              <w:rPr>
                <w:sz w:val="16"/>
                <w:szCs w:val="16"/>
              </w:rPr>
              <w:t xml:space="preserve">Démarrer la tâche ; ouvrir le port ; </w:t>
            </w:r>
            <w:r>
              <w:rPr>
                <w:rFonts w:ascii="Consolas" w:hAnsi="Consolas" w:cs="Consolas"/>
                <w:color w:val="1C5CAB"/>
                <w:sz w:val="16"/>
                <w:szCs w:val="16"/>
                <w:shd w:val="clear" w:color="auto" w:fill="EEF3FA"/>
              </w:rPr>
              <w:t xml:space="preserve">host: 0.0.0.0</w:t>
            </w:r>
          </w:p>
        </w:tc>
      </w:tr>
      <w:tr>
        <w:trPr>
          <w:cantSplit/>
        </w:trPr>
        <w:tc>
          <w:tcPr>
            <w:tcW w:w="2409" w:type="dxa"/>
            <w:shd w:val="clear" w:color="auto" w:fill="F4F7FC"/>
          </w:tcPr>
          <w:p>
            <w:pPr>
              <w:pStyle w:val="TableText"/>
            </w:pPr>
            <w:r>
              <w:rPr>
                <w:sz w:val="16"/>
                <w:szCs w:val="16"/>
              </w:rPr>
              <w:t xml:space="preserve">Erreur HTTP 421</w:t>
            </w:r>
          </w:p>
        </w:tc>
        <w:tc>
          <w:tcPr>
            <w:tcW w:w="2155" w:type="dxa"/>
            <w:shd w:val="clear" w:color="auto" w:fill="F4F7FC"/>
          </w:tcPr>
          <w:p>
            <w:pPr>
              <w:pStyle w:val="TableText"/>
            </w:pPr>
            <w:r>
              <w:rPr>
                <w:sz w:val="16"/>
                <w:szCs w:val="16"/>
              </w:rPr>
              <w:t xml:space="preserve">Nom utilisé par le navigateur non autorisé (protection DNS rebinding)</w:t>
            </w:r>
          </w:p>
        </w:tc>
        <w:tc>
          <w:tcPr>
            <w:tcW w:w="2409" w:type="dxa"/>
            <w:shd w:val="clear" w:color="auto" w:fill="F4F7FC"/>
          </w:tcPr>
          <w:p>
            <w:pPr>
              <w:pStyle w:val="TableText"/>
            </w:pPr>
            <w:r>
              <w:rPr>
                <w:sz w:val="16"/>
                <w:szCs w:val="16"/>
              </w:rPr>
              <w:t xml:space="preserve">Journal : « en-tête Host inattendu »</w:t>
            </w:r>
          </w:p>
        </w:tc>
        <w:tc>
          <w:tcPr>
            <w:tcW w:w="2663" w:type="dxa"/>
            <w:shd w:val="clear" w:color="auto" w:fill="F4F7FC"/>
          </w:tcPr>
          <w:p>
            <w:pPr>
              <w:pStyle w:val="TableText"/>
            </w:pPr>
            <w:r>
              <w:rPr>
                <w:sz w:val="16"/>
                <w:szCs w:val="16"/>
              </w:rPr>
              <w:t xml:space="preserve">Renseigner </w:t>
            </w:r>
            <w:r>
              <w:rPr>
                <w:rFonts w:ascii="Consolas" w:hAnsi="Consolas" w:cs="Consolas"/>
                <w:color w:val="1C5CAB"/>
                <w:sz w:val="16"/>
                <w:szCs w:val="16"/>
                <w:shd w:val="clear" w:color="auto" w:fill="EEF3FA"/>
              </w:rPr>
              <w:t xml:space="preserve">public_url</w:t>
            </w:r>
            <w:r>
              <w:rPr>
                <w:sz w:val="16"/>
                <w:szCs w:val="16"/>
              </w:rPr>
              <w:t xml:space="preserve"> ou </w:t>
            </w:r>
            <w:r>
              <w:rPr>
                <w:rFonts w:ascii="Consolas" w:hAnsi="Consolas" w:cs="Consolas"/>
                <w:color w:val="1C5CAB"/>
                <w:sz w:val="16"/>
                <w:szCs w:val="16"/>
                <w:shd w:val="clear" w:color="auto" w:fill="EEF3FA"/>
              </w:rPr>
              <w:t xml:space="preserve">allowed_hosts</w:t>
            </w:r>
          </w:p>
        </w:tc>
      </w:tr>
      <w:tr>
        <w:trPr>
          <w:cantSplit/>
        </w:trPr>
        <w:tc>
          <w:tcPr>
            <w:tcW w:w="2409" w:type="dxa"/>
          </w:tcPr>
          <w:p>
            <w:pPr>
              <w:pStyle w:val="TableText"/>
            </w:pPr>
            <w:r>
              <w:rPr>
                <w:sz w:val="16"/>
                <w:szCs w:val="16"/>
              </w:rPr>
              <w:t xml:space="preserve">L'interface refuse de démarrer en mode ldap</w:t>
            </w:r>
          </w:p>
        </w:tc>
        <w:tc>
          <w:tcPr>
            <w:tcW w:w="2155" w:type="dxa"/>
          </w:tcPr>
          <w:p>
            <w:pPr>
              <w:pStyle w:val="TableText"/>
            </w:pPr>
            <w:r>
              <w:rPr>
                <w:sz w:val="16"/>
                <w:szCs w:val="16"/>
              </w:rPr>
              <w:t xml:space="preserve">Écoute réseau sans HTTPS</w:t>
            </w:r>
          </w:p>
        </w:tc>
        <w:tc>
          <w:tcPr>
            <w:tcW w:w="2409" w:type="dxa"/>
          </w:tcPr>
          <w:p>
            <w:pPr>
              <w:pStyle w:val="TableText"/>
            </w:pPr>
            <w:r>
              <w:rPr>
                <w:sz w:val="16"/>
                <w:szCs w:val="16"/>
              </w:rPr>
              <w:t xml:space="preserve">Message au démarrage</w:t>
            </w:r>
          </w:p>
        </w:tc>
        <w:tc>
          <w:tcPr>
            <w:tcW w:w="2663" w:type="dxa"/>
          </w:tcPr>
          <w:p>
            <w:pPr>
              <w:pStyle w:val="TableText"/>
            </w:pPr>
            <w:r>
              <w:rPr>
                <w:sz w:val="16"/>
                <w:szCs w:val="16"/>
              </w:rPr>
              <w:t xml:space="preserve">Configurer </w:t>
            </w:r>
            <w:r>
              <w:rPr>
                <w:rFonts w:ascii="Consolas" w:hAnsi="Consolas" w:cs="Consolas"/>
                <w:color w:val="1C5CAB"/>
                <w:sz w:val="16"/>
                <w:szCs w:val="16"/>
                <w:shd w:val="clear" w:color="auto" w:fill="EEF3FA"/>
              </w:rPr>
              <w:t xml:space="preserve">tls_cert</w:t>
            </w:r>
            <w:r>
              <w:rPr>
                <w:sz w:val="16"/>
                <w:szCs w:val="16"/>
              </w:rPr>
              <w:t xml:space="preserve"> / </w:t>
            </w:r>
            <w:r>
              <w:rPr>
                <w:rFonts w:ascii="Consolas" w:hAnsi="Consolas" w:cs="Consolas"/>
                <w:color w:val="1C5CAB"/>
                <w:sz w:val="16"/>
                <w:szCs w:val="16"/>
                <w:shd w:val="clear" w:color="auto" w:fill="EEF3FA"/>
              </w:rPr>
              <w:t xml:space="preserve">tls_key</w:t>
            </w:r>
          </w:p>
        </w:tc>
      </w:tr>
      <w:tr>
        <w:trPr>
          <w:cantSplit/>
        </w:trPr>
        <w:tc>
          <w:tcPr>
            <w:tcW w:w="2409" w:type="dxa"/>
            <w:shd w:val="clear" w:color="auto" w:fill="F4F7FC"/>
          </w:tcPr>
          <w:p>
            <w:pPr>
              <w:pStyle w:val="TableText"/>
            </w:pPr>
            <w:r>
              <w:rPr>
                <w:sz w:val="16"/>
                <w:szCs w:val="16"/>
              </w:rPr>
              <w:t xml:space="preserve">Utilisateur légitime refusé à la connexion</w:t>
            </w:r>
          </w:p>
        </w:tc>
        <w:tc>
          <w:tcPr>
            <w:tcW w:w="2155" w:type="dxa"/>
            <w:shd w:val="clear" w:color="auto" w:fill="F4F7FC"/>
          </w:tcPr>
          <w:p>
            <w:pPr>
              <w:pStyle w:val="TableText"/>
            </w:pPr>
            <w:r>
              <w:rPr>
                <w:sz w:val="16"/>
                <w:szCs w:val="16"/>
              </w:rPr>
              <w:t xml:space="preserve">Hors du groupe, blocage 15 min après 5 échecs, LDAPS non vérifiable</w:t>
            </w:r>
          </w:p>
        </w:tc>
        <w:tc>
          <w:tcPr>
            <w:tcW w:w="2409" w:type="dxa"/>
            <w:shd w:val="clear" w:color="auto" w:fill="F4F7FC"/>
          </w:tcPr>
          <w:p>
            <w:pPr>
              <w:pStyle w:val="TableText"/>
            </w:pPr>
            <w:r>
              <w:rPr>
                <w:sz w:val="16"/>
                <w:szCs w:val="16"/>
              </w:rPr>
              <w:t xml:space="preserve">Journal d'audit (cause réelle) ; appartenance au groupe</w:t>
            </w:r>
          </w:p>
        </w:tc>
        <w:tc>
          <w:tcPr>
            <w:tcW w:w="2663" w:type="dxa"/>
            <w:shd w:val="clear" w:color="auto" w:fill="F4F7FC"/>
          </w:tcPr>
          <w:p>
            <w:pPr>
              <w:pStyle w:val="TableText"/>
            </w:pPr>
            <w:r>
              <w:rPr>
                <w:sz w:val="16"/>
                <w:szCs w:val="16"/>
              </w:rPr>
              <w:t xml:space="preserve">Ajouter au groupe ; attendre la fin du blocage ; </w:t>
            </w:r>
            <w:r>
              <w:rPr>
                <w:rFonts w:ascii="Consolas" w:hAnsi="Consolas" w:cs="Consolas"/>
                <w:color w:val="1C5CAB"/>
                <w:sz w:val="16"/>
                <w:szCs w:val="16"/>
                <w:shd w:val="clear" w:color="auto" w:fill="EEF3FA"/>
              </w:rPr>
              <w:t xml:space="preserve">ldap_ca_file</w:t>
            </w:r>
          </w:p>
        </w:tc>
      </w:tr>
      <w:tr>
        <w:trPr>
          <w:cantSplit/>
        </w:trPr>
        <w:tc>
          <w:tcPr>
            <w:tcW w:w="2409" w:type="dxa"/>
          </w:tcPr>
          <w:p>
            <w:pPr>
              <w:pStyle w:val="TableText"/>
            </w:pPr>
            <w:r>
              <w:rPr>
                <w:sz w:val="16"/>
                <w:szCs w:val="16"/>
              </w:rPr>
              <w:t xml:space="preserve">« STARTTLS refusé ou échoué vers l'annuaire »</w:t>
            </w:r>
          </w:p>
        </w:tc>
        <w:tc>
          <w:tcPr>
            <w:tcW w:w="2155" w:type="dxa"/>
          </w:tcPr>
          <w:p>
            <w:pPr>
              <w:pStyle w:val="TableText"/>
            </w:pPr>
            <w:r>
              <w:rPr>
                <w:sz w:val="16"/>
                <w:szCs w:val="16"/>
              </w:rPr>
              <w:t xml:space="preserve">DC sans certificat valide</w:t>
            </w:r>
          </w:p>
        </w:tc>
        <w:tc>
          <w:tcPr>
            <w:tcW w:w="2409" w:type="dxa"/>
          </w:tcPr>
          <w:p>
            <w:pPr>
              <w:pStyle w:val="TableText"/>
            </w:pPr>
            <w:r>
              <w:rPr>
                <w:sz w:val="16"/>
                <w:szCs w:val="16"/>
              </w:rPr>
              <w:t xml:space="preserve">Journal</w:t>
            </w:r>
          </w:p>
        </w:tc>
        <w:tc>
          <w:tcPr>
            <w:tcW w:w="2663" w:type="dxa"/>
          </w:tcPr>
          <w:p>
            <w:pPr>
              <w:pStyle w:val="TableText"/>
            </w:pPr>
            <w:r>
              <w:rPr>
                <w:sz w:val="16"/>
                <w:szCs w:val="16"/>
              </w:rPr>
              <w:t xml:space="preserve">Utiliser </w:t>
            </w:r>
            <w:r>
              <w:rPr>
                <w:rFonts w:ascii="Consolas" w:hAnsi="Consolas" w:cs="Consolas"/>
                <w:color w:val="1C5CAB"/>
                <w:sz w:val="16"/>
                <w:szCs w:val="16"/>
                <w:shd w:val="clear" w:color="auto" w:fill="EEF3FA"/>
              </w:rPr>
              <w:t xml:space="preserve">ldaps://</w:t>
            </w:r>
            <w:r>
              <w:rPr>
                <w:sz w:val="16"/>
                <w:szCs w:val="16"/>
              </w:rPr>
              <w:t xml:space="preserve"> ; corriger le certificat du DC</w:t>
            </w:r>
          </w:p>
        </w:tc>
      </w:tr>
      <w:tr>
        <w:trPr>
          <w:cantSplit/>
        </w:trPr>
        <w:tc>
          <w:tcPr>
            <w:tcW w:w="2409" w:type="dxa"/>
            <w:shd w:val="clear" w:color="auto" w:fill="F4F7FC"/>
          </w:tcPr>
          <w:p>
            <w:pPr>
              <w:pStyle w:val="TableText"/>
            </w:pPr>
            <w:r>
              <w:rPr>
                <w:sz w:val="16"/>
                <w:szCs w:val="16"/>
              </w:rPr>
              <w:t xml:space="preserve">Alerte de certificat dans le navigateur</w:t>
            </w:r>
          </w:p>
        </w:tc>
        <w:tc>
          <w:tcPr>
            <w:tcW w:w="2155" w:type="dxa"/>
            <w:shd w:val="clear" w:color="auto" w:fill="F4F7FC"/>
          </w:tcPr>
          <w:p>
            <w:pPr>
              <w:pStyle w:val="TableText"/>
            </w:pPr>
            <w:r>
              <w:rPr>
                <w:sz w:val="16"/>
                <w:szCs w:val="16"/>
              </w:rPr>
              <w:t xml:space="preserve">Certificat expiré ou nom différent de l'adresse</w:t>
            </w:r>
          </w:p>
        </w:tc>
        <w:tc>
          <w:tcPr>
            <w:tcW w:w="2409" w:type="dxa"/>
            <w:shd w:val="clear" w:color="auto" w:fill="F4F7FC"/>
          </w:tcPr>
          <w:p>
            <w:pPr>
              <w:pStyle w:val="TableText"/>
            </w:pPr>
            <w:r>
              <w:rPr>
                <w:sz w:val="16"/>
                <w:szCs w:val="16"/>
              </w:rPr>
              <w:t xml:space="preserve">Détail du certificat</w:t>
            </w:r>
          </w:p>
        </w:tc>
        <w:tc>
          <w:tcPr>
            <w:tcW w:w="2663" w:type="dxa"/>
            <w:shd w:val="clear" w:color="auto" w:fill="F4F7FC"/>
          </w:tcPr>
          <w:p>
            <w:pPr>
              <w:pStyle w:val="TableText"/>
            </w:pPr>
            <w:r>
              <w:rPr>
                <w:sz w:val="16"/>
                <w:szCs w:val="16"/>
              </w:rPr>
              <w:t xml:space="preserve">Renouveler (§ 12.4) ; utiliser le nom du certificat</w:t>
            </w:r>
          </w:p>
        </w:tc>
      </w:tr>
      <w:tr>
        <w:trPr>
          <w:cantSplit/>
        </w:trPr>
        <w:tc>
          <w:tcPr>
            <w:tcW w:w="2409" w:type="dxa"/>
          </w:tcPr>
          <w:p>
            <w:pPr>
              <w:pStyle w:val="TableText"/>
            </w:pPr>
            <w:r>
              <w:rPr>
                <w:sz w:val="16"/>
                <w:szCs w:val="16"/>
              </w:rPr>
              <w:t xml:space="preserve">E-mail non reçu</w:t>
            </w:r>
          </w:p>
        </w:tc>
        <w:tc>
          <w:tcPr>
            <w:tcW w:w="2155" w:type="dxa"/>
          </w:tcPr>
          <w:p>
            <w:pPr>
              <w:pStyle w:val="TableText"/>
            </w:pPr>
            <w:r>
              <w:rPr>
                <w:sz w:val="16"/>
                <w:szCs w:val="16"/>
              </w:rPr>
              <w:t xml:space="preserve">SMTP refusé, anti-spam, déjà envoyé pour la période</w:t>
            </w:r>
          </w:p>
        </w:tc>
        <w:tc>
          <w:tcPr>
            <w:tcW w:w="2409" w:type="dxa"/>
          </w:tcPr>
          <w:p>
            <w:pPr>
              <w:pStyle w:val="TableText"/>
            </w:pPr>
            <w:r>
              <w:rPr>
                <w:sz w:val="16"/>
                <w:szCs w:val="16"/>
              </w:rPr>
              <w:t xml:space="preserve">Journal « Envoi … impossible » ; table </w:t>
            </w:r>
            <w:r>
              <w:rPr>
                <w:rFonts w:ascii="Consolas" w:hAnsi="Consolas" w:cs="Consolas"/>
                <w:color w:val="1C5CAB"/>
                <w:sz w:val="16"/>
                <w:szCs w:val="16"/>
                <w:shd w:val="clear" w:color="auto" w:fill="EEF3FA"/>
              </w:rPr>
              <w:t xml:space="preserve">report_delivery</w:t>
            </w:r>
          </w:p>
        </w:tc>
        <w:tc>
          <w:tcPr>
            <w:tcW w:w="2663" w:type="dxa"/>
          </w:tcPr>
          <w:p>
            <w:pPr>
              <w:pStyle w:val="TableText"/>
            </w:pPr>
            <w:r>
              <w:rPr>
                <w:sz w:val="16"/>
                <w:szCs w:val="16"/>
              </w:rPr>
              <w:t xml:space="preserve">Corriger SMTP ; liste blanche ; </w:t>
            </w:r>
            <w:r>
              <w:rPr>
                <w:rFonts w:ascii="Consolas" w:hAnsi="Consolas" w:cs="Consolas"/>
                <w:color w:val="1C5CAB"/>
                <w:sz w:val="16"/>
                <w:szCs w:val="16"/>
                <w:shd w:val="clear" w:color="auto" w:fill="EEF3FA"/>
              </w:rPr>
              <w:t xml:space="preserve">send-report --subscription X</w:t>
            </w:r>
            <w:r>
              <w:rPr>
                <w:sz w:val="16"/>
                <w:szCs w:val="16"/>
              </w:rPr>
              <w:t xml:space="preserve"> sans </w:t>
            </w:r>
            <w:r>
              <w:rPr>
                <w:rFonts w:ascii="Consolas" w:hAnsi="Consolas" w:cs="Consolas"/>
                <w:color w:val="1C5CAB"/>
                <w:sz w:val="16"/>
                <w:szCs w:val="16"/>
                <w:shd w:val="clear" w:color="auto" w:fill="EEF3FA"/>
              </w:rPr>
              <w:t xml:space="preserve">--skip-sent</w:t>
            </w:r>
          </w:p>
        </w:tc>
      </w:tr>
      <w:tr>
        <w:trPr>
          <w:cantSplit/>
        </w:trPr>
        <w:tc>
          <w:tcPr>
            <w:tcW w:w="2409" w:type="dxa"/>
            <w:shd w:val="clear" w:color="auto" w:fill="F4F7FC"/>
          </w:tcPr>
          <w:p>
            <w:pPr>
              <w:pStyle w:val="TableText"/>
            </w:pPr>
            <w:r>
              <w:rPr>
                <w:sz w:val="16"/>
                <w:szCs w:val="16"/>
              </w:rPr>
              <w:t xml:space="preserve">Rapport mensuel absent</w:t>
            </w:r>
          </w:p>
        </w:tc>
        <w:tc>
          <w:tcPr>
            <w:tcW w:w="2155" w:type="dxa"/>
            <w:shd w:val="clear" w:color="auto" w:fill="F4F7FC"/>
          </w:tcPr>
          <w:p>
            <w:pPr>
              <w:pStyle w:val="TableText"/>
            </w:pPr>
            <w:r>
              <w:rPr>
                <w:sz w:val="16"/>
                <w:szCs w:val="16"/>
              </w:rPr>
              <w:t xml:space="preserve">Droits sur </w:t>
            </w:r>
            <w:r>
              <w:rPr>
                <w:rFonts w:ascii="Consolas" w:hAnsi="Consolas" w:cs="Consolas"/>
                <w:color w:val="1C5CAB"/>
                <w:sz w:val="16"/>
                <w:szCs w:val="16"/>
                <w:shd w:val="clear" w:color="auto" w:fill="EEF3FA"/>
              </w:rPr>
              <w:t xml:space="preserve">output_dir</w:t>
            </w:r>
            <w:r>
              <w:rPr>
                <w:sz w:val="16"/>
                <w:szCs w:val="16"/>
              </w:rPr>
              <w:t xml:space="preserve">, tâche en échec</w:t>
            </w:r>
          </w:p>
        </w:tc>
        <w:tc>
          <w:tcPr>
            <w:tcW w:w="2409" w:type="dxa"/>
            <w:shd w:val="clear" w:color="auto" w:fill="F4F7FC"/>
          </w:tcPr>
          <w:p>
            <w:pPr>
              <w:pStyle w:val="TableText"/>
            </w:pPr>
            <w:r>
              <w:rPr>
                <w:sz w:val="16"/>
                <w:szCs w:val="16"/>
              </w:rPr>
              <w:t xml:space="preserve">Journal ; dernier résultat de la tâche</w:t>
            </w:r>
          </w:p>
        </w:tc>
        <w:tc>
          <w:tcPr>
            <w:tcW w:w="2663" w:type="dxa"/>
            <w:shd w:val="clear" w:color="auto" w:fill="F4F7FC"/>
          </w:tcPr>
          <w:p>
            <w:pPr>
              <w:pStyle w:val="TableText"/>
            </w:pPr>
            <w:r>
              <w:rPr>
                <w:sz w:val="16"/>
                <w:szCs w:val="16"/>
              </w:rPr>
              <w:t xml:space="preserve">Corriger les droits ; relancer la tâche</w:t>
            </w:r>
          </w:p>
        </w:tc>
      </w:tr>
      <w:tr>
        <w:trPr>
          <w:cantSplit/>
        </w:trPr>
        <w:tc>
          <w:tcPr>
            <w:tcW w:w="2409" w:type="dxa"/>
          </w:tcPr>
          <w:p>
            <w:pPr>
              <w:pStyle w:val="TableText"/>
            </w:pPr>
            <w:r>
              <w:rPr>
                <w:sz w:val="16"/>
                <w:szCs w:val="16"/>
              </w:rPr>
              <w:t xml:space="preserve">Ticket ITSM non créé</w:t>
            </w:r>
          </w:p>
        </w:tc>
        <w:tc>
          <w:tcPr>
            <w:tcW w:w="2155" w:type="dxa"/>
          </w:tcPr>
          <w:p>
            <w:pPr>
              <w:pStyle w:val="TableText"/>
            </w:pPr>
            <w:r>
              <w:rPr>
                <w:sz w:val="16"/>
                <w:szCs w:val="16"/>
              </w:rPr>
              <w:t xml:space="preserve">URL, identifiants ou droits de l'utilisateur technique ; gravité inférieure à min_severity</w:t>
            </w:r>
          </w:p>
        </w:tc>
        <w:tc>
          <w:tcPr>
            <w:tcW w:w="2409" w:type="dxa"/>
          </w:tcPr>
          <w:p>
            <w:pPr>
              <w:pStyle w:val="TableText"/>
            </w:pPr>
            <w:r>
              <w:rPr>
                <w:rFonts w:ascii="Consolas" w:hAnsi="Consolas" w:cs="Consolas"/>
                <w:color w:val="1C5CAB"/>
                <w:sz w:val="16"/>
                <w:szCs w:val="16"/>
                <w:shd w:val="clear" w:color="auto" w:fill="EEF3FA"/>
              </w:rPr>
              <w:t xml:space="preserve">test-itsm</w:t>
            </w:r>
            <w:r>
              <w:rPr>
                <w:sz w:val="16"/>
                <w:szCs w:val="16"/>
              </w:rPr>
              <w:t xml:space="preserve"> (message d'erreur de l'outil) ; journal « ITSM : … »</w:t>
            </w:r>
          </w:p>
        </w:tc>
        <w:tc>
          <w:tcPr>
            <w:tcW w:w="2663" w:type="dxa"/>
          </w:tcPr>
          <w:p>
            <w:pPr>
              <w:pStyle w:val="TableText"/>
            </w:pPr>
            <w:r>
              <w:rPr>
                <w:sz w:val="16"/>
                <w:szCs w:val="16"/>
              </w:rPr>
              <w:t xml:space="preserve">Corriger le connecteur ; accorder le droit de créer des incidents</w:t>
            </w:r>
          </w:p>
        </w:tc>
      </w:tr>
      <w:tr>
        <w:trPr>
          <w:cantSplit/>
        </w:trPr>
        <w:tc>
          <w:tcPr>
            <w:tcW w:w="2409" w:type="dxa"/>
            <w:shd w:val="clear" w:color="auto" w:fill="F4F7FC"/>
          </w:tcPr>
          <w:p>
            <w:pPr>
              <w:pStyle w:val="TableText"/>
            </w:pPr>
            <w:r>
              <w:rPr>
                <w:sz w:val="16"/>
                <w:szCs w:val="16"/>
              </w:rPr>
              <w:t xml:space="preserve">« Pas de rôle » à l'ouverture de l'interface</w:t>
            </w:r>
          </w:p>
        </w:tc>
        <w:tc>
          <w:tcPr>
            <w:tcW w:w="2155" w:type="dxa"/>
            <w:shd w:val="clear" w:color="auto" w:fill="F4F7FC"/>
          </w:tcPr>
          <w:p>
            <w:pPr>
              <w:pStyle w:val="TableText"/>
            </w:pPr>
            <w:r>
              <w:rPr>
                <w:sz w:val="16"/>
                <w:szCs w:val="16"/>
              </w:rPr>
              <w:t xml:space="preserve">Utilisateur hors des groupes de web.roles (default: none)</w:t>
            </w:r>
          </w:p>
        </w:tc>
        <w:tc>
          <w:tcPr>
            <w:tcW w:w="2409" w:type="dxa"/>
            <w:shd w:val="clear" w:color="auto" w:fill="F4F7FC"/>
          </w:tcPr>
          <w:p>
            <w:pPr>
              <w:pStyle w:val="TableText"/>
            </w:pPr>
            <w:r>
              <w:rPr>
                <w:sz w:val="16"/>
                <w:szCs w:val="16"/>
              </w:rPr>
              <w:t xml:space="preserve">Journal d'audit « Accès refusé (aucun rôle) »</w:t>
            </w:r>
          </w:p>
        </w:tc>
        <w:tc>
          <w:tcPr>
            <w:tcW w:w="2663" w:type="dxa"/>
            <w:shd w:val="clear" w:color="auto" w:fill="F4F7FC"/>
          </w:tcPr>
          <w:p>
            <w:pPr>
              <w:pStyle w:val="TableText"/>
            </w:pPr>
            <w:r>
              <w:rPr>
                <w:sz w:val="16"/>
                <w:szCs w:val="16"/>
              </w:rPr>
              <w:t xml:space="preserve">Ajouter au groupe du rôle ou passer default: reader</w:t>
            </w:r>
          </w:p>
        </w:tc>
      </w:tr>
      <w:tr>
        <w:trPr>
          <w:cantSplit/>
        </w:trPr>
        <w:tc>
          <w:tcPr>
            <w:tcW w:w="2409" w:type="dxa"/>
          </w:tcPr>
          <w:p>
            <w:pPr>
              <w:pStyle w:val="TableText"/>
            </w:pPr>
            <w:r>
              <w:rPr>
                <w:sz w:val="16"/>
                <w:szCs w:val="16"/>
              </w:rPr>
              <w:t xml:space="preserve">Alertes non reçues</w:t>
            </w:r>
          </w:p>
        </w:tc>
        <w:tc>
          <w:tcPr>
            <w:tcW w:w="2155" w:type="dxa"/>
          </w:tcPr>
          <w:p>
            <w:pPr>
              <w:pStyle w:val="TableText"/>
            </w:pPr>
            <w:r>
              <w:rPr>
                <w:sz w:val="16"/>
                <w:szCs w:val="16"/>
              </w:rPr>
              <w:t xml:space="preserve">Section </w:t>
            </w:r>
            <w:r>
              <w:rPr>
                <w:rFonts w:ascii="Consolas" w:hAnsi="Consolas" w:cs="Consolas"/>
                <w:color w:val="1C5CAB"/>
                <w:sz w:val="16"/>
                <w:szCs w:val="16"/>
                <w:shd w:val="clear" w:color="auto" w:fill="EEF3FA"/>
              </w:rPr>
              <w:t xml:space="preserve">alerts</w:t>
            </w:r>
            <w:r>
              <w:rPr>
                <w:sz w:val="16"/>
                <w:szCs w:val="16"/>
              </w:rPr>
              <w:t xml:space="preserve"> absente, SMTP refusé, schéma non migré, alerte déjà envoyée</w:t>
            </w:r>
          </w:p>
        </w:tc>
        <w:tc>
          <w:tcPr>
            <w:tcW w:w="2409" w:type="dxa"/>
          </w:tcPr>
          <w:p>
            <w:pPr>
              <w:pStyle w:val="TableText"/>
            </w:pPr>
            <w:r>
              <w:rPr>
                <w:rFonts w:ascii="Consolas" w:hAnsi="Consolas" w:cs="Consolas"/>
                <w:color w:val="1C5CAB"/>
                <w:sz w:val="16"/>
                <w:szCs w:val="16"/>
                <w:shd w:val="clear" w:color="auto" w:fill="EEF3FA"/>
              </w:rPr>
              <w:t xml:space="preserve">check-alerts --dry-run apercu</w:t>
            </w:r>
            <w:r>
              <w:rPr>
                <w:sz w:val="16"/>
                <w:szCs w:val="16"/>
              </w:rPr>
              <w:t xml:space="preserve"> ; journal « Envoi des alertes impossible » ; </w:t>
            </w:r>
            <w:r>
              <w:rPr>
                <w:rFonts w:ascii="Consolas" w:hAnsi="Consolas" w:cs="Consolas"/>
                <w:color w:val="1C5CAB"/>
                <w:sz w:val="16"/>
                <w:szCs w:val="16"/>
                <w:shd w:val="clear" w:color="auto" w:fill="EEF3FA"/>
              </w:rPr>
              <w:t xml:space="preserve">report_delivery</w:t>
            </w:r>
            <w:r>
              <w:rPr>
                <w:sz w:val="16"/>
                <w:szCs w:val="16"/>
              </w:rPr>
              <w:t xml:space="preserve"> (abonnement Alertes)</w:t>
            </w:r>
          </w:p>
        </w:tc>
        <w:tc>
          <w:tcPr>
            <w:tcW w:w="2663" w:type="dxa"/>
          </w:tcPr>
          <w:p>
            <w:pPr>
              <w:pStyle w:val="TableText"/>
            </w:pPr>
            <w:r>
              <w:rPr>
                <w:sz w:val="16"/>
                <w:szCs w:val="16"/>
              </w:rPr>
              <w:t xml:space="preserve">Compléter la configuration ; </w:t>
            </w:r>
            <w:r>
              <w:rPr>
                <w:rFonts w:ascii="Consolas" w:hAnsi="Consolas" w:cs="Consolas"/>
                <w:color w:val="1C5CAB"/>
                <w:sz w:val="16"/>
                <w:szCs w:val="16"/>
                <w:shd w:val="clear" w:color="auto" w:fill="EEF3FA"/>
              </w:rPr>
              <w:t xml:space="preserve">init-db</w:t>
            </w:r>
            <w:r>
              <w:rPr>
                <w:sz w:val="16"/>
                <w:szCs w:val="16"/>
              </w:rPr>
              <w:t xml:space="preserve"> ; corriger SMTP</w:t>
            </w:r>
          </w:p>
        </w:tc>
      </w:tr>
      <w:tr>
        <w:trPr>
          <w:cantSplit/>
        </w:trPr>
        <w:tc>
          <w:tcPr>
            <w:tcW w:w="2409" w:type="dxa"/>
            <w:shd w:val="clear" w:color="auto" w:fill="F4F7FC"/>
          </w:tcPr>
          <w:p>
            <w:pPr>
              <w:pStyle w:val="TableText"/>
            </w:pPr>
            <w:r>
              <w:rPr>
                <w:sz w:val="16"/>
                <w:szCs w:val="16"/>
              </w:rPr>
              <w:t xml:space="preserve">Serveur RLM en échec</w:t>
            </w:r>
          </w:p>
        </w:tc>
        <w:tc>
          <w:tcPr>
            <w:tcW w:w="2155" w:type="dxa"/>
            <w:shd w:val="clear" w:color="auto" w:fill="F4F7FC"/>
          </w:tcPr>
          <w:p>
            <w:pPr>
              <w:pStyle w:val="TableText"/>
            </w:pPr>
            <w:r>
              <w:rPr>
                <w:sz w:val="16"/>
                <w:szCs w:val="16"/>
              </w:rPr>
              <w:t xml:space="preserve">rlmutil absent, port rlm filtré, serveur arrêté</w:t>
            </w:r>
          </w:p>
        </w:tc>
        <w:tc>
          <w:tcPr>
            <w:tcW w:w="2409" w:type="dxa"/>
            <w:shd w:val="clear" w:color="auto" w:fill="F4F7FC"/>
          </w:tcPr>
          <w:p>
            <w:pPr>
              <w:pStyle w:val="TableText"/>
            </w:pPr>
            <w:r>
              <w:rPr>
                <w:rFonts w:ascii="Consolas" w:hAnsi="Consolas" w:cs="Consolas"/>
                <w:color w:val="1C5CAB"/>
                <w:sz w:val="16"/>
                <w:szCs w:val="16"/>
                <w:shd w:val="clear" w:color="auto" w:fill="EEF3FA"/>
              </w:rPr>
              <w:t xml:space="preserve">rlmutil rlmstat -a -c 5053@serveur</w:t>
            </w:r>
          </w:p>
        </w:tc>
        <w:tc>
          <w:tcPr>
            <w:tcW w:w="2663" w:type="dxa"/>
            <w:shd w:val="clear" w:color="auto" w:fill="F4F7FC"/>
          </w:tcPr>
          <w:p>
            <w:pPr>
              <w:pStyle w:val="TableText"/>
            </w:pPr>
            <w:r>
              <w:rPr>
                <w:sz w:val="16"/>
                <w:szCs w:val="16"/>
              </w:rPr>
              <w:t xml:space="preserve">Renseigner </w:t>
            </w:r>
            <w:r>
              <w:rPr>
                <w:rFonts w:ascii="Consolas" w:hAnsi="Consolas" w:cs="Consolas"/>
                <w:color w:val="1C5CAB"/>
                <w:sz w:val="16"/>
                <w:szCs w:val="16"/>
                <w:shd w:val="clear" w:color="auto" w:fill="EEF3FA"/>
              </w:rPr>
              <w:t xml:space="preserve">rlmutil_path</w:t>
            </w:r>
            <w:r>
              <w:rPr>
                <w:sz w:val="16"/>
                <w:szCs w:val="16"/>
              </w:rPr>
              <w:t xml:space="preserve"> ; ouvrir le port du serveur rlm et des démons ISV</w:t>
            </w:r>
          </w:p>
        </w:tc>
      </w:tr>
      <w:tr>
        <w:trPr>
          <w:cantSplit/>
        </w:trPr>
        <w:tc>
          <w:tcPr>
            <w:tcW w:w="2409" w:type="dxa"/>
          </w:tcPr>
          <w:p>
            <w:pPr>
              <w:pStyle w:val="TableText"/>
            </w:pPr>
            <w:r>
              <w:rPr>
                <w:sz w:val="16"/>
                <w:szCs w:val="16"/>
              </w:rPr>
              <w:t xml:space="preserve">Produits affichés sous leur code technique</w:t>
            </w:r>
          </w:p>
        </w:tc>
        <w:tc>
          <w:tcPr>
            <w:tcW w:w="2155" w:type="dxa"/>
          </w:tcPr>
          <w:p>
            <w:pPr>
              <w:pStyle w:val="TableText"/>
            </w:pPr>
            <w:r>
              <w:rPr>
                <w:sz w:val="16"/>
                <w:szCs w:val="16"/>
              </w:rPr>
              <w:t xml:space="preserve">Feature sans règle </w:t>
            </w:r>
            <w:r>
              <w:rPr>
                <w:rFonts w:ascii="Consolas" w:hAnsi="Consolas" w:cs="Consolas"/>
                <w:color w:val="1C5CAB"/>
                <w:sz w:val="16"/>
                <w:szCs w:val="16"/>
                <w:shd w:val="clear" w:color="auto" w:fill="EEF3FA"/>
              </w:rPr>
              <w:t xml:space="preserve">products</w:t>
            </w:r>
          </w:p>
        </w:tc>
        <w:tc>
          <w:tcPr>
            <w:tcW w:w="2409" w:type="dxa"/>
          </w:tcPr>
          <w:p>
            <w:pPr>
              <w:pStyle w:val="TableText"/>
            </w:pPr>
            <w:r>
              <w:rPr>
                <w:sz w:val="16"/>
                <w:szCs w:val="16"/>
              </w:rPr>
              <w:t xml:space="preserve">Vue Synthèse</w:t>
            </w:r>
          </w:p>
        </w:tc>
        <w:tc>
          <w:tcPr>
            <w:tcW w:w="2663" w:type="dxa"/>
          </w:tcPr>
          <w:p>
            <w:pPr>
              <w:pStyle w:val="TableText"/>
            </w:pPr>
            <w:r>
              <w:rPr>
                <w:sz w:val="16"/>
                <w:szCs w:val="16"/>
              </w:rPr>
              <w:t xml:space="preserve">Ajouter une règle puis </w:t>
            </w:r>
            <w:r>
              <w:rPr>
                <w:rFonts w:ascii="Consolas" w:hAnsi="Consolas" w:cs="Consolas"/>
                <w:color w:val="1C5CAB"/>
                <w:sz w:val="16"/>
                <w:szCs w:val="16"/>
                <w:shd w:val="clear" w:color="auto" w:fill="EEF3FA"/>
              </w:rPr>
              <w:t xml:space="preserve">apply-products</w:t>
            </w:r>
          </w:p>
        </w:tc>
      </w:tr>
      <w:tr>
        <w:trPr>
          <w:cantSplit/>
        </w:trPr>
        <w:tc>
          <w:tcPr>
            <w:tcW w:w="2409" w:type="dxa"/>
            <w:shd w:val="clear" w:color="auto" w:fill="F4F7FC"/>
          </w:tcPr>
          <w:p>
            <w:pPr>
              <w:pStyle w:val="TableText"/>
            </w:pPr>
            <w:r>
              <w:rPr>
                <w:sz w:val="16"/>
                <w:szCs w:val="16"/>
              </w:rPr>
              <w:t xml:space="preserve">Utilisateurs sans service ni nom</w:t>
            </w:r>
          </w:p>
        </w:tc>
        <w:tc>
          <w:tcPr>
            <w:tcW w:w="2155" w:type="dxa"/>
            <w:shd w:val="clear" w:color="auto" w:fill="F4F7FC"/>
          </w:tcPr>
          <w:p>
            <w:pPr>
              <w:pStyle w:val="TableText"/>
            </w:pPr>
            <w:r>
              <w:rPr>
                <w:sz w:val="16"/>
                <w:szCs w:val="16"/>
              </w:rPr>
              <w:t xml:space="preserve">Référentiel non importé</w:t>
            </w:r>
          </w:p>
        </w:tc>
        <w:tc>
          <w:tcPr>
            <w:tcW w:w="2409" w:type="dxa"/>
            <w:shd w:val="clear" w:color="auto" w:fill="F4F7FC"/>
          </w:tcPr>
          <w:p>
            <w:pPr>
              <w:pStyle w:val="TableText"/>
            </w:pPr>
            <w:r>
              <w:rPr>
                <w:sz w:val="16"/>
                <w:szCs w:val="16"/>
              </w:rPr>
              <w:t xml:space="preserve">Vue Répartition par service « (non renseigné) »</w:t>
            </w:r>
          </w:p>
        </w:tc>
        <w:tc>
          <w:tcPr>
            <w:tcW w:w="2663" w:type="dxa"/>
            <w:shd w:val="clear" w:color="auto" w:fill="F4F7FC"/>
          </w:tcPr>
          <w:p>
            <w:pPr>
              <w:pStyle w:val="TableText"/>
            </w:pPr>
            <w:r>
              <w:rPr>
                <w:rFonts w:ascii="Consolas" w:hAnsi="Consolas" w:cs="Consolas"/>
                <w:color w:val="1C5CAB"/>
                <w:sz w:val="16"/>
                <w:szCs w:val="16"/>
                <w:shd w:val="clear" w:color="auto" w:fill="EEF3FA"/>
              </w:rPr>
              <w:t xml:space="preserve">import-users</w:t>
            </w:r>
            <w:r>
              <w:rPr>
                <w:sz w:val="16"/>
                <w:szCs w:val="16"/>
              </w:rPr>
              <w:t xml:space="preserve"> (§ 5.2.7)</w:t>
            </w:r>
          </w:p>
        </w:tc>
      </w:tr>
      <w:tr>
        <w:trPr>
          <w:cantSplit/>
        </w:trPr>
        <w:tc>
          <w:tcPr>
            <w:tcW w:w="2409" w:type="dxa"/>
          </w:tcPr>
          <w:p>
            <w:pPr>
              <w:pStyle w:val="TableText"/>
            </w:pPr>
            <w:r>
              <w:rPr>
                <w:sz w:val="16"/>
                <w:szCs w:val="16"/>
              </w:rPr>
              <w:t xml:space="preserve">Sessions anormalement longues</w:t>
            </w:r>
          </w:p>
        </w:tc>
        <w:tc>
          <w:tcPr>
            <w:tcW w:w="2155" w:type="dxa"/>
          </w:tcPr>
          <w:p>
            <w:pPr>
              <w:pStyle w:val="TableText"/>
            </w:pPr>
            <w:r>
              <w:rPr>
                <w:sz w:val="16"/>
                <w:szCs w:val="16"/>
              </w:rPr>
              <w:t xml:space="preserve">Démon éditeur arrêté (sessions laissées ouvertes)</w:t>
            </w:r>
          </w:p>
        </w:tc>
        <w:tc>
          <w:tcPr>
            <w:tcW w:w="2409" w:type="dxa"/>
          </w:tcPr>
          <w:p>
            <w:pPr>
              <w:pStyle w:val="TableText"/>
            </w:pPr>
            <w:r>
              <w:rPr>
                <w:sz w:val="16"/>
                <w:szCs w:val="16"/>
              </w:rPr>
              <w:t xml:space="preserve">Vue Sessions (fin vide)</w:t>
            </w:r>
          </w:p>
        </w:tc>
        <w:tc>
          <w:tcPr>
            <w:tcW w:w="2663" w:type="dxa"/>
          </w:tcPr>
          <w:p>
            <w:pPr>
              <w:pStyle w:val="TableText"/>
            </w:pPr>
            <w:r>
              <w:rPr>
                <w:sz w:val="16"/>
                <w:szCs w:val="16"/>
              </w:rPr>
              <w:t xml:space="preserve">Se referment au retour du démon ; sinon à la disparition des jetons</w:t>
            </w:r>
          </w:p>
        </w:tc>
      </w:tr>
      <w:tr>
        <w:trPr>
          <w:cantSplit/>
        </w:trPr>
        <w:tc>
          <w:tcPr>
            <w:tcW w:w="2409" w:type="dxa"/>
            <w:shd w:val="clear" w:color="auto" w:fill="F4F7FC"/>
          </w:tcPr>
          <w:p>
            <w:pPr>
              <w:pStyle w:val="TableText"/>
            </w:pPr>
            <w:r>
              <w:rPr>
                <w:sz w:val="16"/>
                <w:szCs w:val="16"/>
              </w:rPr>
              <w:t xml:space="preserve">Base volumineuse / disque plein</w:t>
            </w:r>
          </w:p>
        </w:tc>
        <w:tc>
          <w:tcPr>
            <w:tcW w:w="2155" w:type="dxa"/>
            <w:shd w:val="clear" w:color="auto" w:fill="F4F7FC"/>
          </w:tcPr>
          <w:p>
            <w:pPr>
              <w:pStyle w:val="TableText"/>
            </w:pPr>
            <w:r>
              <w:rPr>
                <w:sz w:val="16"/>
                <w:szCs w:val="16"/>
              </w:rPr>
              <w:t xml:space="preserve">Purge non exécutée</w:t>
            </w:r>
          </w:p>
        </w:tc>
        <w:tc>
          <w:tcPr>
            <w:tcW w:w="2409" w:type="dxa"/>
            <w:shd w:val="clear" w:color="auto" w:fill="F4F7FC"/>
          </w:tcPr>
          <w:p>
            <w:pPr>
              <w:pStyle w:val="TableText"/>
            </w:pPr>
            <w:r>
              <w:rPr>
                <w:rFonts w:ascii="Consolas" w:hAnsi="Consolas" w:cs="Consolas"/>
                <w:color w:val="1C5CAB"/>
                <w:sz w:val="16"/>
                <w:szCs w:val="16"/>
                <w:shd w:val="clear" w:color="auto" w:fill="EEF3FA"/>
              </w:rPr>
              <w:t xml:space="preserve">EXEC sp_spaceused</w:t>
            </w:r>
            <w:r>
              <w:rPr>
                <w:sz w:val="16"/>
                <w:szCs w:val="16"/>
              </w:rPr>
              <w:t xml:space="preserve"> ; tâche Purge</w:t>
            </w:r>
          </w:p>
        </w:tc>
        <w:tc>
          <w:tcPr>
            <w:tcW w:w="2663" w:type="dxa"/>
            <w:shd w:val="clear" w:color="auto" w:fill="F4F7FC"/>
          </w:tcPr>
          <w:p>
            <w:pPr>
              <w:pStyle w:val="TableText"/>
            </w:pPr>
            <w:r>
              <w:rPr>
                <w:sz w:val="16"/>
                <w:szCs w:val="16"/>
              </w:rPr>
              <w:t xml:space="preserve">Relancer la purge ; vérifier la tâche</w:t>
            </w:r>
          </w:p>
        </w:tc>
      </w:tr>
    </w:tbl>
    <w:p>
      <w:pPr>
        <w:spacing w:after="80"/>
      </w:pPr>
    </w:p>
    <w:p>
      <w:pPr>
        <w:pStyle w:val="Heading2"/>
      </w:pPr>
      <w:bookmarkStart w:id="140" w:name="_Toc00140"/>
      <w:r>
        <w:rPr/>
        <w:t xml:space="preserve">11.3 Commandes de diagnostic</w:t>
      </w:r>
      <w:bookmarkEnd w:id="140"/>
    </w:p>
    <w:p>
      <w:pPr>
        <w:pStyle w:val="Caption"/>
        <w:keepNext/>
      </w:pPr>
      <w:r>
        <w:rPr/>
        <w:t xml:space="preserve">Tableau 33 – Commandes de diagnostic</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4681"/>
        <w:gridCol w:w="4956"/>
      </w:tblGrid>
      <w:tr>
        <w:trPr>
          <w:tblHeader/>
          <w:cantSplit/>
        </w:trPr>
        <w:tc>
          <w:tcPr>
            <w:tcW w:w="4681" w:type="dxa"/>
            <w:shd w:val="clear" w:color="auto" w:fill="2A78D6"/>
          </w:tcPr>
          <w:p>
            <w:pPr>
              <w:pStyle w:val="TableText"/>
            </w:pPr>
            <w:r>
              <w:rPr>
                <w:b/>
                <w:color w:val="FFFFFF"/>
                <w:sz w:val="18"/>
                <w:szCs w:val="18"/>
              </w:rPr>
              <w:t xml:space="preserve">Commande</w:t>
            </w:r>
          </w:p>
        </w:tc>
        <w:tc>
          <w:tcPr>
            <w:tcW w:w="4956" w:type="dxa"/>
            <w:shd w:val="clear" w:color="auto" w:fill="2A78D6"/>
          </w:tcPr>
          <w:p>
            <w:pPr>
              <w:pStyle w:val="TableText"/>
            </w:pPr>
            <w:r>
              <w:rPr>
                <w:b/>
                <w:color w:val="FFFFFF"/>
                <w:sz w:val="18"/>
                <w:szCs w:val="18"/>
              </w:rPr>
              <w:t xml:space="preserve">Usage</w:t>
            </w:r>
          </w:p>
        </w:tc>
      </w:tr>
      <w:tr>
        <w:trPr>
          <w:cantSplit/>
        </w:trPr>
        <w:tc>
          <w:tcPr>
            <w:tcW w:w="4681" w:type="dxa"/>
          </w:tcPr>
          <w:p>
            <w:pPr>
              <w:pStyle w:val="TableText"/>
            </w:pPr>
            <w:r>
              <w:rPr>
                <w:rFonts w:ascii="Consolas" w:hAnsi="Consolas" w:cs="Consolas"/>
                <w:color w:val="1C5CAB"/>
                <w:sz w:val="18"/>
                <w:szCs w:val="18"/>
                <w:shd w:val="clear" w:color="auto" w:fill="EEF3FA"/>
              </w:rPr>
              <w:t xml:space="preserve">.\HeptagonesLM.exe -c heptagoneslm.yaml test-server --server X</w:t>
            </w:r>
          </w:p>
        </w:tc>
        <w:tc>
          <w:tcPr>
            <w:tcW w:w="4956" w:type="dxa"/>
          </w:tcPr>
          <w:p>
            <w:pPr>
              <w:pStyle w:val="TableText"/>
            </w:pPr>
            <w:r>
              <w:rPr>
                <w:sz w:val="18"/>
                <w:szCs w:val="18"/>
              </w:rPr>
              <w:t xml:space="preserve">Interroger un serveur sans rien écrire</w:t>
            </w:r>
          </w:p>
        </w:tc>
      </w:tr>
      <w:tr>
        <w:trPr>
          <w:cantSplit/>
        </w:trPr>
        <w:tc>
          <w:tcPr>
            <w:tcW w:w="4681" w:type="dxa"/>
            <w:shd w:val="clear" w:color="auto" w:fill="F4F7FC"/>
          </w:tcPr>
          <w:p>
            <w:pPr>
              <w:pStyle w:val="TableText"/>
            </w:pPr>
            <w:r>
              <w:rPr>
                <w:rFonts w:ascii="Consolas" w:hAnsi="Consolas" w:cs="Consolas"/>
                <w:color w:val="1C5CAB"/>
                <w:sz w:val="18"/>
                <w:szCs w:val="18"/>
                <w:shd w:val="clear" w:color="auto" w:fill="EEF3FA"/>
              </w:rPr>
              <w:t xml:space="preserve">.\HeptagonesLM.exe -v -c heptagoneslm.yaml collect --server X</w:t>
            </w:r>
          </w:p>
        </w:tc>
        <w:tc>
          <w:tcPr>
            <w:tcW w:w="4956" w:type="dxa"/>
            <w:shd w:val="clear" w:color="auto" w:fill="F4F7FC"/>
          </w:tcPr>
          <w:p>
            <w:pPr>
              <w:pStyle w:val="TableText"/>
            </w:pPr>
            <w:r>
              <w:rPr>
                <w:sz w:val="18"/>
                <w:szCs w:val="18"/>
              </w:rPr>
              <w:t xml:space="preserve">Collecte d'un seul serveur, journal détaillé</w:t>
            </w:r>
          </w:p>
        </w:tc>
      </w:tr>
      <w:tr>
        <w:trPr>
          <w:cantSplit/>
        </w:trPr>
        <w:tc>
          <w:tcPr>
            <w:tcW w:w="4681" w:type="dxa"/>
          </w:tcPr>
          <w:p>
            <w:pPr>
              <w:pStyle w:val="TableText"/>
            </w:pPr>
            <w:r>
              <w:rPr>
                <w:rFonts w:ascii="Consolas" w:hAnsi="Consolas" w:cs="Consolas"/>
                <w:color w:val="1C5CAB"/>
                <w:sz w:val="18"/>
                <w:szCs w:val="18"/>
                <w:shd w:val="clear" w:color="auto" w:fill="EEF3FA"/>
              </w:rPr>
              <w:t xml:space="preserve">lmutil lmstat -a -c 27000@licsrv1</w:t>
            </w:r>
          </w:p>
        </w:tc>
        <w:tc>
          <w:tcPr>
            <w:tcW w:w="4956" w:type="dxa"/>
          </w:tcPr>
          <w:p>
            <w:pPr>
              <w:pStyle w:val="TableText"/>
            </w:pPr>
            <w:r>
              <w:rPr>
                <w:sz w:val="18"/>
                <w:szCs w:val="18"/>
              </w:rPr>
              <w:t xml:space="preserve">Contrôle direct de l'état FlexLM</w:t>
            </w:r>
          </w:p>
        </w:tc>
      </w:tr>
      <w:tr>
        <w:trPr>
          <w:cantSplit/>
        </w:trPr>
        <w:tc>
          <w:tcPr>
            <w:tcW w:w="4681" w:type="dxa"/>
            <w:shd w:val="clear" w:color="auto" w:fill="F4F7FC"/>
          </w:tcPr>
          <w:p>
            <w:pPr>
              <w:pStyle w:val="TableText"/>
            </w:pPr>
            <w:r>
              <w:rPr>
                <w:rFonts w:ascii="Consolas" w:hAnsi="Consolas" w:cs="Consolas"/>
                <w:color w:val="1C5CAB"/>
                <w:sz w:val="18"/>
                <w:szCs w:val="18"/>
                <w:shd w:val="clear" w:color="auto" w:fill="EEF3FA"/>
              </w:rPr>
              <w:t xml:space="preserve">.\HeptagonesLM.exe parse-lmstat sortie.txt</w:t>
            </w:r>
          </w:p>
        </w:tc>
        <w:tc>
          <w:tcPr>
            <w:tcW w:w="4956" w:type="dxa"/>
            <w:shd w:val="clear" w:color="auto" w:fill="F4F7FC"/>
          </w:tcPr>
          <w:p>
            <w:pPr>
              <w:pStyle w:val="TableText"/>
            </w:pPr>
            <w:r>
              <w:rPr>
                <w:sz w:val="18"/>
                <w:szCs w:val="18"/>
              </w:rPr>
              <w:t xml:space="preserve">Tester le parser sur une sortie lmstat enregistrée (sans base)</w:t>
            </w:r>
          </w:p>
        </w:tc>
      </w:tr>
      <w:tr>
        <w:trPr>
          <w:cantSplit/>
        </w:trPr>
        <w:tc>
          <w:tcPr>
            <w:tcW w:w="4681" w:type="dxa"/>
          </w:tcPr>
          <w:p>
            <w:pPr>
              <w:pStyle w:val="TableText"/>
            </w:pPr>
            <w:r>
              <w:rPr>
                <w:rFonts w:ascii="Consolas" w:hAnsi="Consolas" w:cs="Consolas"/>
                <w:color w:val="1C5CAB"/>
                <w:sz w:val="18"/>
                <w:szCs w:val="18"/>
                <w:shd w:val="clear" w:color="auto" w:fill="EEF3FA"/>
              </w:rPr>
              <w:t xml:space="preserve">.\HeptagonesLM.exe parse-log license.log</w:t>
            </w:r>
          </w:p>
        </w:tc>
        <w:tc>
          <w:tcPr>
            <w:tcW w:w="4956" w:type="dxa"/>
          </w:tcPr>
          <w:p>
            <w:pPr>
              <w:pStyle w:val="TableText"/>
            </w:pPr>
            <w:r>
              <w:rPr>
                <w:sz w:val="18"/>
                <w:szCs w:val="18"/>
              </w:rPr>
              <w:t xml:space="preserve">Tester le parser sur un log (sans base)</w:t>
            </w:r>
          </w:p>
        </w:tc>
      </w:tr>
      <w:tr>
        <w:trPr>
          <w:cantSplit/>
        </w:trPr>
        <w:tc>
          <w:tcPr>
            <w:tcW w:w="4681" w:type="dxa"/>
            <w:shd w:val="clear" w:color="auto" w:fill="F4F7FC"/>
          </w:tcPr>
          <w:p>
            <w:pPr>
              <w:pStyle w:val="TableText"/>
            </w:pPr>
            <w:r>
              <w:rPr>
                <w:rFonts w:ascii="Consolas" w:hAnsi="Consolas" w:cs="Consolas"/>
                <w:color w:val="1C5CAB"/>
                <w:sz w:val="18"/>
                <w:szCs w:val="18"/>
                <w:shd w:val="clear" w:color="auto" w:fill="EEF3FA"/>
              </w:rPr>
              <w:t xml:space="preserve">.\HeptagonesLM.exe --version</w:t>
            </w:r>
          </w:p>
        </w:tc>
        <w:tc>
          <w:tcPr>
            <w:tcW w:w="4956" w:type="dxa"/>
            <w:shd w:val="clear" w:color="auto" w:fill="F4F7FC"/>
          </w:tcPr>
          <w:p>
            <w:pPr>
              <w:pStyle w:val="TableText"/>
            </w:pPr>
            <w:r>
              <w:rPr>
                <w:sz w:val="18"/>
                <w:szCs w:val="18"/>
              </w:rPr>
              <w:t xml:space="preserve">Version de l'application</w:t>
            </w:r>
          </w:p>
        </w:tc>
      </w:tr>
      <w:tr>
        <w:trPr>
          <w:cantSplit/>
        </w:trPr>
        <w:tc>
          <w:tcPr>
            <w:tcW w:w="4681" w:type="dxa"/>
          </w:tcPr>
          <w:p>
            <w:pPr>
              <w:pStyle w:val="TableText"/>
            </w:pPr>
            <w:r>
              <w:rPr>
                <w:rFonts w:ascii="Consolas" w:hAnsi="Consolas" w:cs="Consolas"/>
                <w:color w:val="1C5CAB"/>
                <w:sz w:val="18"/>
                <w:szCs w:val="18"/>
                <w:shd w:val="clear" w:color="auto" w:fill="EEF3FA"/>
              </w:rPr>
              <w:t xml:space="preserve">Test-NetConnection licsrv1 -Port 27000</w:t>
            </w:r>
          </w:p>
        </w:tc>
        <w:tc>
          <w:tcPr>
            <w:tcW w:w="4956" w:type="dxa"/>
          </w:tcPr>
          <w:p>
            <w:pPr>
              <w:pStyle w:val="TableText"/>
            </w:pPr>
            <w:r>
              <w:rPr>
                <w:sz w:val="18"/>
                <w:szCs w:val="18"/>
              </w:rPr>
              <w:t xml:space="preserve">Vérifier un flux réseau</w:t>
            </w:r>
          </w:p>
        </w:tc>
      </w:tr>
    </w:tbl>
    <w:p>
      <w:pPr>
        <w:spacing w:after="80"/>
      </w:pPr>
    </w:p>
    <w:p>
      <w:pPr>
        <w:pStyle w:val="Heading2"/>
      </w:pPr>
      <w:bookmarkStart w:id="141" w:name="_Toc00141"/>
      <w:r>
        <w:rPr/>
        <w:t xml:space="preserve">11.4 Escalade</w:t>
      </w:r>
      <w:bookmarkEnd w:id="141"/>
    </w:p>
    <w:p>
      <w:pPr>
        <w:pStyle w:val="Caption"/>
        <w:keepNext/>
      </w:pPr>
      <w:r>
        <w:rPr/>
        <w:t xml:space="preserve">Tableau 34 – Niveaux d'escalade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376"/>
        <w:gridCol w:w="2753"/>
        <w:gridCol w:w="3855"/>
        <w:gridCol w:w="1652"/>
      </w:tblGrid>
      <w:tr>
        <w:trPr>
          <w:tblHeader/>
          <w:cantSplit/>
        </w:trPr>
        <w:tc>
          <w:tcPr>
            <w:tcW w:w="1376" w:type="dxa"/>
            <w:shd w:val="clear" w:color="auto" w:fill="2A78D6"/>
          </w:tcPr>
          <w:p>
            <w:pPr>
              <w:pStyle w:val="TableText"/>
            </w:pPr>
            <w:r>
              <w:rPr>
                <w:b/>
                <w:color w:val="FFFFFF"/>
                <w:sz w:val="18"/>
                <w:szCs w:val="18"/>
              </w:rPr>
              <w:t xml:space="preserve">Niveau</w:t>
            </w:r>
          </w:p>
        </w:tc>
        <w:tc>
          <w:tcPr>
            <w:tcW w:w="2753" w:type="dxa"/>
            <w:shd w:val="clear" w:color="auto" w:fill="2A78D6"/>
          </w:tcPr>
          <w:p>
            <w:pPr>
              <w:pStyle w:val="TableText"/>
            </w:pPr>
            <w:r>
              <w:rPr>
                <w:b/>
                <w:color w:val="FFFFFF"/>
                <w:sz w:val="18"/>
                <w:szCs w:val="18"/>
              </w:rPr>
              <w:t xml:space="preserve">Acteur</w:t>
            </w:r>
          </w:p>
        </w:tc>
        <w:tc>
          <w:tcPr>
            <w:tcW w:w="3855" w:type="dxa"/>
            <w:shd w:val="clear" w:color="auto" w:fill="2A78D6"/>
          </w:tcPr>
          <w:p>
            <w:pPr>
              <w:pStyle w:val="TableText"/>
            </w:pPr>
            <w:r>
              <w:rPr>
                <w:b/>
                <w:color w:val="FFFFFF"/>
                <w:sz w:val="18"/>
                <w:szCs w:val="18"/>
              </w:rPr>
              <w:t xml:space="preserve">Périmètre</w:t>
            </w:r>
          </w:p>
        </w:tc>
        <w:tc>
          <w:tcPr>
            <w:tcW w:w="1652" w:type="dxa"/>
            <w:shd w:val="clear" w:color="auto" w:fill="2A78D6"/>
          </w:tcPr>
          <w:p>
            <w:pPr>
              <w:pStyle w:val="TableText"/>
            </w:pPr>
            <w:r>
              <w:rPr>
                <w:b/>
                <w:color w:val="FFFFFF"/>
                <w:sz w:val="18"/>
                <w:szCs w:val="18"/>
              </w:rPr>
              <w:t xml:space="preserve">Délai cible</w:t>
            </w:r>
          </w:p>
        </w:tc>
      </w:tr>
      <w:tr>
        <w:trPr>
          <w:cantSplit/>
        </w:trPr>
        <w:tc>
          <w:tcPr>
            <w:tcW w:w="1376" w:type="dxa"/>
          </w:tcPr>
          <w:p>
            <w:pPr>
              <w:pStyle w:val="TableText"/>
            </w:pPr>
            <w:r>
              <w:rPr>
                <w:sz w:val="18"/>
                <w:szCs w:val="18"/>
              </w:rPr>
              <w:t xml:space="preserve">N1</w:t>
            </w:r>
          </w:p>
        </w:tc>
        <w:tc>
          <w:tcPr>
            <w:tcW w:w="2753" w:type="dxa"/>
          </w:tcPr>
          <w:p>
            <w:pPr>
              <w:pStyle w:val="TableText"/>
            </w:pPr>
            <w:r>
              <w:rPr>
                <w:sz w:val="18"/>
                <w:szCs w:val="18"/>
              </w:rPr>
              <w:t xml:space="preserve">Centre de services / pilotage</w:t>
            </w:r>
          </w:p>
        </w:tc>
        <w:tc>
          <w:tcPr>
            <w:tcW w:w="3855" w:type="dxa"/>
          </w:tcPr>
          <w:p>
            <w:pPr>
              <w:pStyle w:val="TableText"/>
            </w:pPr>
            <w:r>
              <w:rPr>
                <w:sz w:val="18"/>
                <w:szCs w:val="18"/>
              </w:rPr>
              <w:t xml:space="preserve">Contrôles quotidiens, qualification, relance de tâches</w:t>
            </w:r>
          </w:p>
        </w:tc>
        <w:tc>
          <w:tcPr>
            <w:tcW w:w="1652" w:type="dxa"/>
          </w:tcPr>
          <w:p>
            <w:pPr>
              <w:pStyle w:val="TableText"/>
            </w:pPr>
            <w:r>
              <w:rPr>
                <w:sz w:val="18"/>
                <w:szCs w:val="18"/>
              </w:rPr>
              <w:t xml:space="preserve">Heures ouvrées</w:t>
            </w:r>
          </w:p>
        </w:tc>
      </w:tr>
      <w:tr>
        <w:trPr>
          <w:cantSplit/>
        </w:trPr>
        <w:tc>
          <w:tcPr>
            <w:tcW w:w="1376" w:type="dxa"/>
            <w:shd w:val="clear" w:color="auto" w:fill="F4F7FC"/>
          </w:tcPr>
          <w:p>
            <w:pPr>
              <w:pStyle w:val="TableText"/>
            </w:pPr>
            <w:r>
              <w:rPr>
                <w:sz w:val="18"/>
                <w:szCs w:val="18"/>
              </w:rPr>
              <w:t xml:space="preserve">N2</w:t>
            </w:r>
          </w:p>
        </w:tc>
        <w:tc>
          <w:tcPr>
            <w:tcW w:w="2753" w:type="dxa"/>
            <w:shd w:val="clear" w:color="auto" w:fill="F4F7FC"/>
          </w:tcPr>
          <w:p>
            <w:pPr>
              <w:pStyle w:val="TableText"/>
            </w:pPr>
            <w:r>
              <w:rPr>
                <w:sz w:val="18"/>
                <w:szCs w:val="18"/>
              </w:rPr>
              <w:t xml:space="preserve">Exploitation Windows / SQL</w:t>
            </w:r>
          </w:p>
        </w:tc>
        <w:tc>
          <w:tcPr>
            <w:tcW w:w="3855" w:type="dxa"/>
            <w:shd w:val="clear" w:color="auto" w:fill="F4F7FC"/>
          </w:tcPr>
          <w:p>
            <w:pPr>
              <w:pStyle w:val="TableText"/>
            </w:pPr>
            <w:r>
              <w:rPr>
                <w:sz w:val="18"/>
                <w:szCs w:val="18"/>
              </w:rPr>
              <w:t xml:space="preserve">Configuration, comptes, certificats, flux, restauration</w:t>
            </w:r>
          </w:p>
        </w:tc>
        <w:tc>
          <w:tcPr>
            <w:tcW w:w="1652" w:type="dxa"/>
            <w:shd w:val="clear" w:color="auto" w:fill="F4F7FC"/>
          </w:tcPr>
          <w:p>
            <w:pPr>
              <w:pStyle w:val="TableText"/>
            </w:pPr>
            <w:r>
              <w:rPr>
                <w:sz w:val="18"/>
                <w:szCs w:val="18"/>
              </w:rPr>
              <w:t xml:space="preserve">1 jour ouvré</w:t>
            </w:r>
          </w:p>
        </w:tc>
      </w:tr>
      <w:tr>
        <w:trPr>
          <w:cantSplit/>
        </w:trPr>
        <w:tc>
          <w:tcPr>
            <w:tcW w:w="1376" w:type="dxa"/>
          </w:tcPr>
          <w:p>
            <w:pPr>
              <w:pStyle w:val="TableText"/>
            </w:pPr>
            <w:r>
              <w:rPr>
                <w:sz w:val="18"/>
                <w:szCs w:val="18"/>
              </w:rPr>
              <w:t xml:space="preserve">N2 licences</w:t>
            </w:r>
          </w:p>
        </w:tc>
        <w:tc>
          <w:tcPr>
            <w:tcW w:w="2753" w:type="dxa"/>
          </w:tcPr>
          <w:p>
            <w:pPr>
              <w:pStyle w:val="TableText"/>
            </w:pPr>
            <w:r>
              <w:rPr>
                <w:sz w:val="18"/>
                <w:szCs w:val="18"/>
              </w:rPr>
              <w:t xml:space="preserve">Administrateurs des serveurs de licences</w:t>
            </w:r>
          </w:p>
        </w:tc>
        <w:tc>
          <w:tcPr>
            <w:tcW w:w="3855" w:type="dxa"/>
          </w:tcPr>
          <w:p>
            <w:pPr>
              <w:pStyle w:val="TableText"/>
            </w:pPr>
            <w:r>
              <w:rPr>
                <w:sz w:val="18"/>
                <w:szCs w:val="18"/>
              </w:rPr>
              <w:t xml:space="preserve">lmgrd, démons, logs debug, fichiers de licence</w:t>
            </w:r>
          </w:p>
        </w:tc>
        <w:tc>
          <w:tcPr>
            <w:tcW w:w="1652" w:type="dxa"/>
          </w:tcPr>
          <w:p>
            <w:pPr>
              <w:pStyle w:val="TableText"/>
            </w:pPr>
            <w:r>
              <w:rPr>
                <w:sz w:val="18"/>
                <w:szCs w:val="18"/>
              </w:rPr>
              <w:t xml:space="preserve">1 jour ouvré</w:t>
            </w:r>
          </w:p>
        </w:tc>
      </w:tr>
      <w:tr>
        <w:trPr>
          <w:cantSplit/>
        </w:trPr>
        <w:tc>
          <w:tcPr>
            <w:tcW w:w="1376" w:type="dxa"/>
            <w:shd w:val="clear" w:color="auto" w:fill="F4F7FC"/>
          </w:tcPr>
          <w:p>
            <w:pPr>
              <w:pStyle w:val="TableText"/>
            </w:pPr>
            <w:r>
              <w:rPr>
                <w:sz w:val="18"/>
                <w:szCs w:val="18"/>
              </w:rPr>
              <w:t xml:space="preserve">N3</w:t>
            </w:r>
          </w:p>
        </w:tc>
        <w:tc>
          <w:tcPr>
            <w:tcW w:w="2753" w:type="dxa"/>
            <w:shd w:val="clear" w:color="auto" w:fill="F4F7FC"/>
          </w:tcPr>
          <w:p>
            <w:pPr>
              <w:pStyle w:val="TableText"/>
            </w:pPr>
            <w:r>
              <w:rPr>
                <w:sz w:val="18"/>
                <w:szCs w:val="18"/>
              </w:rPr>
              <w:t xml:space="preserve">Équipe HeptagonesLM / communauté (issues GitHub)</w:t>
            </w:r>
          </w:p>
        </w:tc>
        <w:tc>
          <w:tcPr>
            <w:tcW w:w="3855" w:type="dxa"/>
            <w:shd w:val="clear" w:color="auto" w:fill="F4F7FC"/>
          </w:tcPr>
          <w:p>
            <w:pPr>
              <w:pStyle w:val="TableText"/>
            </w:pPr>
            <w:r>
              <w:rPr>
                <w:sz w:val="18"/>
                <w:szCs w:val="18"/>
              </w:rPr>
              <w:t xml:space="preserve">Anomalie logicielle, évolution</w:t>
            </w:r>
          </w:p>
        </w:tc>
        <w:tc>
          <w:tcPr>
            <w:tcW w:w="1652" w:type="dxa"/>
            <w:shd w:val="clear" w:color="auto" w:fill="F4F7FC"/>
          </w:tcPr>
          <w:p>
            <w:pPr>
              <w:pStyle w:val="TableText"/>
            </w:pPr>
            <w:r>
              <w:rPr>
                <w:sz w:val="18"/>
                <w:szCs w:val="18"/>
              </w:rPr>
              <w:t xml:space="preserve">Selon criticité</w:t>
            </w:r>
          </w:p>
        </w:tc>
      </w:tr>
    </w:tbl>
    <w:p>
      <w:pPr>
        <w:spacing w:after="80"/>
      </w:pPr>
    </w:p>
    <w:tbl>
      <w:tblPr>
        <w:tblW w:w="9638" w:type="dxa"/>
        <w:tblInd w:w="0" w:type="dxa"/>
        <w:tblBorders>
          <w:left w:val="single" w:sz="24" w:color="2A78D6"/>
        </w:tblBorders>
        <w:tblCellMar>
          <w:top w:w="100" w:type="dxa"/>
          <w:left w:w="180" w:type="dxa"/>
          <w:bottom w:w="100" w:type="dxa"/>
          <w:right w:w="180" w:type="dxa"/>
        </w:tblCellMar>
      </w:tblPr>
      <w:tblGrid>
        <w:gridCol w:w="9638"/>
      </w:tblGrid>
      <w:tr>
        <w:tc>
          <w:tcPr>
            <w:tcW w:w="9638" w:type="dxa"/>
            <w:shd w:val="clear" w:color="auto" w:fill="EEF4FC"/>
          </w:tcPr>
          <w:p>
            <w:pPr>
              <w:spacing w:before="0" w:after="0"/>
            </w:pPr>
            <w:r>
              <w:rPr>
                <w:b/>
                <w:color w:val="2A78D6"/>
              </w:rPr>
              <w:t xml:space="preserve">À noter — </w:t>
            </w:r>
            <w:r>
              <w:rPr/>
              <w:t xml:space="preserve">Pour une anomalie logicielle, joindre : version (</w:t>
            </w:r>
            <w:r>
              <w:rPr>
                <w:rFonts w:ascii="Consolas" w:hAnsi="Consolas" w:cs="Consolas"/>
                <w:color w:val="1C5CAB"/>
                <w:sz w:val="18"/>
                <w:szCs w:val="18"/>
                <w:shd w:val="clear" w:color="auto" w:fill="EEF3FA"/>
              </w:rPr>
              <w:t xml:space="preserve">--version</w:t>
            </w:r>
            <w:r>
              <w:rPr/>
              <w:t xml:space="preserve">), extrait du journal, sortie </w:t>
            </w:r>
            <w:r>
              <w:rPr>
                <w:rFonts w:ascii="Consolas" w:hAnsi="Consolas" w:cs="Consolas"/>
                <w:color w:val="1C5CAB"/>
                <w:sz w:val="18"/>
                <w:szCs w:val="18"/>
                <w:shd w:val="clear" w:color="auto" w:fill="EEF3FA"/>
              </w:rPr>
              <w:t xml:space="preserve">lmstat</w:t>
            </w:r>
            <w:r>
              <w:rPr/>
              <w:t xml:space="preserve"> anonymisée et étapes de reproduction. Ne jamais publier de configuration contenant des secrets.</w:t>
            </w:r>
          </w:p>
        </w:tc>
      </w:tr>
    </w:tbl>
    <w:p>
      <w:pPr>
        <w:spacing w:after="60"/>
      </w:pPr>
    </w:p>
    <w:p>
      <w:pPr>
        <w:pStyle w:val="Heading1"/>
      </w:pPr>
      <w:bookmarkStart w:id="142" w:name="_Toc00142"/>
      <w:r>
        <w:rPr/>
        <w:t xml:space="preserve">12. Maintenance et évolutions</w:t>
      </w:r>
      <w:bookmarkEnd w:id="142"/>
    </w:p>
    <w:p>
      <w:pPr>
        <w:pStyle w:val="Heading2"/>
      </w:pPr>
      <w:bookmarkStart w:id="143" w:name="_Toc00143"/>
      <w:r>
        <w:rPr/>
        <w:t xml:space="preserve">12.1 Mise à jour de version</w:t>
      </w:r>
      <w:bookmarkEnd w:id="143"/>
    </w:p>
    <w:p>
      <w:pPr/>
      <w:r>
        <w:rPr>
          <w:b/>
        </w:rPr>
        <w:t xml:space="preserve">Méthode simple</w:t>
      </w:r>
      <w:r>
        <w:rPr/>
        <w:t xml:space="preserve"> : après sauvegarde de la base et de </w:t>
      </w:r>
      <w:r>
        <w:rPr>
          <w:rFonts w:ascii="Consolas" w:hAnsi="Consolas" w:cs="Consolas"/>
          <w:color w:val="1C5CAB"/>
          <w:sz w:val="18"/>
          <w:szCs w:val="18"/>
          <w:shd w:val="clear" w:color="auto" w:fill="EEF3FA"/>
        </w:rPr>
        <w:t xml:space="preserve">heptagoneslm.yaml</w:t>
      </w:r>
      <w:r>
        <w:rPr/>
        <w:t xml:space="preserve">, relancer le nouveau </w:t>
      </w:r>
      <w:r>
        <w:rPr>
          <w:rFonts w:ascii="Consolas" w:hAnsi="Consolas" w:cs="Consolas"/>
          <w:color w:val="1C5CAB"/>
          <w:sz w:val="18"/>
          <w:szCs w:val="18"/>
          <w:shd w:val="clear" w:color="auto" w:fill="EEF3FA"/>
        </w:rPr>
        <w:t xml:space="preserve">HeptagonesLM-Setup.exe</w:t>
      </w:r>
      <w:r>
        <w:rPr/>
        <w:t xml:space="preserve"> avec les mêmes réponses (assistant ou </w:t>
      </w:r>
      <w:r>
        <w:rPr>
          <w:rFonts w:ascii="Consolas" w:hAnsi="Consolas" w:cs="Consolas"/>
          <w:color w:val="1C5CAB"/>
          <w:sz w:val="18"/>
          <w:szCs w:val="18"/>
          <w:shd w:val="clear" w:color="auto" w:fill="EEF3FA"/>
        </w:rPr>
        <w:t xml:space="preserve">--answers</w:t>
      </w:r>
      <w:r>
        <w:rPr/>
        <w:t xml:space="preserve">) : il remplace l'exécutable, met à jour le schéma, réapplique IIS et les tâches, puis vérifie l'ensemble. </w:t>
      </w:r>
      <w:r>
        <w:rPr>
          <w:b/>
        </w:rPr>
        <w:t xml:space="preserve">Méthode manuelle</w:t>
      </w:r>
      <w:r>
        <w:rPr/>
        <w:t xml:space="preserve"> :</w:t>
      </w:r>
    </w:p>
    <w:p>
      <w:pPr>
        <w:pStyle w:val="ListParagraph"/>
        <w:numPr>
          <w:ilvl w:val="0"/>
          <w:numId w:val="11"/>
        </w:numPr>
      </w:pPr>
      <w:r>
        <w:rPr/>
        <w:t xml:space="preserve">Lire le CHANGELOG de la nouvelle version (évolutions, changements de configuration).</w:t>
      </w:r>
    </w:p>
    <w:p>
      <w:pPr>
        <w:pStyle w:val="ListParagraph"/>
        <w:numPr>
          <w:ilvl w:val="0"/>
          <w:numId w:val="11"/>
        </w:numPr>
      </w:pPr>
      <w:r>
        <w:rPr/>
        <w:t xml:space="preserve">Sauvegarder la base et </w:t>
      </w:r>
      <w:r>
        <w:rPr>
          <w:rFonts w:ascii="Consolas" w:hAnsi="Consolas" w:cs="Consolas"/>
          <w:color w:val="1C5CAB"/>
          <w:sz w:val="18"/>
          <w:szCs w:val="18"/>
          <w:shd w:val="clear" w:color="auto" w:fill="EEF3FA"/>
        </w:rPr>
        <w:t xml:space="preserve">heptagoneslm.yaml</w:t>
      </w:r>
      <w:r>
        <w:rPr/>
        <w:t xml:space="preserve">.</w:t>
      </w:r>
    </w:p>
    <w:p>
      <w:pPr>
        <w:pStyle w:val="ListParagraph"/>
        <w:numPr>
          <w:ilvl w:val="0"/>
          <w:numId w:val="11"/>
        </w:numPr>
      </w:pPr>
      <w:r>
        <w:rPr/>
        <w:t xml:space="preserve">Désactiver les tâches et arrêter l'interface web (§ 7.2).</w:t>
      </w:r>
    </w:p>
    <w:p>
      <w:pPr>
        <w:pStyle w:val="ListParagraph"/>
        <w:numPr>
          <w:ilvl w:val="0"/>
          <w:numId w:val="11"/>
        </w:numPr>
      </w:pPr>
      <w:r>
        <w:rPr/>
        <w:t xml:space="preserve">Relancer le nouveau </w:t>
      </w:r>
      <w:r>
        <w:rPr>
          <w:rFonts w:ascii="Consolas" w:hAnsi="Consolas" w:cs="Consolas"/>
          <w:color w:val="1C5CAB"/>
          <w:sz w:val="18"/>
          <w:szCs w:val="18"/>
          <w:shd w:val="clear" w:color="auto" w:fill="EEF3FA"/>
        </w:rPr>
        <w:t xml:space="preserve">HeptagonesLM-Setup.exe</w:t>
      </w:r>
      <w:r>
        <w:rPr/>
        <w:t xml:space="preserve"> (empreinte SHA-256 vérifiée) : il met à jour HeptagonesLM.exe et conserve la configuration ; ou mettre à jour l'environnement Python.</w:t>
      </w:r>
    </w:p>
    <w:p>
      <w:pPr>
        <w:pStyle w:val="ListParagraph"/>
        <w:numPr>
          <w:ilvl w:val="0"/>
          <w:numId w:val="11"/>
        </w:numPr>
      </w:pPr>
      <w:r>
        <w:rPr/>
        <w:t xml:space="preserve">Accorder temporairement db_ddladmin, exécuter </w:t>
      </w:r>
      <w:r>
        <w:rPr>
          <w:rFonts w:ascii="Consolas" w:hAnsi="Consolas" w:cs="Consolas"/>
          <w:color w:val="1C5CAB"/>
          <w:sz w:val="18"/>
          <w:szCs w:val="18"/>
          <w:shd w:val="clear" w:color="auto" w:fill="EEF3FA"/>
        </w:rPr>
        <w:t xml:space="preserve">init-db</w:t>
      </w:r>
      <w:r>
        <w:rPr/>
        <w:t xml:space="preserve"> avec le compte de service, retirer le droit.</w:t>
      </w:r>
    </w:p>
    <w:p>
      <w:pPr>
        <w:pStyle w:val="ListParagraph"/>
        <w:numPr>
          <w:ilvl w:val="0"/>
          <w:numId w:val="11"/>
        </w:numPr>
      </w:pPr>
      <w:r>
        <w:rPr/>
        <w:t xml:space="preserve">Réactiver les tâches, lancer une collecte, vérifier </w:t>
      </w:r>
      <w:r>
        <w:rPr>
          <w:rFonts w:ascii="Consolas" w:hAnsi="Consolas" w:cs="Consolas"/>
          <w:color w:val="1C5CAB"/>
          <w:sz w:val="18"/>
          <w:szCs w:val="18"/>
          <w:shd w:val="clear" w:color="auto" w:fill="EEF3FA"/>
        </w:rPr>
        <w:t xml:space="preserve">--version</w:t>
      </w:r>
      <w:r>
        <w:rPr/>
        <w:t xml:space="preserve">, le badge d'état et un export.</w:t>
      </w:r>
    </w:p>
    <w:p>
      <w:pPr/>
      <w:r>
        <w:rPr/>
        <w:t xml:space="preserve">Retour arrière : réinstaller l'exécutable précédent et, si le schéma a évolué de façon incompatible, restaurer la base sauvegardée à l'étape 2. Les évolutions de schéma de HeptagonesLM sont additives (ajout de tables ou de colonnes), l'ancienne version reste donc généralement compatible. Exemple : le schéma v7 ajoute les tables </w:t>
      </w:r>
      <w:r>
        <w:rPr>
          <w:rFonts w:ascii="Consolas" w:hAnsi="Consolas" w:cs="Consolas"/>
          <w:color w:val="1C5CAB"/>
          <w:sz w:val="18"/>
          <w:szCs w:val="18"/>
          <w:shd w:val="clear" w:color="auto" w:fill="EEF3FA"/>
        </w:rPr>
        <w:t xml:space="preserve">named_seat</w:t>
      </w:r>
      <w:r>
        <w:rPr/>
        <w:t xml:space="preserve"> et </w:t>
      </w:r>
      <w:r>
        <w:rPr>
          <w:rFonts w:ascii="Consolas" w:hAnsi="Consolas" w:cs="Consolas"/>
          <w:color w:val="1C5CAB"/>
          <w:sz w:val="18"/>
          <w:szCs w:val="18"/>
          <w:shd w:val="clear" w:color="auto" w:fill="EEF3FA"/>
        </w:rPr>
        <w:t xml:space="preserve">named_import</w:t>
      </w:r>
      <w:r>
        <w:rPr/>
        <w:t xml:space="preserve"> (licences Autodesk nommées).</w:t>
      </w:r>
    </w:p>
    <w:p>
      <w:pPr>
        <w:pStyle w:val="Heading2"/>
      </w:pPr>
      <w:bookmarkStart w:id="144" w:name="_Toc00144"/>
      <w:r>
        <w:rPr/>
        <w:t xml:space="preserve">12.2 Ajout d'un serveur de licences</w:t>
      </w:r>
      <w:bookmarkEnd w:id="144"/>
    </w:p>
    <w:p>
      <w:pPr>
        <w:pStyle w:val="ListParagraph"/>
        <w:numPr>
          <w:ilvl w:val="0"/>
          <w:numId w:val="12"/>
        </w:numPr>
      </w:pPr>
      <w:r>
        <w:rPr/>
        <w:t xml:space="preserve">Ouvrir les flux F2 / F3 (et F4 pour le log) ; tester </w:t>
      </w:r>
      <w:r>
        <w:rPr>
          <w:rFonts w:ascii="Consolas" w:hAnsi="Consolas" w:cs="Consolas"/>
          <w:color w:val="1C5CAB"/>
          <w:sz w:val="18"/>
          <w:szCs w:val="18"/>
          <w:shd w:val="clear" w:color="auto" w:fill="EEF3FA"/>
        </w:rPr>
        <w:t xml:space="preserve">lmutil lmstat -a -c port@hôte</w:t>
      </w:r>
      <w:r>
        <w:rPr/>
        <w:t xml:space="preserve">.</w:t>
      </w:r>
    </w:p>
    <w:p>
      <w:pPr>
        <w:pStyle w:val="ListParagraph"/>
        <w:numPr>
          <w:ilvl w:val="0"/>
          <w:numId w:val="12"/>
        </w:numPr>
      </w:pPr>
      <w:r>
        <w:rPr/>
        <w:t xml:space="preserve">Ajouter un bloc dans </w:t>
      </w:r>
      <w:r>
        <w:rPr>
          <w:rFonts w:ascii="Consolas" w:hAnsi="Consolas" w:cs="Consolas"/>
          <w:color w:val="1C5CAB"/>
          <w:sz w:val="18"/>
          <w:szCs w:val="18"/>
          <w:shd w:val="clear" w:color="auto" w:fill="EEF3FA"/>
        </w:rPr>
        <w:t xml:space="preserve">servers:</w:t>
      </w:r>
      <w:r>
        <w:rPr/>
        <w:t xml:space="preserve"> (§ 6.2).</w:t>
      </w:r>
    </w:p>
    <w:p>
      <w:pPr>
        <w:pStyle w:val="ListParagraph"/>
        <w:numPr>
          <w:ilvl w:val="0"/>
          <w:numId w:val="12"/>
        </w:numPr>
      </w:pPr>
      <w:r>
        <w:rPr>
          <w:rFonts w:ascii="Consolas" w:hAnsi="Consolas" w:cs="Consolas"/>
          <w:color w:val="1C5CAB"/>
          <w:sz w:val="18"/>
          <w:szCs w:val="18"/>
          <w:shd w:val="clear" w:color="auto" w:fill="EEF3FA"/>
        </w:rPr>
        <w:t xml:space="preserve">test-server --server NOUVEAU</w:t>
      </w:r>
      <w:r>
        <w:rPr/>
        <w:t xml:space="preserve">, puis attendre la collecte suivante : le serveur est référencé automatiquement en base.</w:t>
      </w:r>
    </w:p>
    <w:p>
      <w:pPr>
        <w:pStyle w:val="ListParagraph"/>
        <w:numPr>
          <w:ilvl w:val="0"/>
          <w:numId w:val="12"/>
        </w:numPr>
      </w:pPr>
      <w:r>
        <w:rPr/>
        <w:t xml:space="preserve">Ajouter les règles </w:t>
      </w:r>
      <w:r>
        <w:rPr>
          <w:rFonts w:ascii="Consolas" w:hAnsi="Consolas" w:cs="Consolas"/>
          <w:color w:val="1C5CAB"/>
          <w:sz w:val="18"/>
          <w:szCs w:val="18"/>
          <w:shd w:val="clear" w:color="auto" w:fill="EEF3FA"/>
        </w:rPr>
        <w:t xml:space="preserve">products</w:t>
      </w:r>
      <w:r>
        <w:rPr/>
        <w:t xml:space="preserve"> correspondantes et, le cas échéant, </w:t>
      </w:r>
      <w:r>
        <w:rPr>
          <w:rFonts w:ascii="Consolas" w:hAnsi="Consolas" w:cs="Consolas"/>
          <w:color w:val="1C5CAB"/>
          <w:sz w:val="18"/>
          <w:szCs w:val="18"/>
          <w:shd w:val="clear" w:color="auto" w:fill="EEF3FA"/>
        </w:rPr>
        <w:t xml:space="preserve">annual_cost</w:t>
      </w:r>
      <w:r>
        <w:rPr/>
        <w:t xml:space="preserve">.</w:t>
      </w:r>
    </w:p>
    <w:p>
      <w:pPr>
        <w:pStyle w:val="Heading2"/>
      </w:pPr>
      <w:bookmarkStart w:id="145" w:name="_Toc00145"/>
      <w:r>
        <w:rPr/>
        <w:t xml:space="preserve">12.3 Produits, coûts et abonnements</w:t>
      </w:r>
      <w:bookmarkEnd w:id="145"/>
    </w:p>
    <w:p>
      <w:pPr/>
      <w:r>
        <w:rPr/>
        <w:t xml:space="preserve">Les règles de produits, les coûts annuels et les abonnements e-mail sont gérés dans </w:t>
      </w:r>
      <w:r>
        <w:rPr>
          <w:rFonts w:ascii="Consolas" w:hAnsi="Consolas" w:cs="Consolas"/>
          <w:color w:val="1C5CAB"/>
          <w:sz w:val="18"/>
          <w:szCs w:val="18"/>
          <w:shd w:val="clear" w:color="auto" w:fill="EEF3FA"/>
        </w:rPr>
        <w:t xml:space="preserve">heptagoneslm.yaml</w:t>
      </w:r>
      <w:r>
        <w:rPr/>
        <w:t xml:space="preserve"> à la demande du responsable applicatif (procédure § 6.3). Après modification des règles de produits, exécuter </w:t>
      </w:r>
      <w:r>
        <w:rPr>
          <w:rFonts w:ascii="Consolas" w:hAnsi="Consolas" w:cs="Consolas"/>
          <w:color w:val="1C5CAB"/>
          <w:sz w:val="18"/>
          <w:szCs w:val="18"/>
          <w:shd w:val="clear" w:color="auto" w:fill="EEF3FA"/>
        </w:rPr>
        <w:t xml:space="preserve">apply-products</w:t>
      </w:r>
      <w:r>
        <w:rPr/>
        <w:t xml:space="preserve"> pour mettre à jour l'historique.</w:t>
      </w:r>
    </w:p>
    <w:p>
      <w:pPr>
        <w:pStyle w:val="Heading2"/>
      </w:pPr>
      <w:bookmarkStart w:id="146" w:name="_Toc00146"/>
      <w:r>
        <w:rPr/>
        <w:t xml:space="preserve">12.4 Renouvellement des certificats</w:t>
      </w:r>
      <w:bookmarkEnd w:id="146"/>
    </w:p>
    <w:p>
      <w:pPr>
        <w:pStyle w:val="ListParagraph"/>
        <w:numPr>
          <w:ilvl w:val="0"/>
          <w:numId w:val="13"/>
        </w:numPr>
      </w:pPr>
      <w:r>
        <w:rPr/>
        <w:t xml:space="preserve">Obtenir le nouveau certificat (même nom DNS) au format PEM (certificat + chaîne) et la clé.</w:t>
      </w:r>
    </w:p>
    <w:p>
      <w:pPr>
        <w:pStyle w:val="ListParagraph"/>
        <w:numPr>
          <w:ilvl w:val="0"/>
          <w:numId w:val="13"/>
        </w:numPr>
      </w:pPr>
      <w:r>
        <w:rPr/>
        <w:t xml:space="preserve">Remplacer les fichiers désignés par </w:t>
      </w:r>
      <w:r>
        <w:rPr>
          <w:rFonts w:ascii="Consolas" w:hAnsi="Consolas" w:cs="Consolas"/>
          <w:color w:val="1C5CAB"/>
          <w:sz w:val="18"/>
          <w:szCs w:val="18"/>
          <w:shd w:val="clear" w:color="auto" w:fill="EEF3FA"/>
        </w:rPr>
        <w:t xml:space="preserve">tls_cert</w:t>
      </w:r>
      <w:r>
        <w:rPr/>
        <w:t xml:space="preserve"> / </w:t>
      </w:r>
      <w:r>
        <w:rPr>
          <w:rFonts w:ascii="Consolas" w:hAnsi="Consolas" w:cs="Consolas"/>
          <w:color w:val="1C5CAB"/>
          <w:sz w:val="18"/>
          <w:szCs w:val="18"/>
          <w:shd w:val="clear" w:color="auto" w:fill="EEF3FA"/>
        </w:rPr>
        <w:t xml:space="preserve">tls_key</w:t>
      </w:r>
      <w:r>
        <w:rPr/>
        <w:t xml:space="preserve"> (droits NTFS inchangés).</w:t>
      </w:r>
    </w:p>
    <w:p>
      <w:pPr>
        <w:pStyle w:val="ListParagraph"/>
        <w:numPr>
          <w:ilvl w:val="0"/>
          <w:numId w:val="13"/>
        </w:numPr>
      </w:pPr>
      <w:r>
        <w:rPr/>
        <w:t xml:space="preserve">Redémarrer la tâche « HeptagonesLM - Interface web » et vérifier la date d'expiration dans le navigateur.</w:t>
      </w:r>
    </w:p>
    <w:p>
      <w:pPr>
        <w:pStyle w:val="Heading2"/>
      </w:pPr>
      <w:bookmarkStart w:id="147" w:name="_Toc00147"/>
      <w:r>
        <w:rPr/>
        <w:t xml:space="preserve">12.5 Compte de service</w:t>
      </w:r>
      <w:bookmarkEnd w:id="147"/>
    </w:p>
    <w:p>
      <w:pPr/>
      <w:r>
        <w:rPr/>
        <w:t xml:space="preserve">Avec un gMSA, aucune action n'est requise. Avec un compte classique, après changement de mot de passe, réexécuter </w:t>
      </w:r>
      <w:r>
        <w:rPr>
          <w:rFonts w:ascii="Consolas" w:hAnsi="Consolas" w:cs="Consolas"/>
          <w:color w:val="1C5CAB"/>
          <w:sz w:val="18"/>
          <w:szCs w:val="18"/>
          <w:shd w:val="clear" w:color="auto" w:fill="EEF3FA"/>
        </w:rPr>
        <w:t xml:space="preserve">register_tasks.ps1</w:t>
      </w:r>
      <w:r>
        <w:rPr/>
        <w:t xml:space="preserve"> (les tâches existantes sont remplacées) pour mettre à jour les identifiants.</w:t>
      </w:r>
    </w:p>
    <w:p>
      <w:pPr>
        <w:pStyle w:val="Heading2"/>
      </w:pPr>
      <w:bookmarkStart w:id="148" w:name="_Toc00148"/>
      <w:r>
        <w:rPr/>
        <w:t xml:space="preserve">12.6 Ajout d'un autre gestionnaire de licences</w:t>
      </w:r>
      <w:bookmarkEnd w:id="148"/>
    </w:p>
    <w:p>
      <w:pPr/>
      <w:r>
        <w:rPr/>
        <w:t xml:space="preserve">L'architecture à collecteurs permet d'ajouter RLM, LM-X, etc. : un nouveau module produit les mêmes objets normalisés, sans modifier la base ni les rapports (voir docs/ARCHITECTURE.md § 6). Il s'agit d'une évolution logicielle à traiter avec l'équipe HeptagonesLM.</w:t>
      </w:r>
    </w:p>
    <w:p>
      <w:pPr>
        <w:pStyle w:val="Heading1"/>
      </w:pPr>
      <w:bookmarkStart w:id="149" w:name="_Toc00149"/>
      <w:r>
        <w:rPr/>
        <w:t xml:space="preserve">13. Continuité et reprise d'activité</w:t>
      </w:r>
      <w:bookmarkEnd w:id="149"/>
    </w:p>
    <w:p>
      <w:pPr>
        <w:pStyle w:val="Heading2"/>
      </w:pPr>
      <w:bookmarkStart w:id="150" w:name="_Toc00150"/>
      <w:r>
        <w:rPr/>
        <w:t xml:space="preserve">13.1 Impact d'une indisponibilité</w:t>
      </w:r>
      <w:bookmarkEnd w:id="150"/>
    </w:p>
    <w:p>
      <w:pPr/>
      <w:r>
        <w:rPr/>
        <w:t xml:space="preserve">L'arrêt de HeptagonesLM </w:t>
      </w:r>
      <w:r>
        <w:rPr>
          <w:b/>
        </w:rPr>
        <w:t xml:space="preserve">n'empêche aucun utilisateur de travailler</w:t>
      </w:r>
      <w:r>
        <w:rPr/>
        <w:t xml:space="preserve"> : les licences restent distribuées par les serveurs FlexLM. Les conséquences se limitent à un trou dans l'historique et à l'indisponibilité des rapports.</w:t>
      </w:r>
    </w:p>
    <w:p>
      <w:pPr>
        <w:pStyle w:val="Heading2"/>
      </w:pPr>
      <w:bookmarkStart w:id="151" w:name="_Toc00151"/>
      <w:r>
        <w:rPr/>
        <w:t xml:space="preserve">13.2 Scénarios de reprise</w:t>
      </w:r>
      <w:bookmarkEnd w:id="151"/>
    </w:p>
    <w:p>
      <w:pPr>
        <w:pStyle w:val="Caption"/>
        <w:keepNext/>
      </w:pPr>
      <w:r>
        <w:rPr/>
        <w:t xml:space="preserve">Tableau 35 – Scénarios de reprise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677"/>
        <w:gridCol w:w="2275"/>
        <w:gridCol w:w="3480"/>
        <w:gridCol w:w="1204"/>
      </w:tblGrid>
      <w:tr>
        <w:trPr>
          <w:tblHeader/>
          <w:cantSplit/>
        </w:trPr>
        <w:tc>
          <w:tcPr>
            <w:tcW w:w="2677" w:type="dxa"/>
            <w:shd w:val="clear" w:color="auto" w:fill="2A78D6"/>
          </w:tcPr>
          <w:p>
            <w:pPr>
              <w:pStyle w:val="TableText"/>
            </w:pPr>
            <w:r>
              <w:rPr>
                <w:b/>
                <w:color w:val="FFFFFF"/>
                <w:sz w:val="18"/>
                <w:szCs w:val="18"/>
              </w:rPr>
              <w:t xml:space="preserve">Scénario</w:t>
            </w:r>
          </w:p>
        </w:tc>
        <w:tc>
          <w:tcPr>
            <w:tcW w:w="2275" w:type="dxa"/>
            <w:shd w:val="clear" w:color="auto" w:fill="2A78D6"/>
          </w:tcPr>
          <w:p>
            <w:pPr>
              <w:pStyle w:val="TableText"/>
            </w:pPr>
            <w:r>
              <w:rPr>
                <w:b/>
                <w:color w:val="FFFFFF"/>
                <w:sz w:val="18"/>
                <w:szCs w:val="18"/>
              </w:rPr>
              <w:t xml:space="preserve">Impact</w:t>
            </w:r>
          </w:p>
        </w:tc>
        <w:tc>
          <w:tcPr>
            <w:tcW w:w="3480" w:type="dxa"/>
            <w:shd w:val="clear" w:color="auto" w:fill="2A78D6"/>
          </w:tcPr>
          <w:p>
            <w:pPr>
              <w:pStyle w:val="TableText"/>
            </w:pPr>
            <w:r>
              <w:rPr>
                <w:b/>
                <w:color w:val="FFFFFF"/>
                <w:sz w:val="18"/>
                <w:szCs w:val="18"/>
              </w:rPr>
              <w:t xml:space="preserve">Reprise</w:t>
            </w:r>
          </w:p>
        </w:tc>
        <w:tc>
          <w:tcPr>
            <w:tcW w:w="1204" w:type="dxa"/>
            <w:shd w:val="clear" w:color="auto" w:fill="2A78D6"/>
          </w:tcPr>
          <w:p>
            <w:pPr>
              <w:pStyle w:val="TableText"/>
            </w:pPr>
            <w:r>
              <w:rPr>
                <w:b/>
                <w:color w:val="FFFFFF"/>
                <w:sz w:val="18"/>
                <w:szCs w:val="18"/>
              </w:rPr>
              <w:t xml:space="preserve">Délai</w:t>
            </w:r>
          </w:p>
        </w:tc>
      </w:tr>
      <w:tr>
        <w:trPr>
          <w:cantSplit/>
        </w:trPr>
        <w:tc>
          <w:tcPr>
            <w:tcW w:w="2677" w:type="dxa"/>
          </w:tcPr>
          <w:p>
            <w:pPr>
              <w:pStyle w:val="TableText"/>
            </w:pPr>
            <w:r>
              <w:rPr>
                <w:sz w:val="18"/>
                <w:szCs w:val="18"/>
              </w:rPr>
              <w:t xml:space="preserve">Arrêt du serveur HeptagonesLM (quelques heures)</w:t>
            </w:r>
          </w:p>
        </w:tc>
        <w:tc>
          <w:tcPr>
            <w:tcW w:w="2275" w:type="dxa"/>
          </w:tcPr>
          <w:p>
            <w:pPr>
              <w:pStyle w:val="TableText"/>
            </w:pPr>
            <w:r>
              <w:rPr>
                <w:sz w:val="18"/>
                <w:szCs w:val="18"/>
              </w:rPr>
              <w:t xml:space="preserve">Trou de collecte lmstat</w:t>
            </w:r>
          </w:p>
        </w:tc>
        <w:tc>
          <w:tcPr>
            <w:tcW w:w="3480" w:type="dxa"/>
          </w:tcPr>
          <w:p>
            <w:pPr>
              <w:pStyle w:val="TableText"/>
            </w:pPr>
            <w:r>
              <w:rPr>
                <w:sz w:val="18"/>
                <w:szCs w:val="18"/>
              </w:rPr>
              <w:t xml:space="preserve">Redémarrage ; les tâches reprennent seules ; logs rattrapés</w:t>
            </w:r>
          </w:p>
        </w:tc>
        <w:tc>
          <w:tcPr>
            <w:tcW w:w="1204" w:type="dxa"/>
          </w:tcPr>
          <w:p>
            <w:pPr>
              <w:pStyle w:val="TableText"/>
            </w:pPr>
            <w:r>
              <w:rPr>
                <w:sz w:val="18"/>
                <w:szCs w:val="18"/>
              </w:rPr>
              <w:t xml:space="preserve">Immédiat</w:t>
            </w:r>
          </w:p>
        </w:tc>
      </w:tr>
      <w:tr>
        <w:trPr>
          <w:cantSplit/>
        </w:trPr>
        <w:tc>
          <w:tcPr>
            <w:tcW w:w="2677" w:type="dxa"/>
            <w:shd w:val="clear" w:color="auto" w:fill="F4F7FC"/>
          </w:tcPr>
          <w:p>
            <w:pPr>
              <w:pStyle w:val="TableText"/>
            </w:pPr>
            <w:r>
              <w:rPr>
                <w:sz w:val="18"/>
                <w:szCs w:val="18"/>
              </w:rPr>
              <w:t xml:space="preserve">Perte du serveur HeptagonesLM</w:t>
            </w:r>
          </w:p>
        </w:tc>
        <w:tc>
          <w:tcPr>
            <w:tcW w:w="2275" w:type="dxa"/>
            <w:shd w:val="clear" w:color="auto" w:fill="F4F7FC"/>
          </w:tcPr>
          <w:p>
            <w:pPr>
              <w:pStyle w:val="TableText"/>
            </w:pPr>
            <w:r>
              <w:rPr>
                <w:sz w:val="18"/>
                <w:szCs w:val="18"/>
              </w:rPr>
              <w:t xml:space="preserve">Application indisponible</w:t>
            </w:r>
          </w:p>
        </w:tc>
        <w:tc>
          <w:tcPr>
            <w:tcW w:w="3480" w:type="dxa"/>
            <w:shd w:val="clear" w:color="auto" w:fill="F4F7FC"/>
          </w:tcPr>
          <w:p>
            <w:pPr>
              <w:pStyle w:val="TableText"/>
            </w:pPr>
            <w:r>
              <w:rPr>
                <w:sz w:val="18"/>
                <w:szCs w:val="18"/>
              </w:rPr>
              <w:t xml:space="preserve">Nouveau serveur : HeptagonesLM-Setup.exe avec le fichier de réponses (§ 5.1) ; base intacte</w:t>
            </w:r>
          </w:p>
        </w:tc>
        <w:tc>
          <w:tcPr>
            <w:tcW w:w="1204" w:type="dxa"/>
            <w:shd w:val="clear" w:color="auto" w:fill="F4F7FC"/>
          </w:tcPr>
          <w:p>
            <w:pPr>
              <w:pStyle w:val="TableText"/>
            </w:pPr>
            <w:r>
              <w:rPr>
                <w:sz w:val="18"/>
                <w:szCs w:val="18"/>
              </w:rPr>
              <w:t xml:space="preserve">½ journée</w:t>
            </w:r>
          </w:p>
        </w:tc>
      </w:tr>
      <w:tr>
        <w:trPr>
          <w:cantSplit/>
        </w:trPr>
        <w:tc>
          <w:tcPr>
            <w:tcW w:w="2677" w:type="dxa"/>
          </w:tcPr>
          <w:p>
            <w:pPr>
              <w:pStyle w:val="TableText"/>
            </w:pPr>
            <w:r>
              <w:rPr>
                <w:sz w:val="18"/>
                <w:szCs w:val="18"/>
              </w:rPr>
              <w:t xml:space="preserve">Indisponibilité de SQL Server</w:t>
            </w:r>
          </w:p>
        </w:tc>
        <w:tc>
          <w:tcPr>
            <w:tcW w:w="2275" w:type="dxa"/>
          </w:tcPr>
          <w:p>
            <w:pPr>
              <w:pStyle w:val="TableText"/>
            </w:pPr>
            <w:r>
              <w:rPr>
                <w:sz w:val="18"/>
                <w:szCs w:val="18"/>
              </w:rPr>
              <w:t xml:space="preserve">Collectes en échec, interface en erreur</w:t>
            </w:r>
          </w:p>
        </w:tc>
        <w:tc>
          <w:tcPr>
            <w:tcW w:w="3480" w:type="dxa"/>
          </w:tcPr>
          <w:p>
            <w:pPr>
              <w:pStyle w:val="TableText"/>
            </w:pPr>
            <w:r>
              <w:rPr>
                <w:sz w:val="18"/>
                <w:szCs w:val="18"/>
              </w:rPr>
              <w:t xml:space="preserve">Rétablissement de l'instance ; aucune action HeptagonesLM</w:t>
            </w:r>
          </w:p>
        </w:tc>
        <w:tc>
          <w:tcPr>
            <w:tcW w:w="1204" w:type="dxa"/>
          </w:tcPr>
          <w:p>
            <w:pPr>
              <w:pStyle w:val="TableText"/>
            </w:pPr>
            <w:r>
              <w:rPr>
                <w:sz w:val="18"/>
                <w:szCs w:val="18"/>
              </w:rPr>
              <w:t xml:space="preserve">Selon SQL</w:t>
            </w:r>
          </w:p>
        </w:tc>
      </w:tr>
      <w:tr>
        <w:trPr>
          <w:cantSplit/>
        </w:trPr>
        <w:tc>
          <w:tcPr>
            <w:tcW w:w="2677" w:type="dxa"/>
            <w:shd w:val="clear" w:color="auto" w:fill="F4F7FC"/>
          </w:tcPr>
          <w:p>
            <w:pPr>
              <w:pStyle w:val="TableText"/>
            </w:pPr>
            <w:r>
              <w:rPr>
                <w:sz w:val="18"/>
                <w:szCs w:val="18"/>
              </w:rPr>
              <w:t xml:space="preserve">Corruption / perte de la base</w:t>
            </w:r>
          </w:p>
        </w:tc>
        <w:tc>
          <w:tcPr>
            <w:tcW w:w="2275" w:type="dxa"/>
            <w:shd w:val="clear" w:color="auto" w:fill="F4F7FC"/>
          </w:tcPr>
          <w:p>
            <w:pPr>
              <w:pStyle w:val="TableText"/>
            </w:pPr>
            <w:r>
              <w:rPr>
                <w:sz w:val="18"/>
                <w:szCs w:val="18"/>
              </w:rPr>
              <w:t xml:space="preserve">Historique perdu depuis la sauvegarde</w:t>
            </w:r>
          </w:p>
        </w:tc>
        <w:tc>
          <w:tcPr>
            <w:tcW w:w="3480" w:type="dxa"/>
            <w:shd w:val="clear" w:color="auto" w:fill="F4F7FC"/>
          </w:tcPr>
          <w:p>
            <w:pPr>
              <w:pStyle w:val="TableText"/>
            </w:pPr>
            <w:r>
              <w:rPr>
                <w:sz w:val="18"/>
                <w:szCs w:val="18"/>
              </w:rPr>
              <w:t xml:space="preserve">Restauration (§ 9.4)</w:t>
            </w:r>
          </w:p>
        </w:tc>
        <w:tc>
          <w:tcPr>
            <w:tcW w:w="1204" w:type="dxa"/>
            <w:shd w:val="clear" w:color="auto" w:fill="F4F7FC"/>
          </w:tcPr>
          <w:p>
            <w:pPr>
              <w:pStyle w:val="TableText"/>
            </w:pPr>
            <w:r>
              <w:rPr>
                <w:sz w:val="18"/>
                <w:szCs w:val="18"/>
              </w:rPr>
              <w:t xml:space="preserve">½ journée</w:t>
            </w:r>
          </w:p>
        </w:tc>
      </w:tr>
      <w:tr>
        <w:trPr>
          <w:cantSplit/>
        </w:trPr>
        <w:tc>
          <w:tcPr>
            <w:tcW w:w="2677" w:type="dxa"/>
          </w:tcPr>
          <w:p>
            <w:pPr>
              <w:pStyle w:val="TableText"/>
            </w:pPr>
            <w:r>
              <w:rPr>
                <w:sz w:val="18"/>
                <w:szCs w:val="18"/>
              </w:rPr>
              <w:t xml:space="preserve">Serveur de licences arrêté</w:t>
            </w:r>
          </w:p>
        </w:tc>
        <w:tc>
          <w:tcPr>
            <w:tcW w:w="2275" w:type="dxa"/>
          </w:tcPr>
          <w:p>
            <w:pPr>
              <w:pStyle w:val="TableText"/>
            </w:pPr>
            <w:r>
              <w:rPr>
                <w:sz w:val="18"/>
                <w:szCs w:val="18"/>
              </w:rPr>
              <w:t xml:space="preserve">Alerte « Collecte en échec »</w:t>
            </w:r>
          </w:p>
        </w:tc>
        <w:tc>
          <w:tcPr>
            <w:tcW w:w="3480" w:type="dxa"/>
          </w:tcPr>
          <w:p>
            <w:pPr>
              <w:pStyle w:val="TableText"/>
            </w:pPr>
            <w:r>
              <w:rPr>
                <w:sz w:val="18"/>
                <w:szCs w:val="18"/>
              </w:rPr>
              <w:t xml:space="preserve">Sans objet pour HeptagonesLM ; reprise automatique au redémarrage</w:t>
            </w:r>
          </w:p>
        </w:tc>
        <w:tc>
          <w:tcPr>
            <w:tcW w:w="1204" w:type="dxa"/>
          </w:tcPr>
          <w:p>
            <w:pPr>
              <w:pStyle w:val="TableText"/>
            </w:pPr>
            <w:r>
              <w:rPr>
                <w:sz w:val="18"/>
                <w:szCs w:val="18"/>
              </w:rPr>
              <w:t xml:space="preserve">—</w:t>
            </w:r>
          </w:p>
        </w:tc>
      </w:tr>
      <w:tr>
        <w:trPr>
          <w:cantSplit/>
        </w:trPr>
        <w:tc>
          <w:tcPr>
            <w:tcW w:w="2677" w:type="dxa"/>
            <w:shd w:val="clear" w:color="auto" w:fill="F4F7FC"/>
          </w:tcPr>
          <w:p>
            <w:pPr>
              <w:pStyle w:val="TableText"/>
            </w:pPr>
            <w:r>
              <w:rPr>
                <w:sz w:val="18"/>
                <w:szCs w:val="18"/>
              </w:rPr>
              <w:t xml:space="preserve">Rotation / perte du log debug</w:t>
            </w:r>
          </w:p>
        </w:tc>
        <w:tc>
          <w:tcPr>
            <w:tcW w:w="2275" w:type="dxa"/>
            <w:shd w:val="clear" w:color="auto" w:fill="F4F7FC"/>
          </w:tcPr>
          <w:p>
            <w:pPr>
              <w:pStyle w:val="TableText"/>
            </w:pPr>
            <w:r>
              <w:rPr>
                <w:sz w:val="18"/>
                <w:szCs w:val="18"/>
              </w:rPr>
              <w:t xml:space="preserve">Évènements non lus perdus</w:t>
            </w:r>
          </w:p>
        </w:tc>
        <w:tc>
          <w:tcPr>
            <w:tcW w:w="3480" w:type="dxa"/>
            <w:shd w:val="clear" w:color="auto" w:fill="F4F7FC"/>
          </w:tcPr>
          <w:p>
            <w:pPr>
              <w:pStyle w:val="TableText"/>
            </w:pPr>
            <w:r>
              <w:rPr>
                <w:sz w:val="18"/>
                <w:szCs w:val="18"/>
              </w:rPr>
              <w:t xml:space="preserve">Détection automatique de rotation ; lecture du nouveau fichier</w:t>
            </w:r>
          </w:p>
        </w:tc>
        <w:tc>
          <w:tcPr>
            <w:tcW w:w="1204" w:type="dxa"/>
            <w:shd w:val="clear" w:color="auto" w:fill="F4F7FC"/>
          </w:tcPr>
          <w:p>
            <w:pPr>
              <w:pStyle w:val="TableText"/>
            </w:pPr>
            <w:r>
              <w:rPr>
                <w:sz w:val="18"/>
                <w:szCs w:val="18"/>
              </w:rPr>
              <w:t xml:space="preserve">Automatique</w:t>
            </w:r>
          </w:p>
        </w:tc>
      </w:tr>
    </w:tbl>
    <w:p>
      <w:pPr>
        <w:spacing w:after="80"/>
      </w:pPr>
    </w:p>
    <w:p>
      <w:pPr>
        <w:pStyle w:val="Heading2"/>
      </w:pPr>
      <w:bookmarkStart w:id="152" w:name="_Toc00152"/>
      <w:r>
        <w:rPr/>
        <w:t xml:space="preserve">13.3 Reconstruction complète</w:t>
      </w:r>
      <w:bookmarkEnd w:id="152"/>
    </w:p>
    <w:p>
      <w:pPr>
        <w:pStyle w:val="ListParagraph"/>
        <w:numPr>
          <w:ilvl w:val="0"/>
          <w:numId w:val="14"/>
        </w:numPr>
      </w:pPr>
      <w:r>
        <w:rPr/>
        <w:t xml:space="preserve">Préparer un serveur Windows conforme au § 4.1, joint au domaine.</w:t>
      </w:r>
    </w:p>
    <w:p>
      <w:pPr>
        <w:pStyle w:val="ListParagraph"/>
        <w:numPr>
          <w:ilvl w:val="0"/>
          <w:numId w:val="14"/>
        </w:numPr>
      </w:pPr>
      <w:r>
        <w:rPr/>
        <w:t xml:space="preserve">Restaurer la base (§ 9.4) si l'instance SQL est aussi perdue.</w:t>
      </w:r>
    </w:p>
    <w:p>
      <w:pPr>
        <w:pStyle w:val="ListParagraph"/>
        <w:numPr>
          <w:ilvl w:val="0"/>
          <w:numId w:val="14"/>
        </w:numPr>
      </w:pPr>
      <w:r>
        <w:rPr/>
        <w:t xml:space="preserve">Réinstaller avec HeptagonesLM-Setup.exe (ressaisir les identifiants ITSM : les secrets DPAPI ne se déchiffrent que sur le serveur d'origine), puis restaurer lmutil.exe, </w:t>
      </w:r>
      <w:r>
        <w:rPr>
          <w:rFonts w:ascii="Consolas" w:hAnsi="Consolas" w:cs="Consolas"/>
          <w:color w:val="1C5CAB"/>
          <w:sz w:val="18"/>
          <w:szCs w:val="18"/>
          <w:shd w:val="clear" w:color="auto" w:fill="EEF3FA"/>
        </w:rPr>
        <w:t xml:space="preserve">heptagoneslm.yaml</w:t>
      </w:r>
      <w:r>
        <w:rPr/>
        <w:t xml:space="preserve"> et les certificats depuis les sauvegardes.</w:t>
      </w:r>
    </w:p>
    <w:p>
      <w:pPr>
        <w:pStyle w:val="ListParagraph"/>
        <w:numPr>
          <w:ilvl w:val="0"/>
          <w:numId w:val="14"/>
        </w:numPr>
      </w:pPr>
      <w:r>
        <w:rPr/>
        <w:t xml:space="preserve">Relancer HeptagonesLM-Setup.exe (même fichier de réponses) : schéma, IIS, tâches et pare-feu sont recréés ; recréer l'enregistrement DNS si besoin.</w:t>
      </w:r>
    </w:p>
    <w:p>
      <w:pPr>
        <w:pStyle w:val="ListParagraph"/>
        <w:numPr>
          <w:ilvl w:val="0"/>
          <w:numId w:val="14"/>
        </w:numPr>
      </w:pPr>
      <w:r>
        <w:rPr/>
        <w:t xml:space="preserve">Dérouler la recette de mise en service (§ 5.3).</w:t>
      </w:r>
    </w:p>
    <w:p>
      <w:pPr>
        <w:pStyle w:val="Heading1"/>
      </w:pPr>
      <w:bookmarkStart w:id="153" w:name="_Toc00153"/>
      <w:r>
        <w:rPr/>
        <w:t xml:space="preserve">14. Contacts et responsabilités</w:t>
      </w:r>
      <w:bookmarkEnd w:id="153"/>
    </w:p>
    <w:p>
      <w:pPr>
        <w:pStyle w:val="Heading2"/>
      </w:pPr>
      <w:bookmarkStart w:id="154" w:name="_Toc00154"/>
      <w:r>
        <w:rPr/>
        <w:t xml:space="preserve">14.1 Contacts</w:t>
      </w:r>
      <w:bookmarkEnd w:id="154"/>
    </w:p>
    <w:p>
      <w:pPr>
        <w:pStyle w:val="Caption"/>
        <w:keepNext/>
      </w:pPr>
      <w:r>
        <w:rPr/>
        <w:t xml:space="preserve">Tableau 36 – Contacts (à compléter)</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212"/>
        <w:gridCol w:w="2141"/>
        <w:gridCol w:w="1874"/>
        <w:gridCol w:w="2409"/>
      </w:tblGrid>
      <w:tr>
        <w:trPr>
          <w:tblHeader/>
          <w:cantSplit/>
        </w:trPr>
        <w:tc>
          <w:tcPr>
            <w:tcW w:w="3212" w:type="dxa"/>
            <w:shd w:val="clear" w:color="auto" w:fill="2A78D6"/>
          </w:tcPr>
          <w:p>
            <w:pPr>
              <w:pStyle w:val="TableText"/>
            </w:pPr>
            <w:r>
              <w:rPr>
                <w:b/>
                <w:color w:val="FFFFFF"/>
                <w:sz w:val="18"/>
                <w:szCs w:val="18"/>
              </w:rPr>
              <w:t xml:space="preserve">Rôle</w:t>
            </w:r>
          </w:p>
        </w:tc>
        <w:tc>
          <w:tcPr>
            <w:tcW w:w="2141" w:type="dxa"/>
            <w:shd w:val="clear" w:color="auto" w:fill="2A78D6"/>
          </w:tcPr>
          <w:p>
            <w:pPr>
              <w:pStyle w:val="TableText"/>
            </w:pPr>
            <w:r>
              <w:rPr>
                <w:b/>
                <w:color w:val="FFFFFF"/>
                <w:sz w:val="18"/>
                <w:szCs w:val="18"/>
              </w:rPr>
              <w:t xml:space="preserve">Nom</w:t>
            </w:r>
          </w:p>
        </w:tc>
        <w:tc>
          <w:tcPr>
            <w:tcW w:w="1874" w:type="dxa"/>
            <w:shd w:val="clear" w:color="auto" w:fill="2A78D6"/>
          </w:tcPr>
          <w:p>
            <w:pPr>
              <w:pStyle w:val="TableText"/>
            </w:pPr>
            <w:r>
              <w:rPr>
                <w:b/>
                <w:color w:val="FFFFFF"/>
                <w:sz w:val="18"/>
                <w:szCs w:val="18"/>
              </w:rPr>
              <w:t xml:space="preserve">Équipe</w:t>
            </w:r>
          </w:p>
        </w:tc>
        <w:tc>
          <w:tcPr>
            <w:tcW w:w="2409" w:type="dxa"/>
            <w:shd w:val="clear" w:color="auto" w:fill="2A78D6"/>
          </w:tcPr>
          <w:p>
            <w:pPr>
              <w:pStyle w:val="TableText"/>
            </w:pPr>
            <w:r>
              <w:rPr>
                <w:b/>
                <w:color w:val="FFFFFF"/>
                <w:sz w:val="18"/>
                <w:szCs w:val="18"/>
              </w:rPr>
              <w:t xml:space="preserve">Téléphone / e-mail</w:t>
            </w:r>
          </w:p>
        </w:tc>
      </w:tr>
      <w:tr>
        <w:trPr>
          <w:cantSplit/>
        </w:trPr>
        <w:tc>
          <w:tcPr>
            <w:tcW w:w="3212" w:type="dxa"/>
          </w:tcPr>
          <w:p>
            <w:pPr>
              <w:pStyle w:val="TableText"/>
            </w:pPr>
            <w:r>
              <w:rPr>
                <w:sz w:val="18"/>
                <w:szCs w:val="18"/>
              </w:rPr>
              <w:t xml:space="preserve">Responsable applicatif (métier)</w:t>
            </w:r>
          </w:p>
        </w:tc>
        <w:tc>
          <w:tcPr>
            <w:tcW w:w="2141" w:type="dxa"/>
          </w:tcPr>
          <w:p>
            <w:pPr>
              <w:pStyle w:val="TableText"/>
            </w:pPr>
          </w:p>
        </w:tc>
        <w:tc>
          <w:tcPr>
            <w:tcW w:w="1874" w:type="dxa"/>
          </w:tcPr>
          <w:p>
            <w:pPr>
              <w:pStyle w:val="TableText"/>
            </w:pPr>
          </w:p>
        </w:tc>
        <w:tc>
          <w:tcPr>
            <w:tcW w:w="2409" w:type="dxa"/>
          </w:tcPr>
          <w:p>
            <w:pPr>
              <w:pStyle w:val="TableText"/>
            </w:pPr>
          </w:p>
        </w:tc>
      </w:tr>
      <w:tr>
        <w:trPr>
          <w:cantSplit/>
        </w:trPr>
        <w:tc>
          <w:tcPr>
            <w:tcW w:w="3212" w:type="dxa"/>
            <w:shd w:val="clear" w:color="auto" w:fill="F4F7FC"/>
          </w:tcPr>
          <w:p>
            <w:pPr>
              <w:pStyle w:val="TableText"/>
            </w:pPr>
            <w:r>
              <w:rPr>
                <w:sz w:val="18"/>
                <w:szCs w:val="18"/>
              </w:rPr>
              <w:t xml:space="preserve">Chef de projet HeptagonesLM</w:t>
            </w:r>
          </w:p>
        </w:tc>
        <w:tc>
          <w:tcPr>
            <w:tcW w:w="2141" w:type="dxa"/>
            <w:shd w:val="clear" w:color="auto" w:fill="F4F7FC"/>
          </w:tcPr>
          <w:p>
            <w:pPr>
              <w:pStyle w:val="TableText"/>
            </w:pPr>
          </w:p>
        </w:tc>
        <w:tc>
          <w:tcPr>
            <w:tcW w:w="1874" w:type="dxa"/>
            <w:shd w:val="clear" w:color="auto" w:fill="F4F7FC"/>
          </w:tcPr>
          <w:p>
            <w:pPr>
              <w:pStyle w:val="TableText"/>
            </w:pPr>
          </w:p>
        </w:tc>
        <w:tc>
          <w:tcPr>
            <w:tcW w:w="2409" w:type="dxa"/>
            <w:shd w:val="clear" w:color="auto" w:fill="F4F7FC"/>
          </w:tcPr>
          <w:p>
            <w:pPr>
              <w:pStyle w:val="TableText"/>
            </w:pPr>
          </w:p>
        </w:tc>
      </w:tr>
      <w:tr>
        <w:trPr>
          <w:cantSplit/>
        </w:trPr>
        <w:tc>
          <w:tcPr>
            <w:tcW w:w="3212" w:type="dxa"/>
          </w:tcPr>
          <w:p>
            <w:pPr>
              <w:pStyle w:val="TableText"/>
            </w:pPr>
            <w:r>
              <w:rPr>
                <w:sz w:val="18"/>
                <w:szCs w:val="18"/>
              </w:rPr>
              <w:t xml:space="preserve">Exploitation Windows</w:t>
            </w:r>
          </w:p>
        </w:tc>
        <w:tc>
          <w:tcPr>
            <w:tcW w:w="2141" w:type="dxa"/>
          </w:tcPr>
          <w:p>
            <w:pPr>
              <w:pStyle w:val="TableText"/>
            </w:pPr>
          </w:p>
        </w:tc>
        <w:tc>
          <w:tcPr>
            <w:tcW w:w="1874" w:type="dxa"/>
          </w:tcPr>
          <w:p>
            <w:pPr>
              <w:pStyle w:val="TableText"/>
            </w:pPr>
          </w:p>
        </w:tc>
        <w:tc>
          <w:tcPr>
            <w:tcW w:w="2409" w:type="dxa"/>
          </w:tcPr>
          <w:p>
            <w:pPr>
              <w:pStyle w:val="TableText"/>
            </w:pPr>
          </w:p>
        </w:tc>
      </w:tr>
      <w:tr>
        <w:trPr>
          <w:cantSplit/>
        </w:trPr>
        <w:tc>
          <w:tcPr>
            <w:tcW w:w="3212" w:type="dxa"/>
            <w:shd w:val="clear" w:color="auto" w:fill="F4F7FC"/>
          </w:tcPr>
          <w:p>
            <w:pPr>
              <w:pStyle w:val="TableText"/>
            </w:pPr>
            <w:r>
              <w:rPr>
                <w:sz w:val="18"/>
                <w:szCs w:val="18"/>
              </w:rPr>
              <w:t xml:space="preserve">DBA SQL Server</w:t>
            </w:r>
          </w:p>
        </w:tc>
        <w:tc>
          <w:tcPr>
            <w:tcW w:w="2141" w:type="dxa"/>
            <w:shd w:val="clear" w:color="auto" w:fill="F4F7FC"/>
          </w:tcPr>
          <w:p>
            <w:pPr>
              <w:pStyle w:val="TableText"/>
            </w:pPr>
          </w:p>
        </w:tc>
        <w:tc>
          <w:tcPr>
            <w:tcW w:w="1874" w:type="dxa"/>
            <w:shd w:val="clear" w:color="auto" w:fill="F4F7FC"/>
          </w:tcPr>
          <w:p>
            <w:pPr>
              <w:pStyle w:val="TableText"/>
            </w:pPr>
          </w:p>
        </w:tc>
        <w:tc>
          <w:tcPr>
            <w:tcW w:w="2409" w:type="dxa"/>
            <w:shd w:val="clear" w:color="auto" w:fill="F4F7FC"/>
          </w:tcPr>
          <w:p>
            <w:pPr>
              <w:pStyle w:val="TableText"/>
            </w:pPr>
          </w:p>
        </w:tc>
      </w:tr>
      <w:tr>
        <w:trPr>
          <w:cantSplit/>
        </w:trPr>
        <w:tc>
          <w:tcPr>
            <w:tcW w:w="3212" w:type="dxa"/>
          </w:tcPr>
          <w:p>
            <w:pPr>
              <w:pStyle w:val="TableText"/>
            </w:pPr>
            <w:r>
              <w:rPr>
                <w:sz w:val="18"/>
                <w:szCs w:val="18"/>
              </w:rPr>
              <w:t xml:space="preserve">Administrateur des serveurs de licences</w:t>
            </w:r>
          </w:p>
        </w:tc>
        <w:tc>
          <w:tcPr>
            <w:tcW w:w="2141" w:type="dxa"/>
          </w:tcPr>
          <w:p>
            <w:pPr>
              <w:pStyle w:val="TableText"/>
            </w:pPr>
          </w:p>
        </w:tc>
        <w:tc>
          <w:tcPr>
            <w:tcW w:w="1874" w:type="dxa"/>
          </w:tcPr>
          <w:p>
            <w:pPr>
              <w:pStyle w:val="TableText"/>
            </w:pPr>
          </w:p>
        </w:tc>
        <w:tc>
          <w:tcPr>
            <w:tcW w:w="2409" w:type="dxa"/>
          </w:tcPr>
          <w:p>
            <w:pPr>
              <w:pStyle w:val="TableText"/>
            </w:pPr>
          </w:p>
        </w:tc>
      </w:tr>
      <w:tr>
        <w:trPr>
          <w:cantSplit/>
        </w:trPr>
        <w:tc>
          <w:tcPr>
            <w:tcW w:w="3212" w:type="dxa"/>
            <w:shd w:val="clear" w:color="auto" w:fill="F4F7FC"/>
          </w:tcPr>
          <w:p>
            <w:pPr>
              <w:pStyle w:val="TableText"/>
            </w:pPr>
            <w:r>
              <w:rPr>
                <w:sz w:val="18"/>
                <w:szCs w:val="18"/>
              </w:rPr>
              <w:t xml:space="preserve">Administrateur AD / PKI</w:t>
            </w:r>
          </w:p>
        </w:tc>
        <w:tc>
          <w:tcPr>
            <w:tcW w:w="2141" w:type="dxa"/>
            <w:shd w:val="clear" w:color="auto" w:fill="F4F7FC"/>
          </w:tcPr>
          <w:p>
            <w:pPr>
              <w:pStyle w:val="TableText"/>
            </w:pPr>
          </w:p>
        </w:tc>
        <w:tc>
          <w:tcPr>
            <w:tcW w:w="1874" w:type="dxa"/>
            <w:shd w:val="clear" w:color="auto" w:fill="F4F7FC"/>
          </w:tcPr>
          <w:p>
            <w:pPr>
              <w:pStyle w:val="TableText"/>
            </w:pPr>
          </w:p>
        </w:tc>
        <w:tc>
          <w:tcPr>
            <w:tcW w:w="2409" w:type="dxa"/>
            <w:shd w:val="clear" w:color="auto" w:fill="F4F7FC"/>
          </w:tcPr>
          <w:p>
            <w:pPr>
              <w:pStyle w:val="TableText"/>
            </w:pPr>
          </w:p>
        </w:tc>
      </w:tr>
      <w:tr>
        <w:trPr>
          <w:cantSplit/>
        </w:trPr>
        <w:tc>
          <w:tcPr>
            <w:tcW w:w="3212" w:type="dxa"/>
          </w:tcPr>
          <w:p>
            <w:pPr>
              <w:pStyle w:val="TableText"/>
            </w:pPr>
            <w:r>
              <w:rPr>
                <w:sz w:val="18"/>
                <w:szCs w:val="18"/>
              </w:rPr>
              <w:t xml:space="preserve">RSSI</w:t>
            </w:r>
          </w:p>
        </w:tc>
        <w:tc>
          <w:tcPr>
            <w:tcW w:w="2141" w:type="dxa"/>
          </w:tcPr>
          <w:p>
            <w:pPr>
              <w:pStyle w:val="TableText"/>
            </w:pPr>
          </w:p>
        </w:tc>
        <w:tc>
          <w:tcPr>
            <w:tcW w:w="1874" w:type="dxa"/>
          </w:tcPr>
          <w:p>
            <w:pPr>
              <w:pStyle w:val="TableText"/>
            </w:pPr>
          </w:p>
        </w:tc>
        <w:tc>
          <w:tcPr>
            <w:tcW w:w="2409" w:type="dxa"/>
          </w:tcPr>
          <w:p>
            <w:pPr>
              <w:pStyle w:val="TableText"/>
            </w:pPr>
          </w:p>
        </w:tc>
      </w:tr>
      <w:tr>
        <w:trPr>
          <w:cantSplit/>
        </w:trPr>
        <w:tc>
          <w:tcPr>
            <w:tcW w:w="3212" w:type="dxa"/>
            <w:shd w:val="clear" w:color="auto" w:fill="F4F7FC"/>
          </w:tcPr>
          <w:p>
            <w:pPr>
              <w:pStyle w:val="TableText"/>
            </w:pPr>
            <w:r>
              <w:rPr>
                <w:sz w:val="18"/>
                <w:szCs w:val="18"/>
              </w:rPr>
              <w:t xml:space="preserve">DPO</w:t>
            </w:r>
          </w:p>
        </w:tc>
        <w:tc>
          <w:tcPr>
            <w:tcW w:w="2141" w:type="dxa"/>
            <w:shd w:val="clear" w:color="auto" w:fill="F4F7FC"/>
          </w:tcPr>
          <w:p>
            <w:pPr>
              <w:pStyle w:val="TableText"/>
            </w:pPr>
          </w:p>
        </w:tc>
        <w:tc>
          <w:tcPr>
            <w:tcW w:w="1874" w:type="dxa"/>
            <w:shd w:val="clear" w:color="auto" w:fill="F4F7FC"/>
          </w:tcPr>
          <w:p>
            <w:pPr>
              <w:pStyle w:val="TableText"/>
            </w:pPr>
          </w:p>
        </w:tc>
        <w:tc>
          <w:tcPr>
            <w:tcW w:w="2409" w:type="dxa"/>
            <w:shd w:val="clear" w:color="auto" w:fill="F4F7FC"/>
          </w:tcPr>
          <w:p>
            <w:pPr>
              <w:pStyle w:val="TableText"/>
            </w:pPr>
          </w:p>
        </w:tc>
      </w:tr>
    </w:tbl>
    <w:p>
      <w:pPr>
        <w:spacing w:after="80"/>
      </w:pPr>
    </w:p>
    <w:p>
      <w:pPr>
        <w:pStyle w:val="Heading2"/>
      </w:pPr>
      <w:bookmarkStart w:id="155" w:name="_Toc00155"/>
      <w:r>
        <w:rPr/>
        <w:t xml:space="preserve">14.2 Matrice des responsabilités (RACI)</w:t>
      </w:r>
      <w:bookmarkEnd w:id="155"/>
    </w:p>
    <w:p>
      <w:pPr/>
      <w:r>
        <w:rPr/>
        <w:t xml:space="preserve">R = réalise, A = approuve, C = consulté, I = informé.</w:t>
      </w:r>
    </w:p>
    <w:p>
      <w:pPr>
        <w:pStyle w:val="Caption"/>
        <w:keepNext/>
      </w:pPr>
      <w:r>
        <w:rPr/>
        <w:t xml:space="preserve">Tableau 37 – Matrice RACI (proposition)</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341"/>
        <w:gridCol w:w="1413"/>
        <w:gridCol w:w="1413"/>
        <w:gridCol w:w="1028"/>
        <w:gridCol w:w="1413"/>
        <w:gridCol w:w="1028"/>
      </w:tblGrid>
      <w:tr>
        <w:trPr>
          <w:tblHeader/>
          <w:cantSplit/>
        </w:trPr>
        <w:tc>
          <w:tcPr>
            <w:tcW w:w="3341" w:type="dxa"/>
            <w:shd w:val="clear" w:color="auto" w:fill="2A78D6"/>
          </w:tcPr>
          <w:p>
            <w:pPr>
              <w:pStyle w:val="TableText"/>
            </w:pPr>
            <w:r>
              <w:rPr>
                <w:b/>
                <w:color w:val="FFFFFF"/>
                <w:sz w:val="18"/>
                <w:szCs w:val="18"/>
              </w:rPr>
              <w:t xml:space="preserve">Activité</w:t>
            </w:r>
          </w:p>
        </w:tc>
        <w:tc>
          <w:tcPr>
            <w:tcW w:w="1413" w:type="dxa"/>
            <w:shd w:val="clear" w:color="auto" w:fill="2A78D6"/>
          </w:tcPr>
          <w:p>
            <w:pPr>
              <w:pStyle w:val="TableText"/>
            </w:pPr>
            <w:r>
              <w:rPr>
                <w:b/>
                <w:color w:val="FFFFFF"/>
                <w:sz w:val="18"/>
                <w:szCs w:val="18"/>
              </w:rPr>
              <w:t xml:space="preserve">Resp. applicatif</w:t>
            </w:r>
          </w:p>
        </w:tc>
        <w:tc>
          <w:tcPr>
            <w:tcW w:w="1413" w:type="dxa"/>
            <w:shd w:val="clear" w:color="auto" w:fill="2A78D6"/>
          </w:tcPr>
          <w:p>
            <w:pPr>
              <w:pStyle w:val="TableText"/>
            </w:pPr>
            <w:r>
              <w:rPr>
                <w:b/>
                <w:color w:val="FFFFFF"/>
                <w:sz w:val="18"/>
                <w:szCs w:val="18"/>
              </w:rPr>
              <w:t xml:space="preserve">Exploitation</w:t>
            </w:r>
          </w:p>
        </w:tc>
        <w:tc>
          <w:tcPr>
            <w:tcW w:w="1028" w:type="dxa"/>
            <w:shd w:val="clear" w:color="auto" w:fill="2A78D6"/>
          </w:tcPr>
          <w:p>
            <w:pPr>
              <w:pStyle w:val="TableText"/>
            </w:pPr>
            <w:r>
              <w:rPr>
                <w:b/>
                <w:color w:val="FFFFFF"/>
                <w:sz w:val="18"/>
                <w:szCs w:val="18"/>
              </w:rPr>
              <w:t xml:space="preserve">DBA</w:t>
            </w:r>
          </w:p>
        </w:tc>
        <w:tc>
          <w:tcPr>
            <w:tcW w:w="1413" w:type="dxa"/>
            <w:shd w:val="clear" w:color="auto" w:fill="2A78D6"/>
          </w:tcPr>
          <w:p>
            <w:pPr>
              <w:pStyle w:val="TableText"/>
            </w:pPr>
            <w:r>
              <w:rPr>
                <w:b/>
                <w:color w:val="FFFFFF"/>
                <w:sz w:val="18"/>
                <w:szCs w:val="18"/>
              </w:rPr>
              <w:t xml:space="preserve">Admin licences</w:t>
            </w:r>
          </w:p>
        </w:tc>
        <w:tc>
          <w:tcPr>
            <w:tcW w:w="1028" w:type="dxa"/>
            <w:shd w:val="clear" w:color="auto" w:fill="2A78D6"/>
          </w:tcPr>
          <w:p>
            <w:pPr>
              <w:pStyle w:val="TableText"/>
            </w:pPr>
            <w:r>
              <w:rPr>
                <w:b/>
                <w:color w:val="FFFFFF"/>
                <w:sz w:val="18"/>
                <w:szCs w:val="18"/>
              </w:rPr>
              <w:t xml:space="preserve">RSSI</w:t>
            </w:r>
          </w:p>
        </w:tc>
      </w:tr>
      <w:tr>
        <w:trPr>
          <w:cantSplit/>
        </w:trPr>
        <w:tc>
          <w:tcPr>
            <w:tcW w:w="3341" w:type="dxa"/>
          </w:tcPr>
          <w:p>
            <w:pPr>
              <w:pStyle w:val="TableText"/>
            </w:pPr>
            <w:r>
              <w:rPr>
                <w:sz w:val="18"/>
                <w:szCs w:val="18"/>
              </w:rPr>
              <w:t xml:space="preserve">Contrôles quotidiens</w:t>
            </w:r>
          </w:p>
        </w:tc>
        <w:tc>
          <w:tcPr>
            <w:tcW w:w="1413" w:type="dxa"/>
          </w:tcPr>
          <w:p>
            <w:pPr>
              <w:pStyle w:val="TableText"/>
            </w:pPr>
            <w:r>
              <w:rPr>
                <w:sz w:val="18"/>
                <w:szCs w:val="18"/>
              </w:rPr>
              <w:t xml:space="preserve">I</w:t>
            </w:r>
          </w:p>
        </w:tc>
        <w:tc>
          <w:tcPr>
            <w:tcW w:w="1413" w:type="dxa"/>
          </w:tcPr>
          <w:p>
            <w:pPr>
              <w:pStyle w:val="TableText"/>
            </w:pPr>
            <w:r>
              <w:rPr>
                <w:sz w:val="18"/>
                <w:szCs w:val="18"/>
              </w:rPr>
              <w:t xml:space="preserve">R/A</w:t>
            </w:r>
          </w:p>
        </w:tc>
        <w:tc>
          <w:tcPr>
            <w:tcW w:w="1028" w:type="dxa"/>
          </w:tcPr>
          <w:p>
            <w:pPr>
              <w:pStyle w:val="TableText"/>
            </w:pPr>
          </w:p>
        </w:tc>
        <w:tc>
          <w:tcPr>
            <w:tcW w:w="1413" w:type="dxa"/>
          </w:tcPr>
          <w:p>
            <w:pPr>
              <w:pStyle w:val="TableText"/>
            </w:pPr>
          </w:p>
        </w:tc>
        <w:tc>
          <w:tcPr>
            <w:tcW w:w="1028" w:type="dxa"/>
          </w:tcPr>
          <w:p>
            <w:pPr>
              <w:pStyle w:val="TableText"/>
            </w:pPr>
          </w:p>
        </w:tc>
      </w:tr>
      <w:tr>
        <w:trPr>
          <w:cantSplit/>
        </w:trPr>
        <w:tc>
          <w:tcPr>
            <w:tcW w:w="3341" w:type="dxa"/>
            <w:shd w:val="clear" w:color="auto" w:fill="F4F7FC"/>
          </w:tcPr>
          <w:p>
            <w:pPr>
              <w:pStyle w:val="TableText"/>
            </w:pPr>
            <w:r>
              <w:rPr>
                <w:sz w:val="18"/>
                <w:szCs w:val="18"/>
              </w:rPr>
              <w:t xml:space="preserve">Modification de configuration</w:t>
            </w:r>
          </w:p>
        </w:tc>
        <w:tc>
          <w:tcPr>
            <w:tcW w:w="1413" w:type="dxa"/>
            <w:shd w:val="clear" w:color="auto" w:fill="F4F7FC"/>
          </w:tcPr>
          <w:p>
            <w:pPr>
              <w:pStyle w:val="TableText"/>
            </w:pPr>
            <w:r>
              <w:rPr>
                <w:sz w:val="18"/>
                <w:szCs w:val="18"/>
              </w:rPr>
              <w:t xml:space="preserve">A</w:t>
            </w:r>
          </w:p>
        </w:tc>
        <w:tc>
          <w:tcPr>
            <w:tcW w:w="1413" w:type="dxa"/>
            <w:shd w:val="clear" w:color="auto" w:fill="F4F7FC"/>
          </w:tcPr>
          <w:p>
            <w:pPr>
              <w:pStyle w:val="TableText"/>
            </w:pPr>
            <w:r>
              <w:rPr>
                <w:sz w:val="18"/>
                <w:szCs w:val="18"/>
              </w:rPr>
              <w:t xml:space="preserve">R</w:t>
            </w:r>
          </w:p>
        </w:tc>
        <w:tc>
          <w:tcPr>
            <w:tcW w:w="1028" w:type="dxa"/>
            <w:shd w:val="clear" w:color="auto" w:fill="F4F7FC"/>
          </w:tcPr>
          <w:p>
            <w:pPr>
              <w:pStyle w:val="TableText"/>
            </w:pPr>
          </w:p>
        </w:tc>
        <w:tc>
          <w:tcPr>
            <w:tcW w:w="1413" w:type="dxa"/>
            <w:shd w:val="clear" w:color="auto" w:fill="F4F7FC"/>
          </w:tcPr>
          <w:p>
            <w:pPr>
              <w:pStyle w:val="TableText"/>
            </w:pPr>
            <w:r>
              <w:rPr>
                <w:sz w:val="18"/>
                <w:szCs w:val="18"/>
              </w:rPr>
              <w:t xml:space="preserve">C</w:t>
            </w:r>
          </w:p>
        </w:tc>
        <w:tc>
          <w:tcPr>
            <w:tcW w:w="1028" w:type="dxa"/>
            <w:shd w:val="clear" w:color="auto" w:fill="F4F7FC"/>
          </w:tcPr>
          <w:p>
            <w:pPr>
              <w:pStyle w:val="TableText"/>
            </w:pPr>
          </w:p>
        </w:tc>
      </w:tr>
      <w:tr>
        <w:trPr>
          <w:cantSplit/>
        </w:trPr>
        <w:tc>
          <w:tcPr>
            <w:tcW w:w="3341" w:type="dxa"/>
          </w:tcPr>
          <w:p>
            <w:pPr>
              <w:pStyle w:val="TableText"/>
            </w:pPr>
            <w:r>
              <w:rPr>
                <w:sz w:val="18"/>
                <w:szCs w:val="18"/>
              </w:rPr>
              <w:t xml:space="preserve">Ajout d'un serveur de licences</w:t>
            </w:r>
          </w:p>
        </w:tc>
        <w:tc>
          <w:tcPr>
            <w:tcW w:w="1413" w:type="dxa"/>
          </w:tcPr>
          <w:p>
            <w:pPr>
              <w:pStyle w:val="TableText"/>
            </w:pPr>
            <w:r>
              <w:rPr>
                <w:sz w:val="18"/>
                <w:szCs w:val="18"/>
              </w:rPr>
              <w:t xml:space="preserve">A</w:t>
            </w:r>
          </w:p>
        </w:tc>
        <w:tc>
          <w:tcPr>
            <w:tcW w:w="1413" w:type="dxa"/>
          </w:tcPr>
          <w:p>
            <w:pPr>
              <w:pStyle w:val="TableText"/>
            </w:pPr>
            <w:r>
              <w:rPr>
                <w:sz w:val="18"/>
                <w:szCs w:val="18"/>
              </w:rPr>
              <w:t xml:space="preserve">R</w:t>
            </w:r>
          </w:p>
        </w:tc>
        <w:tc>
          <w:tcPr>
            <w:tcW w:w="1028" w:type="dxa"/>
          </w:tcPr>
          <w:p>
            <w:pPr>
              <w:pStyle w:val="TableText"/>
            </w:pPr>
          </w:p>
        </w:tc>
        <w:tc>
          <w:tcPr>
            <w:tcW w:w="1413" w:type="dxa"/>
          </w:tcPr>
          <w:p>
            <w:pPr>
              <w:pStyle w:val="TableText"/>
            </w:pPr>
            <w:r>
              <w:rPr>
                <w:sz w:val="18"/>
                <w:szCs w:val="18"/>
              </w:rPr>
              <w:t xml:space="preserve">R</w:t>
            </w:r>
          </w:p>
        </w:tc>
        <w:tc>
          <w:tcPr>
            <w:tcW w:w="1028" w:type="dxa"/>
          </w:tcPr>
          <w:p>
            <w:pPr>
              <w:pStyle w:val="TableText"/>
            </w:pPr>
          </w:p>
        </w:tc>
      </w:tr>
      <w:tr>
        <w:trPr>
          <w:cantSplit/>
        </w:trPr>
        <w:tc>
          <w:tcPr>
            <w:tcW w:w="3341" w:type="dxa"/>
            <w:shd w:val="clear" w:color="auto" w:fill="F4F7FC"/>
          </w:tcPr>
          <w:p>
            <w:pPr>
              <w:pStyle w:val="TableText"/>
            </w:pPr>
            <w:r>
              <w:rPr>
                <w:sz w:val="18"/>
                <w:szCs w:val="18"/>
              </w:rPr>
              <w:t xml:space="preserve">Sauvegarde / restauration de la base</w:t>
            </w:r>
          </w:p>
        </w:tc>
        <w:tc>
          <w:tcPr>
            <w:tcW w:w="1413" w:type="dxa"/>
            <w:shd w:val="clear" w:color="auto" w:fill="F4F7FC"/>
          </w:tcPr>
          <w:p>
            <w:pPr>
              <w:pStyle w:val="TableText"/>
            </w:pPr>
            <w:r>
              <w:rPr>
                <w:sz w:val="18"/>
                <w:szCs w:val="18"/>
              </w:rPr>
              <w:t xml:space="preserve">I</w:t>
            </w:r>
          </w:p>
        </w:tc>
        <w:tc>
          <w:tcPr>
            <w:tcW w:w="1413" w:type="dxa"/>
            <w:shd w:val="clear" w:color="auto" w:fill="F4F7FC"/>
          </w:tcPr>
          <w:p>
            <w:pPr>
              <w:pStyle w:val="TableText"/>
            </w:pPr>
            <w:r>
              <w:rPr>
                <w:sz w:val="18"/>
                <w:szCs w:val="18"/>
              </w:rPr>
              <w:t xml:space="preserve">C</w:t>
            </w:r>
          </w:p>
        </w:tc>
        <w:tc>
          <w:tcPr>
            <w:tcW w:w="1028" w:type="dxa"/>
            <w:shd w:val="clear" w:color="auto" w:fill="F4F7FC"/>
          </w:tcPr>
          <w:p>
            <w:pPr>
              <w:pStyle w:val="TableText"/>
            </w:pPr>
            <w:r>
              <w:rPr>
                <w:sz w:val="18"/>
                <w:szCs w:val="18"/>
              </w:rPr>
              <w:t xml:space="preserve">R/A</w:t>
            </w:r>
          </w:p>
        </w:tc>
        <w:tc>
          <w:tcPr>
            <w:tcW w:w="1413" w:type="dxa"/>
            <w:shd w:val="clear" w:color="auto" w:fill="F4F7FC"/>
          </w:tcPr>
          <w:p>
            <w:pPr>
              <w:pStyle w:val="TableText"/>
            </w:pPr>
          </w:p>
        </w:tc>
        <w:tc>
          <w:tcPr>
            <w:tcW w:w="1028" w:type="dxa"/>
            <w:shd w:val="clear" w:color="auto" w:fill="F4F7FC"/>
          </w:tcPr>
          <w:p>
            <w:pPr>
              <w:pStyle w:val="TableText"/>
            </w:pPr>
          </w:p>
        </w:tc>
      </w:tr>
      <w:tr>
        <w:trPr>
          <w:cantSplit/>
        </w:trPr>
        <w:tc>
          <w:tcPr>
            <w:tcW w:w="3341" w:type="dxa"/>
          </w:tcPr>
          <w:p>
            <w:pPr>
              <w:pStyle w:val="TableText"/>
            </w:pPr>
            <w:r>
              <w:rPr>
                <w:sz w:val="18"/>
                <w:szCs w:val="18"/>
              </w:rPr>
              <w:t xml:space="preserve">Mise à jour de version</w:t>
            </w:r>
          </w:p>
        </w:tc>
        <w:tc>
          <w:tcPr>
            <w:tcW w:w="1413" w:type="dxa"/>
          </w:tcPr>
          <w:p>
            <w:pPr>
              <w:pStyle w:val="TableText"/>
            </w:pPr>
            <w:r>
              <w:rPr>
                <w:sz w:val="18"/>
                <w:szCs w:val="18"/>
              </w:rPr>
              <w:t xml:space="preserve">A</w:t>
            </w:r>
          </w:p>
        </w:tc>
        <w:tc>
          <w:tcPr>
            <w:tcW w:w="1413" w:type="dxa"/>
          </w:tcPr>
          <w:p>
            <w:pPr>
              <w:pStyle w:val="TableText"/>
            </w:pPr>
            <w:r>
              <w:rPr>
                <w:sz w:val="18"/>
                <w:szCs w:val="18"/>
              </w:rPr>
              <w:t xml:space="preserve">R</w:t>
            </w:r>
          </w:p>
        </w:tc>
        <w:tc>
          <w:tcPr>
            <w:tcW w:w="1028" w:type="dxa"/>
          </w:tcPr>
          <w:p>
            <w:pPr>
              <w:pStyle w:val="TableText"/>
            </w:pPr>
            <w:r>
              <w:rPr>
                <w:sz w:val="18"/>
                <w:szCs w:val="18"/>
              </w:rPr>
              <w:t xml:space="preserve">R</w:t>
            </w:r>
          </w:p>
        </w:tc>
        <w:tc>
          <w:tcPr>
            <w:tcW w:w="1413" w:type="dxa"/>
          </w:tcPr>
          <w:p>
            <w:pPr>
              <w:pStyle w:val="TableText"/>
            </w:pPr>
          </w:p>
        </w:tc>
        <w:tc>
          <w:tcPr>
            <w:tcW w:w="1028" w:type="dxa"/>
          </w:tcPr>
          <w:p>
            <w:pPr>
              <w:pStyle w:val="TableText"/>
            </w:pPr>
            <w:r>
              <w:rPr>
                <w:sz w:val="18"/>
                <w:szCs w:val="18"/>
              </w:rPr>
              <w:t xml:space="preserve">C</w:t>
            </w:r>
          </w:p>
        </w:tc>
      </w:tr>
      <w:tr>
        <w:trPr>
          <w:cantSplit/>
        </w:trPr>
        <w:tc>
          <w:tcPr>
            <w:tcW w:w="3341" w:type="dxa"/>
            <w:shd w:val="clear" w:color="auto" w:fill="F4F7FC"/>
          </w:tcPr>
          <w:p>
            <w:pPr>
              <w:pStyle w:val="TableText"/>
            </w:pPr>
            <w:r>
              <w:rPr>
                <w:sz w:val="18"/>
                <w:szCs w:val="18"/>
              </w:rPr>
              <w:t xml:space="preserve">Gestion des accès (groupe AD)</w:t>
            </w:r>
          </w:p>
        </w:tc>
        <w:tc>
          <w:tcPr>
            <w:tcW w:w="1413" w:type="dxa"/>
            <w:shd w:val="clear" w:color="auto" w:fill="F4F7FC"/>
          </w:tcPr>
          <w:p>
            <w:pPr>
              <w:pStyle w:val="TableText"/>
            </w:pPr>
            <w:r>
              <w:rPr>
                <w:sz w:val="18"/>
                <w:szCs w:val="18"/>
              </w:rPr>
              <w:t xml:space="preserve">A</w:t>
            </w:r>
          </w:p>
        </w:tc>
        <w:tc>
          <w:tcPr>
            <w:tcW w:w="1413" w:type="dxa"/>
            <w:shd w:val="clear" w:color="auto" w:fill="F4F7FC"/>
          </w:tcPr>
          <w:p>
            <w:pPr>
              <w:pStyle w:val="TableText"/>
            </w:pPr>
            <w:r>
              <w:rPr>
                <w:sz w:val="18"/>
                <w:szCs w:val="18"/>
              </w:rPr>
              <w:t xml:space="preserve">R</w:t>
            </w:r>
          </w:p>
        </w:tc>
        <w:tc>
          <w:tcPr>
            <w:tcW w:w="1028" w:type="dxa"/>
            <w:shd w:val="clear" w:color="auto" w:fill="F4F7FC"/>
          </w:tcPr>
          <w:p>
            <w:pPr>
              <w:pStyle w:val="TableText"/>
            </w:pPr>
          </w:p>
        </w:tc>
        <w:tc>
          <w:tcPr>
            <w:tcW w:w="1413" w:type="dxa"/>
            <w:shd w:val="clear" w:color="auto" w:fill="F4F7FC"/>
          </w:tcPr>
          <w:p>
            <w:pPr>
              <w:pStyle w:val="TableText"/>
            </w:pPr>
          </w:p>
        </w:tc>
        <w:tc>
          <w:tcPr>
            <w:tcW w:w="1028" w:type="dxa"/>
            <w:shd w:val="clear" w:color="auto" w:fill="F4F7FC"/>
          </w:tcPr>
          <w:p>
            <w:pPr>
              <w:pStyle w:val="TableText"/>
            </w:pPr>
            <w:r>
              <w:rPr>
                <w:sz w:val="18"/>
                <w:szCs w:val="18"/>
              </w:rPr>
              <w:t xml:space="preserve">C</w:t>
            </w:r>
          </w:p>
        </w:tc>
      </w:tr>
      <w:tr>
        <w:trPr>
          <w:cantSplit/>
        </w:trPr>
        <w:tc>
          <w:tcPr>
            <w:tcW w:w="3341" w:type="dxa"/>
          </w:tcPr>
          <w:p>
            <w:pPr>
              <w:pStyle w:val="TableText"/>
            </w:pPr>
            <w:r>
              <w:rPr>
                <w:sz w:val="18"/>
                <w:szCs w:val="18"/>
              </w:rPr>
              <w:t xml:space="preserve">Renouvellement des certificats</w:t>
            </w:r>
          </w:p>
        </w:tc>
        <w:tc>
          <w:tcPr>
            <w:tcW w:w="1413" w:type="dxa"/>
          </w:tcPr>
          <w:p>
            <w:pPr>
              <w:pStyle w:val="TableText"/>
            </w:pPr>
            <w:r>
              <w:rPr>
                <w:sz w:val="18"/>
                <w:szCs w:val="18"/>
              </w:rPr>
              <w:t xml:space="preserve">I</w:t>
            </w:r>
          </w:p>
        </w:tc>
        <w:tc>
          <w:tcPr>
            <w:tcW w:w="1413" w:type="dxa"/>
          </w:tcPr>
          <w:p>
            <w:pPr>
              <w:pStyle w:val="TableText"/>
            </w:pPr>
            <w:r>
              <w:rPr>
                <w:sz w:val="18"/>
                <w:szCs w:val="18"/>
              </w:rPr>
              <w:t xml:space="preserve">R/A</w:t>
            </w:r>
          </w:p>
        </w:tc>
        <w:tc>
          <w:tcPr>
            <w:tcW w:w="1028" w:type="dxa"/>
          </w:tcPr>
          <w:p>
            <w:pPr>
              <w:pStyle w:val="TableText"/>
            </w:pPr>
          </w:p>
        </w:tc>
        <w:tc>
          <w:tcPr>
            <w:tcW w:w="1413" w:type="dxa"/>
          </w:tcPr>
          <w:p>
            <w:pPr>
              <w:pStyle w:val="TableText"/>
            </w:pPr>
          </w:p>
        </w:tc>
        <w:tc>
          <w:tcPr>
            <w:tcW w:w="1028" w:type="dxa"/>
          </w:tcPr>
          <w:p>
            <w:pPr>
              <w:pStyle w:val="TableText"/>
            </w:pPr>
            <w:r>
              <w:rPr>
                <w:sz w:val="18"/>
                <w:szCs w:val="18"/>
              </w:rPr>
              <w:t xml:space="preserve">C</w:t>
            </w:r>
          </w:p>
        </w:tc>
      </w:tr>
      <w:tr>
        <w:trPr>
          <w:cantSplit/>
        </w:trPr>
        <w:tc>
          <w:tcPr>
            <w:tcW w:w="3341" w:type="dxa"/>
            <w:shd w:val="clear" w:color="auto" w:fill="F4F7FC"/>
          </w:tcPr>
          <w:p>
            <w:pPr>
              <w:pStyle w:val="TableText"/>
            </w:pPr>
            <w:r>
              <w:rPr>
                <w:sz w:val="18"/>
                <w:szCs w:val="18"/>
              </w:rPr>
              <w:t xml:space="preserve">Analyse des incidents de sécurité</w:t>
            </w:r>
          </w:p>
        </w:tc>
        <w:tc>
          <w:tcPr>
            <w:tcW w:w="1413" w:type="dxa"/>
            <w:shd w:val="clear" w:color="auto" w:fill="F4F7FC"/>
          </w:tcPr>
          <w:p>
            <w:pPr>
              <w:pStyle w:val="TableText"/>
            </w:pPr>
            <w:r>
              <w:rPr>
                <w:sz w:val="18"/>
                <w:szCs w:val="18"/>
              </w:rPr>
              <w:t xml:space="preserve">I</w:t>
            </w:r>
          </w:p>
        </w:tc>
        <w:tc>
          <w:tcPr>
            <w:tcW w:w="1413" w:type="dxa"/>
            <w:shd w:val="clear" w:color="auto" w:fill="F4F7FC"/>
          </w:tcPr>
          <w:p>
            <w:pPr>
              <w:pStyle w:val="TableText"/>
            </w:pPr>
            <w:r>
              <w:rPr>
                <w:sz w:val="18"/>
                <w:szCs w:val="18"/>
              </w:rPr>
              <w:t xml:space="preserve">R</w:t>
            </w:r>
          </w:p>
        </w:tc>
        <w:tc>
          <w:tcPr>
            <w:tcW w:w="1028" w:type="dxa"/>
            <w:shd w:val="clear" w:color="auto" w:fill="F4F7FC"/>
          </w:tcPr>
          <w:p>
            <w:pPr>
              <w:pStyle w:val="TableText"/>
            </w:pPr>
          </w:p>
        </w:tc>
        <w:tc>
          <w:tcPr>
            <w:tcW w:w="1413" w:type="dxa"/>
            <w:shd w:val="clear" w:color="auto" w:fill="F4F7FC"/>
          </w:tcPr>
          <w:p>
            <w:pPr>
              <w:pStyle w:val="TableText"/>
            </w:pPr>
          </w:p>
        </w:tc>
        <w:tc>
          <w:tcPr>
            <w:tcW w:w="1028" w:type="dxa"/>
            <w:shd w:val="clear" w:color="auto" w:fill="F4F7FC"/>
          </w:tcPr>
          <w:p>
            <w:pPr>
              <w:pStyle w:val="TableText"/>
            </w:pPr>
            <w:r>
              <w:rPr>
                <w:sz w:val="18"/>
                <w:szCs w:val="18"/>
              </w:rPr>
              <w:t xml:space="preserve">A</w:t>
            </w:r>
          </w:p>
        </w:tc>
      </w:tr>
      <w:tr>
        <w:trPr>
          <w:cantSplit/>
        </w:trPr>
        <w:tc>
          <w:tcPr>
            <w:tcW w:w="3341" w:type="dxa"/>
          </w:tcPr>
          <w:p>
            <w:pPr>
              <w:pStyle w:val="TableText"/>
            </w:pPr>
            <w:r>
              <w:rPr>
                <w:sz w:val="18"/>
                <w:szCs w:val="18"/>
              </w:rPr>
              <w:t xml:space="preserve">Exploitation des rapports</w:t>
            </w:r>
          </w:p>
        </w:tc>
        <w:tc>
          <w:tcPr>
            <w:tcW w:w="1413" w:type="dxa"/>
          </w:tcPr>
          <w:p>
            <w:pPr>
              <w:pStyle w:val="TableText"/>
            </w:pPr>
            <w:r>
              <w:rPr>
                <w:sz w:val="18"/>
                <w:szCs w:val="18"/>
              </w:rPr>
              <w:t xml:space="preserve">R/A</w:t>
            </w:r>
          </w:p>
        </w:tc>
        <w:tc>
          <w:tcPr>
            <w:tcW w:w="1413" w:type="dxa"/>
          </w:tcPr>
          <w:p>
            <w:pPr>
              <w:pStyle w:val="TableText"/>
            </w:pPr>
          </w:p>
        </w:tc>
        <w:tc>
          <w:tcPr>
            <w:tcW w:w="1028" w:type="dxa"/>
          </w:tcPr>
          <w:p>
            <w:pPr>
              <w:pStyle w:val="TableText"/>
            </w:pPr>
          </w:p>
        </w:tc>
        <w:tc>
          <w:tcPr>
            <w:tcW w:w="1413" w:type="dxa"/>
          </w:tcPr>
          <w:p>
            <w:pPr>
              <w:pStyle w:val="TableText"/>
            </w:pPr>
          </w:p>
        </w:tc>
        <w:tc>
          <w:tcPr>
            <w:tcW w:w="1028" w:type="dxa"/>
          </w:tcPr>
          <w:p>
            <w:pPr>
              <w:pStyle w:val="TableText"/>
            </w:pPr>
          </w:p>
        </w:tc>
      </w:tr>
    </w:tbl>
    <w:p>
      <w:pPr>
        <w:spacing w:after="80"/>
      </w:pPr>
    </w:p>
    <w:p>
      <w:pPr>
        <w:pStyle w:val="Heading1"/>
      </w:pPr>
      <w:bookmarkStart w:id="156" w:name="_Toc00156"/>
      <w:r>
        <w:rPr/>
        <w:t xml:space="preserve">Annexe A. Référence des commandes</w:t>
      </w:r>
      <w:bookmarkEnd w:id="156"/>
    </w:p>
    <w:p>
      <w:pPr/>
      <w:r>
        <w:rPr/>
        <w:t xml:space="preserve">Syntaxe : </w:t>
      </w:r>
      <w:r>
        <w:rPr>
          <w:rFonts w:ascii="Consolas" w:hAnsi="Consolas" w:cs="Consolas"/>
          <w:color w:val="1C5CAB"/>
          <w:sz w:val="18"/>
          <w:szCs w:val="18"/>
          <w:shd w:val="clear" w:color="auto" w:fill="EEF3FA"/>
        </w:rPr>
        <w:t xml:space="preserve">HeptagonesLM.exe [-c heptagoneslm.yaml] [-v] &lt;commande&gt; [options]</w:t>
      </w:r>
      <w:r>
        <w:rPr/>
        <w:t xml:space="preserve"> (identique avec </w:t>
      </w:r>
      <w:r>
        <w:rPr>
          <w:rFonts w:ascii="Consolas" w:hAnsi="Consolas" w:cs="Consolas"/>
          <w:color w:val="1C5CAB"/>
          <w:sz w:val="18"/>
          <w:szCs w:val="18"/>
          <w:shd w:val="clear" w:color="auto" w:fill="EEF3FA"/>
        </w:rPr>
        <w:t xml:space="preserve">heptagoneslm</w:t>
      </w:r>
      <w:r>
        <w:rPr/>
        <w:t xml:space="preserve"> en installation Python). Sans argument (double-clic), </w:t>
      </w:r>
      <w:r>
        <w:rPr>
          <w:rFonts w:ascii="Consolas" w:hAnsi="Consolas" w:cs="Consolas"/>
          <w:color w:val="1C5CAB"/>
          <w:sz w:val="18"/>
          <w:szCs w:val="18"/>
          <w:shd w:val="clear" w:color="auto" w:fill="EEF3FA"/>
        </w:rPr>
        <w:t xml:space="preserve">HeptagonesLM.exe</w:t>
      </w:r>
      <w:r>
        <w:rPr/>
        <w:t xml:space="preserve"> ouvre l'interface de l'installation trouvée (y compris </w:t>
      </w:r>
      <w:r>
        <w:rPr>
          <w:rFonts w:ascii="Consolas" w:hAnsi="Consolas" w:cs="Consolas"/>
          <w:color w:val="1C5CAB"/>
          <w:sz w:val="18"/>
          <w:szCs w:val="18"/>
          <w:shd w:val="clear" w:color="auto" w:fill="EEF3FA"/>
        </w:rPr>
        <w:t xml:space="preserve">C:\HeptagonesLM</w:t>
      </w:r>
      <w:r>
        <w:rPr/>
        <w:t xml:space="preserve">) ou le navigateur si l'interface est déjà servie ; sans installation, il propose d'installer ou de voir la démonstration (bandeau « Démonstration »).</w:t>
      </w:r>
    </w:p>
    <w:p>
      <w:pPr>
        <w:pStyle w:val="Caption"/>
        <w:keepNext/>
      </w:pPr>
      <w:r>
        <w:rPr/>
        <w:t xml:space="preserve">Tableau 38 – Commandes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927"/>
        <w:gridCol w:w="3855"/>
        <w:gridCol w:w="3855"/>
      </w:tblGrid>
      <w:tr>
        <w:trPr>
          <w:tblHeader/>
          <w:cantSplit/>
        </w:trPr>
        <w:tc>
          <w:tcPr>
            <w:tcW w:w="1927" w:type="dxa"/>
            <w:shd w:val="clear" w:color="auto" w:fill="2A78D6"/>
          </w:tcPr>
          <w:p>
            <w:pPr>
              <w:pStyle w:val="TableText"/>
            </w:pPr>
            <w:r>
              <w:rPr>
                <w:b/>
                <w:color w:val="FFFFFF"/>
                <w:sz w:val="18"/>
                <w:szCs w:val="18"/>
              </w:rPr>
              <w:t xml:space="preserve">Commande</w:t>
            </w:r>
          </w:p>
        </w:tc>
        <w:tc>
          <w:tcPr>
            <w:tcW w:w="3855" w:type="dxa"/>
            <w:shd w:val="clear" w:color="auto" w:fill="2A78D6"/>
          </w:tcPr>
          <w:p>
            <w:pPr>
              <w:pStyle w:val="TableText"/>
            </w:pPr>
            <w:r>
              <w:rPr>
                <w:b/>
                <w:color w:val="FFFFFF"/>
                <w:sz w:val="18"/>
                <w:szCs w:val="18"/>
              </w:rPr>
              <w:t xml:space="preserve">Options principales</w:t>
            </w:r>
          </w:p>
        </w:tc>
        <w:tc>
          <w:tcPr>
            <w:tcW w:w="3855" w:type="dxa"/>
            <w:shd w:val="clear" w:color="auto" w:fill="2A78D6"/>
          </w:tcPr>
          <w:p>
            <w:pPr>
              <w:pStyle w:val="TableText"/>
            </w:pPr>
            <w:r>
              <w:rPr>
                <w:b/>
                <w:color w:val="FFFFFF"/>
                <w:sz w:val="18"/>
                <w:szCs w:val="18"/>
              </w:rPr>
              <w:t xml:space="preserve">Rôle</w:t>
            </w:r>
          </w:p>
        </w:tc>
      </w:tr>
      <w:tr>
        <w:trPr>
          <w:cantSplit/>
        </w:trPr>
        <w:tc>
          <w:tcPr>
            <w:tcW w:w="1927" w:type="dxa"/>
          </w:tcPr>
          <w:p>
            <w:pPr>
              <w:pStyle w:val="TableText"/>
            </w:pPr>
            <w:r>
              <w:rPr>
                <w:sz w:val="18"/>
                <w:szCs w:val="18"/>
              </w:rPr>
              <w:t xml:space="preserve">init-db</w:t>
            </w:r>
          </w:p>
        </w:tc>
        <w:tc>
          <w:tcPr>
            <w:tcW w:w="3855" w:type="dxa"/>
          </w:tcPr>
          <w:p>
            <w:pPr>
              <w:pStyle w:val="TableText"/>
            </w:pPr>
            <w:r>
              <w:rPr>
                <w:sz w:val="18"/>
                <w:szCs w:val="18"/>
              </w:rPr>
              <w:t xml:space="preserve">—</w:t>
            </w:r>
          </w:p>
        </w:tc>
        <w:tc>
          <w:tcPr>
            <w:tcW w:w="3855" w:type="dxa"/>
          </w:tcPr>
          <w:p>
            <w:pPr>
              <w:pStyle w:val="TableText"/>
            </w:pPr>
            <w:r>
              <w:rPr>
                <w:sz w:val="18"/>
                <w:szCs w:val="18"/>
              </w:rPr>
              <w:t xml:space="preserve">Crée ou met à jour le schéma, référence les serveurs</w:t>
            </w:r>
          </w:p>
        </w:tc>
      </w:tr>
      <w:tr>
        <w:trPr>
          <w:cantSplit/>
        </w:trPr>
        <w:tc>
          <w:tcPr>
            <w:tcW w:w="1927" w:type="dxa"/>
            <w:shd w:val="clear" w:color="auto" w:fill="F4F7FC"/>
          </w:tcPr>
          <w:p>
            <w:pPr>
              <w:pStyle w:val="TableText"/>
            </w:pPr>
            <w:r>
              <w:rPr>
                <w:sz w:val="18"/>
                <w:szCs w:val="18"/>
              </w:rPr>
              <w:t xml:space="preserve">collect</w:t>
            </w:r>
          </w:p>
        </w:tc>
        <w:tc>
          <w:tcPr>
            <w:tcW w:w="3855" w:type="dxa"/>
            <w:shd w:val="clear" w:color="auto" w:fill="F4F7FC"/>
          </w:tcPr>
          <w:p>
            <w:pPr>
              <w:pStyle w:val="TableText"/>
            </w:pPr>
            <w:r>
              <w:rPr>
                <w:sz w:val="18"/>
                <w:szCs w:val="18"/>
              </w:rPr>
              <w:t xml:space="preserve">--server X (répétable)</w:t>
            </w:r>
          </w:p>
        </w:tc>
        <w:tc>
          <w:tcPr>
            <w:tcW w:w="3855" w:type="dxa"/>
            <w:shd w:val="clear" w:color="auto" w:fill="F4F7FC"/>
          </w:tcPr>
          <w:p>
            <w:pPr>
              <w:pStyle w:val="TableText"/>
            </w:pPr>
            <w:r>
              <w:rPr>
                <w:sz w:val="18"/>
                <w:szCs w:val="18"/>
              </w:rPr>
              <w:t xml:space="preserve">Une collecte (tâche planifiée) ; code 2 si un serveur est en échec</w:t>
            </w:r>
          </w:p>
        </w:tc>
      </w:tr>
      <w:tr>
        <w:trPr>
          <w:cantSplit/>
        </w:trPr>
        <w:tc>
          <w:tcPr>
            <w:tcW w:w="1927" w:type="dxa"/>
          </w:tcPr>
          <w:p>
            <w:pPr>
              <w:pStyle w:val="TableText"/>
            </w:pPr>
            <w:r>
              <w:rPr>
                <w:sz w:val="18"/>
                <w:szCs w:val="18"/>
              </w:rPr>
              <w:t xml:space="preserve">web</w:t>
            </w:r>
          </w:p>
        </w:tc>
        <w:tc>
          <w:tcPr>
            <w:tcW w:w="3855" w:type="dxa"/>
          </w:tcPr>
          <w:p>
            <w:pPr>
              <w:pStyle w:val="TableText"/>
            </w:pPr>
            <w:r>
              <w:rPr>
                <w:sz w:val="18"/>
                <w:szCs w:val="18"/>
              </w:rPr>
              <w:t xml:space="preserve">--host, --port, --open, --demo</w:t>
            </w:r>
          </w:p>
        </w:tc>
        <w:tc>
          <w:tcPr>
            <w:tcW w:w="3855" w:type="dxa"/>
          </w:tcPr>
          <w:p>
            <w:pPr>
              <w:pStyle w:val="TableText"/>
            </w:pPr>
            <w:r>
              <w:rPr>
                <w:sz w:val="18"/>
                <w:szCs w:val="18"/>
              </w:rPr>
              <w:t xml:space="preserve">Interface web</w:t>
            </w:r>
          </w:p>
        </w:tc>
      </w:tr>
      <w:tr>
        <w:trPr>
          <w:cantSplit/>
        </w:trPr>
        <w:tc>
          <w:tcPr>
            <w:tcW w:w="1927" w:type="dxa"/>
            <w:shd w:val="clear" w:color="auto" w:fill="F4F7FC"/>
          </w:tcPr>
          <w:p>
            <w:pPr>
              <w:pStyle w:val="TableText"/>
            </w:pPr>
            <w:r>
              <w:rPr>
                <w:sz w:val="18"/>
                <w:szCs w:val="18"/>
              </w:rPr>
              <w:t xml:space="preserve">report</w:t>
            </w:r>
          </w:p>
        </w:tc>
        <w:tc>
          <w:tcPr>
            <w:tcW w:w="3855" w:type="dxa"/>
            <w:shd w:val="clear" w:color="auto" w:fill="F4F7FC"/>
          </w:tcPr>
          <w:p>
            <w:pPr>
              <w:pStyle w:val="TableText"/>
            </w:pPr>
            <w:r>
              <w:rPr>
                <w:sz w:val="18"/>
                <w:szCs w:val="18"/>
              </w:rPr>
              <w:t xml:space="preserve">--period, --from, --to, --server, -o, --skip-existing</w:t>
            </w:r>
          </w:p>
        </w:tc>
        <w:tc>
          <w:tcPr>
            <w:tcW w:w="3855" w:type="dxa"/>
            <w:shd w:val="clear" w:color="auto" w:fill="F4F7FC"/>
          </w:tcPr>
          <w:p>
            <w:pPr>
              <w:pStyle w:val="TableText"/>
            </w:pPr>
            <w:r>
              <w:rPr>
                <w:sz w:val="18"/>
                <w:szCs w:val="18"/>
              </w:rPr>
              <w:t xml:space="preserve">Rapport Excel</w:t>
            </w:r>
          </w:p>
        </w:tc>
      </w:tr>
      <w:tr>
        <w:trPr>
          <w:cantSplit/>
        </w:trPr>
        <w:tc>
          <w:tcPr>
            <w:tcW w:w="1927" w:type="dxa"/>
          </w:tcPr>
          <w:p>
            <w:pPr>
              <w:pStyle w:val="TableText"/>
            </w:pPr>
            <w:r>
              <w:rPr>
                <w:sz w:val="18"/>
                <w:szCs w:val="18"/>
              </w:rPr>
              <w:t xml:space="preserve">send-report</w:t>
            </w:r>
          </w:p>
        </w:tc>
        <w:tc>
          <w:tcPr>
            <w:tcW w:w="3855" w:type="dxa"/>
          </w:tcPr>
          <w:p>
            <w:pPr>
              <w:pStyle w:val="TableText"/>
            </w:pPr>
            <w:r>
              <w:rPr>
                <w:sz w:val="18"/>
                <w:szCs w:val="18"/>
              </w:rPr>
              <w:t xml:space="preserve">--subscription, --period, --to, --skip-sent, --dry-run DOSSIER</w:t>
            </w:r>
          </w:p>
        </w:tc>
        <w:tc>
          <w:tcPr>
            <w:tcW w:w="3855" w:type="dxa"/>
          </w:tcPr>
          <w:p>
            <w:pPr>
              <w:pStyle w:val="TableText"/>
            </w:pPr>
            <w:r>
              <w:rPr>
                <w:sz w:val="18"/>
                <w:szCs w:val="18"/>
              </w:rPr>
              <w:t xml:space="preserve">Envoi aux abonnés ; aperçu .eml avec --dry-run</w:t>
            </w:r>
          </w:p>
        </w:tc>
      </w:tr>
      <w:tr>
        <w:trPr>
          <w:cantSplit/>
        </w:trPr>
        <w:tc>
          <w:tcPr>
            <w:tcW w:w="1927" w:type="dxa"/>
            <w:shd w:val="clear" w:color="auto" w:fill="F4F7FC"/>
          </w:tcPr>
          <w:p>
            <w:pPr>
              <w:pStyle w:val="TableText"/>
            </w:pPr>
            <w:r>
              <w:rPr>
                <w:sz w:val="18"/>
                <w:szCs w:val="18"/>
              </w:rPr>
              <w:t xml:space="preserve">check-alerts</w:t>
            </w:r>
          </w:p>
        </w:tc>
        <w:tc>
          <w:tcPr>
            <w:tcW w:w="3855" w:type="dxa"/>
            <w:shd w:val="clear" w:color="auto" w:fill="F4F7FC"/>
          </w:tcPr>
          <w:p>
            <w:pPr>
              <w:pStyle w:val="TableText"/>
            </w:pPr>
            <w:r>
              <w:rPr>
                <w:sz w:val="18"/>
                <w:szCs w:val="18"/>
              </w:rPr>
              <w:t xml:space="preserve">--dry-run DOSSIER</w:t>
            </w:r>
          </w:p>
        </w:tc>
        <w:tc>
          <w:tcPr>
            <w:tcW w:w="3855" w:type="dxa"/>
            <w:shd w:val="clear" w:color="auto" w:fill="F4F7FC"/>
          </w:tcPr>
          <w:p>
            <w:pPr>
              <w:pStyle w:val="TableText"/>
            </w:pPr>
            <w:r>
              <w:rPr>
                <w:sz w:val="18"/>
                <w:szCs w:val="18"/>
              </w:rPr>
              <w:t xml:space="preserve">Évalue les alertes, envoie l'e-mail et synchronise les tickets (aussi après chaque collecte)</w:t>
            </w:r>
          </w:p>
        </w:tc>
      </w:tr>
      <w:tr>
        <w:trPr>
          <w:cantSplit/>
        </w:trPr>
        <w:tc>
          <w:tcPr>
            <w:tcW w:w="1927" w:type="dxa"/>
          </w:tcPr>
          <w:p>
            <w:pPr>
              <w:pStyle w:val="TableText"/>
            </w:pPr>
            <w:r>
              <w:rPr>
                <w:sz w:val="18"/>
                <w:szCs w:val="18"/>
              </w:rPr>
              <w:t xml:space="preserve">test-itsm</w:t>
            </w:r>
          </w:p>
        </w:tc>
        <w:tc>
          <w:tcPr>
            <w:tcW w:w="3855" w:type="dxa"/>
          </w:tcPr>
          <w:p>
            <w:pPr>
              <w:pStyle w:val="TableText"/>
            </w:pPr>
            <w:r>
              <w:rPr>
                <w:sz w:val="18"/>
                <w:szCs w:val="18"/>
              </w:rPr>
              <w:t xml:space="preserve">--connector NOM, --keep-open</w:t>
            </w:r>
          </w:p>
        </w:tc>
        <w:tc>
          <w:tcPr>
            <w:tcW w:w="3855" w:type="dxa"/>
          </w:tcPr>
          <w:p>
            <w:pPr>
              <w:pStyle w:val="TableText"/>
            </w:pPr>
            <w:r>
              <w:rPr>
                <w:sz w:val="18"/>
                <w:szCs w:val="18"/>
              </w:rPr>
              <w:t xml:space="preserve">Ticket de test ouvert, commenté puis résolu dans chaque outil ITSM</w:t>
            </w:r>
          </w:p>
        </w:tc>
      </w:tr>
      <w:tr>
        <w:trPr>
          <w:cantSplit/>
        </w:trPr>
        <w:tc>
          <w:tcPr>
            <w:tcW w:w="1927" w:type="dxa"/>
            <w:shd w:val="clear" w:color="auto" w:fill="F4F7FC"/>
          </w:tcPr>
          <w:p>
            <w:pPr>
              <w:pStyle w:val="TableText"/>
            </w:pPr>
            <w:r>
              <w:rPr>
                <w:sz w:val="18"/>
                <w:szCs w:val="18"/>
              </w:rPr>
              <w:t xml:space="preserve">import-log</w:t>
            </w:r>
          </w:p>
        </w:tc>
        <w:tc>
          <w:tcPr>
            <w:tcW w:w="3855" w:type="dxa"/>
            <w:shd w:val="clear" w:color="auto" w:fill="F4F7FC"/>
          </w:tcPr>
          <w:p>
            <w:pPr>
              <w:pStyle w:val="TableText"/>
            </w:pPr>
            <w:r>
              <w:rPr>
                <w:sz w:val="18"/>
                <w:szCs w:val="18"/>
              </w:rPr>
              <w:t xml:space="preserve">--server X fichiers…</w:t>
            </w:r>
          </w:p>
        </w:tc>
        <w:tc>
          <w:tcPr>
            <w:tcW w:w="3855" w:type="dxa"/>
            <w:shd w:val="clear" w:color="auto" w:fill="F4F7FC"/>
          </w:tcPr>
          <w:p>
            <w:pPr>
              <w:pStyle w:val="TableText"/>
            </w:pPr>
            <w:r>
              <w:rPr>
                <w:sz w:val="18"/>
                <w:szCs w:val="18"/>
              </w:rPr>
              <w:t xml:space="preserve">Reprise d'historique depuis des logs archivés</w:t>
            </w:r>
          </w:p>
        </w:tc>
      </w:tr>
      <w:tr>
        <w:trPr>
          <w:cantSplit/>
        </w:trPr>
        <w:tc>
          <w:tcPr>
            <w:tcW w:w="1927" w:type="dxa"/>
          </w:tcPr>
          <w:p>
            <w:pPr>
              <w:pStyle w:val="TableText"/>
            </w:pPr>
            <w:r>
              <w:rPr>
                <w:sz w:val="18"/>
                <w:szCs w:val="18"/>
              </w:rPr>
              <w:t xml:space="preserve">import-users</w:t>
            </w:r>
          </w:p>
        </w:tc>
        <w:tc>
          <w:tcPr>
            <w:tcW w:w="3855" w:type="dxa"/>
          </w:tcPr>
          <w:p>
            <w:pPr>
              <w:pStyle w:val="TableText"/>
            </w:pPr>
            <w:r>
              <w:rPr>
                <w:sz w:val="18"/>
                <w:szCs w:val="18"/>
              </w:rPr>
              <w:t xml:space="preserve">fichier.csv</w:t>
            </w:r>
          </w:p>
        </w:tc>
        <w:tc>
          <w:tcPr>
            <w:tcW w:w="3855" w:type="dxa"/>
          </w:tcPr>
          <w:p>
            <w:pPr>
              <w:pStyle w:val="TableText"/>
            </w:pPr>
            <w:r>
              <w:rPr>
                <w:sz w:val="18"/>
                <w:szCs w:val="18"/>
              </w:rPr>
              <w:t xml:space="preserve">Noms et services (export AD / RH)</w:t>
            </w:r>
          </w:p>
        </w:tc>
      </w:tr>
      <w:tr>
        <w:trPr>
          <w:cantSplit/>
        </w:trPr>
        <w:tc>
          <w:tcPr>
            <w:tcW w:w="1927" w:type="dxa"/>
            <w:shd w:val="clear" w:color="auto" w:fill="F4F7FC"/>
          </w:tcPr>
          <w:p>
            <w:pPr>
              <w:pStyle w:val="TableText"/>
            </w:pPr>
            <w:r>
              <w:rPr>
                <w:sz w:val="18"/>
                <w:szCs w:val="18"/>
              </w:rPr>
              <w:t xml:space="preserve">apply-products</w:t>
            </w:r>
          </w:p>
        </w:tc>
        <w:tc>
          <w:tcPr>
            <w:tcW w:w="3855" w:type="dxa"/>
            <w:shd w:val="clear" w:color="auto" w:fill="F4F7FC"/>
          </w:tcPr>
          <w:p>
            <w:pPr>
              <w:pStyle w:val="TableText"/>
            </w:pPr>
            <w:r>
              <w:rPr>
                <w:sz w:val="18"/>
                <w:szCs w:val="18"/>
              </w:rPr>
              <w:t xml:space="preserve">—</w:t>
            </w:r>
          </w:p>
        </w:tc>
        <w:tc>
          <w:tcPr>
            <w:tcW w:w="3855" w:type="dxa"/>
            <w:shd w:val="clear" w:color="auto" w:fill="F4F7FC"/>
          </w:tcPr>
          <w:p>
            <w:pPr>
              <w:pStyle w:val="TableText"/>
            </w:pPr>
            <w:r>
              <w:rPr>
                <w:sz w:val="18"/>
                <w:szCs w:val="18"/>
              </w:rPr>
              <w:t xml:space="preserve">Réapplique les règles de produits à l'historique</w:t>
            </w:r>
          </w:p>
        </w:tc>
      </w:tr>
      <w:tr>
        <w:trPr>
          <w:cantSplit/>
        </w:trPr>
        <w:tc>
          <w:tcPr>
            <w:tcW w:w="1927" w:type="dxa"/>
          </w:tcPr>
          <w:p>
            <w:pPr>
              <w:pStyle w:val="TableText"/>
            </w:pPr>
            <w:r>
              <w:rPr>
                <w:sz w:val="18"/>
                <w:szCs w:val="18"/>
              </w:rPr>
              <w:t xml:space="preserve">purge</w:t>
            </w:r>
          </w:p>
        </w:tc>
        <w:tc>
          <w:tcPr>
            <w:tcW w:w="3855" w:type="dxa"/>
          </w:tcPr>
          <w:p>
            <w:pPr>
              <w:pStyle w:val="TableText"/>
            </w:pPr>
            <w:r>
              <w:rPr>
                <w:sz w:val="18"/>
                <w:szCs w:val="18"/>
              </w:rPr>
              <w:t xml:space="preserve">—</w:t>
            </w:r>
          </w:p>
        </w:tc>
        <w:tc>
          <w:tcPr>
            <w:tcW w:w="3855" w:type="dxa"/>
          </w:tcPr>
          <w:p>
            <w:pPr>
              <w:pStyle w:val="TableText"/>
            </w:pPr>
            <w:r>
              <w:rPr>
                <w:sz w:val="18"/>
                <w:szCs w:val="18"/>
              </w:rPr>
              <w:t xml:space="preserve">Applique la rétention</w:t>
            </w:r>
          </w:p>
        </w:tc>
      </w:tr>
      <w:tr>
        <w:trPr>
          <w:cantSplit/>
        </w:trPr>
        <w:tc>
          <w:tcPr>
            <w:tcW w:w="1927" w:type="dxa"/>
            <w:shd w:val="clear" w:color="auto" w:fill="F4F7FC"/>
          </w:tcPr>
          <w:p>
            <w:pPr>
              <w:pStyle w:val="TableText"/>
            </w:pPr>
            <w:r>
              <w:rPr>
                <w:sz w:val="18"/>
                <w:szCs w:val="18"/>
              </w:rPr>
              <w:t xml:space="preserve">test-server</w:t>
            </w:r>
          </w:p>
        </w:tc>
        <w:tc>
          <w:tcPr>
            <w:tcW w:w="3855" w:type="dxa"/>
            <w:shd w:val="clear" w:color="auto" w:fill="F4F7FC"/>
          </w:tcPr>
          <w:p>
            <w:pPr>
              <w:pStyle w:val="TableText"/>
            </w:pPr>
            <w:r>
              <w:rPr>
                <w:sz w:val="18"/>
                <w:szCs w:val="18"/>
              </w:rPr>
              <w:t xml:space="preserve">--server X</w:t>
            </w:r>
          </w:p>
        </w:tc>
        <w:tc>
          <w:tcPr>
            <w:tcW w:w="3855" w:type="dxa"/>
            <w:shd w:val="clear" w:color="auto" w:fill="F4F7FC"/>
          </w:tcPr>
          <w:p>
            <w:pPr>
              <w:pStyle w:val="TableText"/>
            </w:pPr>
            <w:r>
              <w:rPr>
                <w:sz w:val="18"/>
                <w:szCs w:val="18"/>
              </w:rPr>
              <w:t xml:space="preserve">Interroge un serveur sans rien écrire</w:t>
            </w:r>
          </w:p>
        </w:tc>
      </w:tr>
      <w:tr>
        <w:trPr>
          <w:cantSplit/>
        </w:trPr>
        <w:tc>
          <w:tcPr>
            <w:tcW w:w="1927" w:type="dxa"/>
          </w:tcPr>
          <w:p>
            <w:pPr>
              <w:pStyle w:val="TableText"/>
            </w:pPr>
            <w:r>
              <w:rPr>
                <w:sz w:val="18"/>
                <w:szCs w:val="18"/>
              </w:rPr>
              <w:t xml:space="preserve">parse-lmstat / parse-log</w:t>
            </w:r>
          </w:p>
        </w:tc>
        <w:tc>
          <w:tcPr>
            <w:tcW w:w="3855" w:type="dxa"/>
          </w:tcPr>
          <w:p>
            <w:pPr>
              <w:pStyle w:val="TableText"/>
            </w:pPr>
            <w:r>
              <w:rPr>
                <w:sz w:val="18"/>
                <w:szCs w:val="18"/>
              </w:rPr>
              <w:t xml:space="preserve">fichier</w:t>
            </w:r>
          </w:p>
        </w:tc>
        <w:tc>
          <w:tcPr>
            <w:tcW w:w="3855" w:type="dxa"/>
          </w:tcPr>
          <w:p>
            <w:pPr>
              <w:pStyle w:val="TableText"/>
            </w:pPr>
            <w:r>
              <w:rPr>
                <w:sz w:val="18"/>
                <w:szCs w:val="18"/>
              </w:rPr>
              <w:t xml:space="preserve">Diagnostic des parsers (sans base)</w:t>
            </w:r>
          </w:p>
        </w:tc>
      </w:tr>
      <w:tr>
        <w:trPr>
          <w:cantSplit/>
        </w:trPr>
        <w:tc>
          <w:tcPr>
            <w:tcW w:w="1927" w:type="dxa"/>
            <w:shd w:val="clear" w:color="auto" w:fill="F4F7FC"/>
          </w:tcPr>
          <w:p>
            <w:pPr>
              <w:pStyle w:val="TableText"/>
            </w:pPr>
            <w:r>
              <w:rPr>
                <w:sz w:val="18"/>
                <w:szCs w:val="18"/>
              </w:rPr>
              <w:t xml:space="preserve">demo</w:t>
            </w:r>
          </w:p>
        </w:tc>
        <w:tc>
          <w:tcPr>
            <w:tcW w:w="3855" w:type="dxa"/>
            <w:shd w:val="clear" w:color="auto" w:fill="F4F7FC"/>
          </w:tcPr>
          <w:p>
            <w:pPr>
              <w:pStyle w:val="TableText"/>
            </w:pPr>
            <w:r>
              <w:rPr>
                <w:sz w:val="18"/>
                <w:szCs w:val="18"/>
              </w:rPr>
              <w:t xml:space="preserve">--days, --output-dir, --connection-string</w:t>
            </w:r>
          </w:p>
        </w:tc>
        <w:tc>
          <w:tcPr>
            <w:tcW w:w="3855" w:type="dxa"/>
            <w:shd w:val="clear" w:color="auto" w:fill="F4F7FC"/>
          </w:tcPr>
          <w:p>
            <w:pPr>
              <w:pStyle w:val="TableText"/>
            </w:pPr>
            <w:r>
              <w:rPr>
                <w:sz w:val="18"/>
                <w:szCs w:val="18"/>
              </w:rPr>
              <w:t xml:space="preserve">Environnement de démonstration simulé</w:t>
            </w:r>
          </w:p>
        </w:tc>
      </w:tr>
      <w:tr>
        <w:trPr>
          <w:cantSplit/>
        </w:trPr>
        <w:tc>
          <w:tcPr>
            <w:tcW w:w="1927" w:type="dxa"/>
          </w:tcPr>
          <w:p>
            <w:pPr>
              <w:pStyle w:val="TableText"/>
            </w:pPr>
            <w:r>
              <w:rPr>
                <w:sz w:val="18"/>
                <w:szCs w:val="18"/>
              </w:rPr>
              <w:t xml:space="preserve">ddl</w:t>
            </w:r>
          </w:p>
        </w:tc>
        <w:tc>
          <w:tcPr>
            <w:tcW w:w="3855" w:type="dxa"/>
          </w:tcPr>
          <w:p>
            <w:pPr>
              <w:pStyle w:val="TableText"/>
            </w:pPr>
            <w:r>
              <w:rPr>
                <w:sz w:val="18"/>
                <w:szCs w:val="18"/>
              </w:rPr>
              <w:t xml:space="preserve">--dialect mssql|sqlite</w:t>
            </w:r>
          </w:p>
        </w:tc>
        <w:tc>
          <w:tcPr>
            <w:tcW w:w="3855" w:type="dxa"/>
          </w:tcPr>
          <w:p>
            <w:pPr>
              <w:pStyle w:val="TableText"/>
            </w:pPr>
            <w:r>
              <w:rPr>
                <w:sz w:val="18"/>
                <w:szCs w:val="18"/>
              </w:rPr>
              <w:t xml:space="preserve">Affiche le script SQL du schéma</w:t>
            </w:r>
          </w:p>
        </w:tc>
      </w:tr>
      <w:tr>
        <w:trPr>
          <w:cantSplit/>
        </w:trPr>
        <w:tc>
          <w:tcPr>
            <w:tcW w:w="1927" w:type="dxa"/>
            <w:shd w:val="clear" w:color="auto" w:fill="F4F7FC"/>
          </w:tcPr>
          <w:p>
            <w:pPr>
              <w:pStyle w:val="TableText"/>
            </w:pPr>
            <w:r>
              <w:rPr>
                <w:sz w:val="18"/>
                <w:szCs w:val="18"/>
              </w:rPr>
              <w:t xml:space="preserve">setup</w:t>
            </w:r>
          </w:p>
        </w:tc>
        <w:tc>
          <w:tcPr>
            <w:tcW w:w="3855" w:type="dxa"/>
            <w:shd w:val="clear" w:color="auto" w:fill="F4F7FC"/>
          </w:tcPr>
          <w:p>
            <w:pPr>
              <w:pStyle w:val="TableText"/>
            </w:pPr>
            <w:r>
              <w:rPr>
                <w:sz w:val="18"/>
                <w:szCs w:val="18"/>
              </w:rPr>
              <w:t xml:space="preserve">--simulate, --answers FICHIER.json, --port, --no-open</w:t>
            </w:r>
          </w:p>
        </w:tc>
        <w:tc>
          <w:tcPr>
            <w:tcW w:w="3855" w:type="dxa"/>
            <w:shd w:val="clear" w:color="auto" w:fill="F4F7FC"/>
          </w:tcPr>
          <w:p>
            <w:pPr>
              <w:pStyle w:val="TableText"/>
            </w:pPr>
            <w:r>
              <w:rPr>
                <w:sz w:val="18"/>
                <w:szCs w:val="18"/>
              </w:rPr>
              <w:t xml:space="preserve">Assistant d'installation (HeptagonesLM-Setup.exe) ou installation silencieuse</w:t>
            </w:r>
          </w:p>
        </w:tc>
      </w:tr>
    </w:tbl>
    <w:p>
      <w:pPr>
        <w:spacing w:after="80"/>
      </w:pPr>
    </w:p>
    <w:p>
      <w:pPr/>
      <w:r>
        <w:rPr/>
        <w:t xml:space="preserve">Périodes (</w:t>
      </w:r>
      <w:r>
        <w:rPr>
          <w:rFonts w:ascii="Consolas" w:hAnsi="Consolas" w:cs="Consolas"/>
          <w:color w:val="1C5CAB"/>
          <w:sz w:val="18"/>
          <w:szCs w:val="18"/>
          <w:shd w:val="clear" w:color="auto" w:fill="EEF3FA"/>
        </w:rPr>
        <w:t xml:space="preserve">--period</w:t>
      </w:r>
      <w:r>
        <w:rPr/>
        <w:t xml:space="preserve">) : </w:t>
      </w:r>
      <w:r>
        <w:rPr>
          <w:rFonts w:ascii="Consolas" w:hAnsi="Consolas" w:cs="Consolas"/>
          <w:color w:val="1C5CAB"/>
          <w:sz w:val="18"/>
          <w:szCs w:val="18"/>
          <w:shd w:val="clear" w:color="auto" w:fill="EEF3FA"/>
        </w:rPr>
        <w:t xml:space="preserve">last-month</w:t>
      </w:r>
      <w:r>
        <w:rPr/>
        <w:t xml:space="preserve"> (défaut), </w:t>
      </w:r>
      <w:r>
        <w:rPr>
          <w:rFonts w:ascii="Consolas" w:hAnsi="Consolas" w:cs="Consolas"/>
          <w:color w:val="1C5CAB"/>
          <w:sz w:val="18"/>
          <w:szCs w:val="18"/>
          <w:shd w:val="clear" w:color="auto" w:fill="EEF3FA"/>
        </w:rPr>
        <w:t xml:space="preserve">this-month</w:t>
      </w:r>
      <w:r>
        <w:rPr/>
        <w:t xml:space="preserve">, </w:t>
      </w:r>
      <w:r>
        <w:rPr>
          <w:rFonts w:ascii="Consolas" w:hAnsi="Consolas" w:cs="Consolas"/>
          <w:color w:val="1C5CAB"/>
          <w:sz w:val="18"/>
          <w:szCs w:val="18"/>
          <w:shd w:val="clear" w:color="auto" w:fill="EEF3FA"/>
        </w:rPr>
        <w:t xml:space="preserve">last-week</w:t>
      </w:r>
      <w:r>
        <w:rPr/>
        <w:t xml:space="preserve">, </w:t>
      </w:r>
      <w:r>
        <w:rPr>
          <w:rFonts w:ascii="Consolas" w:hAnsi="Consolas" w:cs="Consolas"/>
          <w:color w:val="1C5CAB"/>
          <w:sz w:val="18"/>
          <w:szCs w:val="18"/>
          <w:shd w:val="clear" w:color="auto" w:fill="EEF3FA"/>
        </w:rPr>
        <w:t xml:space="preserve">last-7d</w:t>
      </w:r>
      <w:r>
        <w:rPr/>
        <w:t xml:space="preserve">, </w:t>
      </w:r>
      <w:r>
        <w:rPr>
          <w:rFonts w:ascii="Consolas" w:hAnsi="Consolas" w:cs="Consolas"/>
          <w:color w:val="1C5CAB"/>
          <w:sz w:val="18"/>
          <w:szCs w:val="18"/>
          <w:shd w:val="clear" w:color="auto" w:fill="EEF3FA"/>
        </w:rPr>
        <w:t xml:space="preserve">last-year</w:t>
      </w:r>
      <w:r>
        <w:rPr/>
        <w:t xml:space="preserve">. Avec </w:t>
      </w:r>
      <w:r>
        <w:rPr>
          <w:rFonts w:ascii="Consolas" w:hAnsi="Consolas" w:cs="Consolas"/>
          <w:color w:val="1C5CAB"/>
          <w:sz w:val="18"/>
          <w:szCs w:val="18"/>
          <w:shd w:val="clear" w:color="auto" w:fill="EEF3FA"/>
        </w:rPr>
        <w:t xml:space="preserve">--from</w:t>
      </w:r>
      <w:r>
        <w:rPr/>
        <w:t xml:space="preserve"> / </w:t>
      </w:r>
      <w:r>
        <w:rPr>
          <w:rFonts w:ascii="Consolas" w:hAnsi="Consolas" w:cs="Consolas"/>
          <w:color w:val="1C5CAB"/>
          <w:sz w:val="18"/>
          <w:szCs w:val="18"/>
          <w:shd w:val="clear" w:color="auto" w:fill="EEF3FA"/>
        </w:rPr>
        <w:t xml:space="preserve">--to</w:t>
      </w:r>
      <w:r>
        <w:rPr/>
        <w:t xml:space="preserve">, la date de fin est exclue.</w:t>
      </w:r>
    </w:p>
    <w:p>
      <w:pPr>
        <w:pStyle w:val="Heading1"/>
      </w:pPr>
      <w:bookmarkStart w:id="157" w:name="_Toc00157"/>
      <w:r>
        <w:rPr/>
        <w:t xml:space="preserve">Annexe B. Exemple de configuration</w:t>
      </w:r>
      <w:bookmarkEnd w:id="157"/>
    </w:p>
    <w:p>
      <w:pPr/>
      <w:r>
        <w:rPr/>
        <w:t xml:space="preserve">Fichier </w:t>
      </w:r>
      <w:r>
        <w:rPr>
          <w:rFonts w:ascii="Consolas" w:hAnsi="Consolas" w:cs="Consolas"/>
          <w:color w:val="1C5CAB"/>
          <w:sz w:val="18"/>
          <w:szCs w:val="18"/>
          <w:shd w:val="clear" w:color="auto" w:fill="EEF3FA"/>
        </w:rPr>
        <w:t xml:space="preserve">config/heptagoneslm.example.yaml</w:t>
      </w:r>
      <w:r>
        <w:rPr/>
        <w:t xml:space="preserve"> fourni avec l'application :</w:t>
      </w:r>
    </w:p>
    <w:p>
      <w:pPr>
        <w:pStyle w:val="Code"/>
      </w:pPr>
      <w:r>
        <w:t xml:space="preserve"># ---------------------------------------------------------------------------</w:t>
      </w:r>
    </w:p>
    <w:p>
      <w:pPr>
        <w:pStyle w:val="Code"/>
      </w:pPr>
      <w:r>
        <w:t xml:space="preserve"># HeptagonesLM - fichier de configuration (copier en heptagoneslm.yaml et adapter)</w:t>
      </w:r>
    </w:p>
    <w:p>
      <w:pPr>
        <w:pStyle w:val="Code"/>
      </w:pPr>
      <w:r>
        <w:t xml:space="preserve"># Les variables d'environnement sont développées : %HEPTAGONESLM_HOME% ou ${VAR}</w:t>
      </w:r>
    </w:p>
    <w:p>
      <w:pPr>
        <w:pStyle w:val="Code"/>
      </w:pPr>
      <w:r>
        <w:t xml:space="preserve"># ---------------------------------------------------------------------------</w:t>
      </w:r>
    </w:p>
    <w:p>
      <w:pPr>
        <w:pStyle w:val="Code"/>
      </w:pPr>
      <w:r>
        <w:t xml:space="preserve"> </w:t>
      </w:r>
    </w:p>
    <w:p>
      <w:pPr>
        <w:pStyle w:val="Code"/>
      </w:pPr>
      <w:r>
        <w:t xml:space="preserve">database:</w:t>
      </w:r>
    </w:p>
    <w:p>
      <w:pPr>
        <w:pStyle w:val="Code"/>
      </w:pPr>
      <w:r>
        <w:t xml:space="preserve">  # SQL Server via ODBC (authentification Windows du compte de la tâche planifiée).</w:t>
      </w:r>
    </w:p>
    <w:p>
      <w:pPr>
        <w:pStyle w:val="Code"/>
      </w:pPr>
      <w:r>
        <w:t xml:space="preserve">  # Encrypt=yes : échanges chiffrés ET certificat du serveur SQL vérifié (nom complet</w:t>
      </w:r>
    </w:p>
    <w:p>
      <w:pPr>
        <w:pStyle w:val="Code"/>
      </w:pPr>
      <w:r>
        <w:t xml:space="preserve">  # du serveur = nom du certificat). Ne mettre TrustServerCertificate=yes qu'en test.</w:t>
      </w:r>
    </w:p>
    <w:p>
      <w:pPr>
        <w:pStyle w:val="Code"/>
      </w:pPr>
      <w:r>
        <w:t xml:space="preserve">  connection_string: "DRIVER={ODBC Driver 18 for SQL Server};SERVER=sqlsrv01.entreprise.local;DATABASE=HeptagonesLM;Trusted_Connection=yes;Encrypt=yes"</w:t>
      </w:r>
    </w:p>
    <w:p>
      <w:pPr>
        <w:pStyle w:val="Code"/>
      </w:pPr>
      <w:r>
        <w:t xml:space="preserve">  # Authentification SQL (mot de passe via variable d'environnement) :</w:t>
      </w:r>
    </w:p>
    <w:p>
      <w:pPr>
        <w:pStyle w:val="Code"/>
      </w:pPr>
      <w:r>
        <w:t xml:space="preserve">  # connection_string: "DRIVER={ODBC Driver 18 for SQL Server};SERVER=sqlsrv01.entreprise.local;DATABASE=HeptagonesLM;UID=heptagoneslm;PWD=${HEPTAGONESLM_DB_PASSWORD};Encrypt=yes"</w:t>
      </w:r>
    </w:p>
    <w:p>
      <w:pPr>
        <w:pStyle w:val="Code"/>
      </w:pPr>
      <w:r>
        <w:t xml:space="preserve">  # Pour un essai local sans SQL Server :</w:t>
      </w:r>
    </w:p>
    <w:p>
      <w:pPr>
        <w:pStyle w:val="Code"/>
      </w:pPr>
      <w:r>
        <w:t xml:space="preserve">  # connection_string: "sqlite:///C:/HeptagonesLM/data/heptagoneslm.db"</w:t>
      </w:r>
    </w:p>
    <w:p>
      <w:pPr>
        <w:pStyle w:val="Code"/>
      </w:pPr>
      <w:r>
        <w:t xml:space="preserve"> </w:t>
      </w:r>
    </w:p>
    <w:p>
      <w:pPr>
        <w:pStyle w:val="Code"/>
      </w:pPr>
      <w:r>
        <w:t xml:space="preserve"># Chemin de lmutil.exe (fourni avec le gestionnaire de licences, ex. Autodesk NLM)</w:t>
      </w:r>
    </w:p>
    <w:p>
      <w:pPr>
        <w:pStyle w:val="Code"/>
      </w:pPr>
      <w:r>
        <w:t xml:space="preserve">lmutil_path: "C:/HeptagonesLM/bin/lmutil.exe"</w:t>
      </w:r>
    </w:p>
    <w:p>
      <w:pPr>
        <w:pStyle w:val="Code"/>
      </w:pPr>
      <w:r>
        <w:t xml:space="preserve"># Serveurs RLM (Reprise) : chemin de rlmutil.exe</w:t>
      </w:r>
    </w:p>
    <w:p>
      <w:pPr>
        <w:pStyle w:val="Code"/>
      </w:pPr>
      <w:r>
        <w:t xml:space="preserve"># rlmutil_path: "C:/HeptagonesLM/bin/rlmutil.exe"</w:t>
      </w:r>
    </w:p>
    <w:p>
      <w:pPr>
        <w:pStyle w:val="Code"/>
      </w:pPr>
      <w:r>
        <w:t xml:space="preserve"> </w:t>
      </w:r>
    </w:p>
    <w:p>
      <w:pPr>
        <w:pStyle w:val="Code"/>
      </w:pPr>
      <w:r>
        <w:t xml:space="preserve">logging:</w:t>
      </w:r>
    </w:p>
    <w:p>
      <w:pPr>
        <w:pStyle w:val="Code"/>
      </w:pPr>
      <w:r>
        <w:t xml:space="preserve">  file: "C:/HeptagonesLM/logs/heptagoneslm.log"</w:t>
      </w:r>
    </w:p>
    <w:p>
      <w:pPr>
        <w:pStyle w:val="Code"/>
      </w:pPr>
      <w:r>
        <w:t xml:space="preserve">  level: INFO</w:t>
      </w:r>
    </w:p>
    <w:p>
      <w:pPr>
        <w:pStyle w:val="Code"/>
      </w:pPr>
      <w:r>
        <w:t xml:space="preserve"> </w:t>
      </w:r>
    </w:p>
    <w:p>
      <w:pPr>
        <w:pStyle w:val="Code"/>
      </w:pPr>
      <w:r>
        <w:t xml:space="preserve">servers:</w:t>
      </w:r>
    </w:p>
    <w:p>
      <w:pPr>
        <w:pStyle w:val="Code"/>
      </w:pPr>
      <w:r>
        <w:t xml:space="preserve">  # Collecte par lmstat uniquement (cas le plus simple, aucun accès fichier)</w:t>
      </w:r>
    </w:p>
    <w:p>
      <w:pPr>
        <w:pStyle w:val="Code"/>
      </w:pPr>
      <w:r>
        <w:t xml:space="preserve">  - name: AUTODESK</w:t>
      </w:r>
    </w:p>
    <w:p>
      <w:pPr>
        <w:pStyle w:val="Code"/>
      </w:pPr>
      <w:r>
        <w:t xml:space="preserve">    port_at_host: "27000@licsrv1"</w:t>
      </w:r>
    </w:p>
    <w:p>
      <w:pPr>
        <w:pStyle w:val="Code"/>
      </w:pPr>
      <w:r>
        <w:t xml:space="preserve">    collectors: [lmstat]</w:t>
      </w:r>
    </w:p>
    <w:p>
      <w:pPr>
        <w:pStyle w:val="Code"/>
      </w:pPr>
      <w:r>
        <w:t xml:space="preserve">    sessions_from: lmstat</w:t>
      </w:r>
    </w:p>
    <w:p>
      <w:pPr>
        <w:pStyle w:val="Code"/>
      </w:pPr>
      <w:r>
        <w:t xml:space="preserve"> </w:t>
      </w:r>
    </w:p>
    <w:p>
      <w:pPr>
        <w:pStyle w:val="Code"/>
      </w:pPr>
      <w:r>
        <w:t xml:space="preserve">  # lmstat pour les jetons + log debug pour les refus et des sessions à la seconde</w:t>
      </w:r>
    </w:p>
    <w:p>
      <w:pPr>
        <w:pStyle w:val="Code"/>
      </w:pPr>
      <w:r>
        <w:t xml:space="preserve">  - name: ANSYS</w:t>
      </w:r>
    </w:p>
    <w:p>
      <w:pPr>
        <w:pStyle w:val="Code"/>
      </w:pPr>
      <w:r>
        <w:t xml:space="preserve">    port_at_host: "1055@licsrv2"</w:t>
      </w:r>
    </w:p>
    <w:p>
      <w:pPr>
        <w:pStyle w:val="Code"/>
      </w:pPr>
      <w:r>
        <w:t xml:space="preserve">    collectors: [lmstat, log]</w:t>
      </w:r>
    </w:p>
    <w:p>
      <w:pPr>
        <w:pStyle w:val="Code"/>
      </w:pPr>
      <w:r>
        <w:t xml:space="preserve">    sessions_from: log</w:t>
      </w:r>
    </w:p>
    <w:p>
      <w:pPr>
        <w:pStyle w:val="Code"/>
      </w:pPr>
      <w:r>
        <w:t xml:space="preserve">    log_path: "\\\\licsrv2\\ansys_logs$\\license.log"</w:t>
      </w:r>
    </w:p>
    <w:p>
      <w:pPr>
        <w:pStyle w:val="Code"/>
      </w:pPr>
      <w:r>
        <w:t xml:space="preserve"> </w:t>
      </w:r>
    </w:p>
    <w:p>
      <w:pPr>
        <w:pStyle w:val="Code"/>
      </w:pPr>
      <w:r>
        <w:t xml:space="preserve">  # Triade redondante : lister les trois serveurs</w:t>
      </w:r>
    </w:p>
    <w:p>
      <w:pPr>
        <w:pStyle w:val="Code"/>
      </w:pPr>
      <w:r>
        <w:t xml:space="preserve">  - name: MATLAB</w:t>
      </w:r>
    </w:p>
    <w:p>
      <w:pPr>
        <w:pStyle w:val="Code"/>
      </w:pPr>
      <w:r>
        <w:t xml:space="preserve">    port_at_host: "27000@mlm1:27000@mlm2:27000@mlm3"</w:t>
      </w:r>
    </w:p>
    <w:p>
      <w:pPr>
        <w:pStyle w:val="Code"/>
      </w:pPr>
      <w:r>
        <w:t xml:space="preserve">    collectors: [lmstat]</w:t>
      </w:r>
    </w:p>
    <w:p>
      <w:pPr>
        <w:pStyle w:val="Code"/>
      </w:pPr>
      <w:r>
        <w:t xml:space="preserve">    sessions_from: lmstat</w:t>
      </w:r>
    </w:p>
    <w:p>
      <w:pPr>
        <w:pStyle w:val="Code"/>
      </w:pPr>
      <w:r>
        <w:t xml:space="preserve">    timeout_s: 90</w:t>
      </w:r>
    </w:p>
    <w:p>
      <w:pPr>
        <w:pStyle w:val="Code"/>
      </w:pPr>
      <w:r>
        <w:t xml:space="preserve">    # lmutil_path: "C:/MATLAB/etc/win64/lmutil.exe"   # surcharge par serveur</w:t>
      </w:r>
    </w:p>
    <w:p>
      <w:pPr>
        <w:pStyle w:val="Code"/>
      </w:pPr>
      <w:r>
        <w:t xml:space="preserve">    # enabled: false</w:t>
      </w:r>
    </w:p>
    <w:p>
      <w:pPr>
        <w:pStyle w:val="Code"/>
      </w:pPr>
      <w:r>
        <w:t xml:space="preserve"> </w:t>
      </w:r>
    </w:p>
    <w:p>
      <w:pPr>
        <w:pStyle w:val="Code"/>
      </w:pPr>
      <w:r>
        <w:t xml:space="preserve">  # Serveur RLM (Reprise License Manager) : sondage rlmutil rlmstat -a</w:t>
      </w:r>
    </w:p>
    <w:p>
      <w:pPr>
        <w:pStyle w:val="Code"/>
      </w:pPr>
      <w:r>
        <w:t xml:space="preserve">  # - name: FOUNDRY</w:t>
      </w:r>
    </w:p>
    <w:p>
      <w:pPr>
        <w:pStyle w:val="Code"/>
      </w:pPr>
      <w:r>
        <w:t xml:space="preserve">  #   license_type: rlm</w:t>
      </w:r>
    </w:p>
    <w:p>
      <w:pPr>
        <w:pStyle w:val="Code"/>
      </w:pPr>
      <w:r>
        <w:t xml:space="preserve">  #   port_at_host: "5053@licsrv3"   # port du serveur rlm (5053 par défaut)</w:t>
      </w:r>
    </w:p>
    <w:p>
      <w:pPr>
        <w:pStyle w:val="Code"/>
      </w:pPr>
      <w:r>
        <w:t xml:space="preserve"> </w:t>
      </w:r>
    </w:p>
    <w:p>
      <w:pPr>
        <w:pStyle w:val="Code"/>
      </w:pPr>
      <w:r>
        <w:t xml:space="preserve"># Correspondance feature FlexLM -&gt; produit lisible dans les rapports.</w:t>
      </w:r>
    </w:p>
    <w:p>
      <w:pPr>
        <w:pStyle w:val="Code"/>
      </w:pPr>
      <w:r>
        <w:t xml:space="preserve"># Motifs fnmatch (* et ?), insensibles à la casse ; la première règle trouvée gagne.</w:t>
      </w:r>
    </w:p>
    <w:p>
      <w:pPr>
        <w:pStyle w:val="Code"/>
      </w:pPr>
      <w:r>
        <w:t xml:space="preserve"># Après modification : `heptagoneslm apply-products` pour réappliquer à l'historique.</w:t>
      </w:r>
    </w:p>
    <w:p>
      <w:pPr>
        <w:pStyle w:val="Code"/>
      </w:pPr>
      <w:r>
        <w:t xml:space="preserve"># annual_cost (optionnel) : coût annuel d'un jeton, dans la devise reporting.currency.</w:t>
      </w:r>
    </w:p>
    <w:p>
      <w:pPr>
        <w:pStyle w:val="Code"/>
      </w:pPr>
      <w:r>
        <w:t xml:space="preserve"># Active le chiffrage : coût du parc, économies potentielles, refacturation par service.</w:t>
      </w:r>
    </w:p>
    <w:p>
      <w:pPr>
        <w:pStyle w:val="Code"/>
      </w:pPr>
      <w:r>
        <w:t xml:space="preserve">products:</w:t>
      </w:r>
    </w:p>
    <w:p>
      <w:pPr>
        <w:pStyle w:val="Code"/>
      </w:pPr>
      <w:r>
        <w:t xml:space="preserve">  - { pattern: "87545ACD_2024_*",   product: "AutoCAD 2024",            publisher: Autodesk, annual_cost: 2300 }</w:t>
      </w:r>
    </w:p>
    <w:p>
      <w:pPr>
        <w:pStyle w:val="Code"/>
      </w:pPr>
      <w:r>
        <w:t xml:space="preserve">  - { pattern: "87048INVPROSA_*",   product: "Inventor Professional",   publisher: Autodesk, annual_cost: 3900 }</w:t>
      </w:r>
    </w:p>
    <w:p>
      <w:pPr>
        <w:pStyle w:val="Code"/>
      </w:pPr>
      <w:r>
        <w:t xml:space="preserve">  - { pattern: "*ACDLT*",           product: "AutoCAD LT",              publisher: Autodesk }</w:t>
      </w:r>
    </w:p>
    <w:p>
      <w:pPr>
        <w:pStyle w:val="Code"/>
      </w:pPr>
      <w:r>
        <w:t xml:space="preserve">  - { pattern: "MATLAB",            product: "MATLAB",                  publisher: MathWorks }</w:t>
      </w:r>
    </w:p>
    <w:p>
      <w:pPr>
        <w:pStyle w:val="Code"/>
      </w:pPr>
      <w:r>
        <w:t xml:space="preserve">  - { pattern: "SIMULINK",          product: "Simulink",                publisher: MathWorks }</w:t>
      </w:r>
    </w:p>
    <w:p>
      <w:pPr>
        <w:pStyle w:val="Code"/>
      </w:pPr>
      <w:r>
        <w:t xml:space="preserve">  - { pattern: "*_Toolbox",         product: "MATLAB Toolboxes",        publisher: MathWorks, vendor: MLM }</w:t>
      </w:r>
    </w:p>
    <w:p>
      <w:pPr>
        <w:pStyle w:val="Code"/>
      </w:pPr>
      <w:r>
        <w:t xml:space="preserve">  - { pattern: "ansys",             product: "Ansys Mechanical Enterprise", publisher: Ansys }</w:t>
      </w:r>
    </w:p>
    <w:p>
      <w:pPr>
        <w:pStyle w:val="Code"/>
      </w:pPr>
      <w:r>
        <w:t xml:space="preserve">  - { pattern: "a_spaceclaim_*",    product: "Ansys SpaceClaim",        publisher: Ansys }</w:t>
      </w:r>
    </w:p>
    <w:p>
      <w:pPr>
        <w:pStyle w:val="Code"/>
      </w:pPr>
      <w:r>
        <w:t xml:space="preserve"> </w:t>
      </w:r>
    </w:p>
    <w:p>
      <w:pPr>
        <w:pStyle w:val="Code"/>
      </w:pPr>
      <w:r>
        <w:t xml:space="preserve"># Sites des postes (multi-sites) : motif fnmatch sur le nom du poste, la première règle gagne.</w:t>
      </w:r>
    </w:p>
    <w:p>
      <w:pPr>
        <w:pStyle w:val="Code"/>
      </w:pPr>
      <w:r>
        <w:t xml:space="preserve"># Filtre et répartition « Site » dans l'interface. Après modification : `heptagoneslm apply-products`.</w:t>
      </w:r>
    </w:p>
    <w:p>
      <w:pPr>
        <w:pStyle w:val="Code"/>
      </w:pPr>
      <w:r>
        <w:t xml:space="preserve"># sites:</w:t>
      </w:r>
    </w:p>
    <w:p>
      <w:pPr>
        <w:pStyle w:val="Code"/>
      </w:pPr>
      <w:r>
        <w:t xml:space="preserve">#   - { pattern: "par-*", site: "Paris" }</w:t>
      </w:r>
    </w:p>
    <w:p>
      <w:pPr>
        <w:pStyle w:val="Code"/>
      </w:pPr>
      <w:r>
        <w:t xml:space="preserve">#   - { pattern: "lyo-*", site: "Lyon" }</w:t>
      </w:r>
    </w:p>
    <w:p>
      <w:pPr>
        <w:pStyle w:val="Code"/>
      </w:pPr>
      <w:r>
        <w:t xml:space="preserve">#   - { pattern: "*",     site: "Autres sites" }</w:t>
      </w:r>
    </w:p>
    <w:p>
      <w:pPr>
        <w:pStyle w:val="Code"/>
      </w:pPr>
      <w:r>
        <w:t xml:space="preserve"> </w:t>
      </w:r>
    </w:p>
    <w:p>
      <w:pPr>
        <w:pStyle w:val="Code"/>
      </w:pPr>
      <w:r>
        <w:t xml:space="preserve">reporting:</w:t>
      </w:r>
    </w:p>
    <w:p>
      <w:pPr>
        <w:pStyle w:val="Code"/>
      </w:pPr>
      <w:r>
        <w:t xml:space="preserve">  output_dir: "C:/HeptagonesLM/reports"</w:t>
      </w:r>
    </w:p>
    <w:p>
      <w:pPr>
        <w:pStyle w:val="Code"/>
      </w:pPr>
      <w:r>
        <w:t xml:space="preserve">  top_n_chart: 10          # éléments affichés dans les graphiques</w:t>
      </w:r>
    </w:p>
    <w:p>
      <w:pPr>
        <w:pStyle w:val="Code"/>
      </w:pPr>
      <w:r>
        <w:t xml:space="preserve">  business_hours: [8, 19]  # plage des heures ouvrées (jours ouvrés lundi-vendredi)</w:t>
      </w:r>
    </w:p>
    <w:p>
      <w:pPr>
        <w:pStyle w:val="Code"/>
      </w:pPr>
      <w:r>
        <w:t xml:space="preserve">  currency: "€"            # devise des coûts (annual_cost)</w:t>
      </w:r>
    </w:p>
    <w:p>
      <w:pPr>
        <w:pStyle w:val="Code"/>
      </w:pPr>
      <w:r>
        <w:t xml:space="preserve">  target_coverage: 0.95    # jetons recommandés : couvrent 95 % du temps ouvré (0.5 à 0.999)</w:t>
      </w:r>
    </w:p>
    <w:p>
      <w:pPr>
        <w:pStyle w:val="Code"/>
      </w:pPr>
      <w:r>
        <w:t xml:space="preserve"> </w:t>
      </w:r>
    </w:p>
    <w:p>
      <w:pPr>
        <w:pStyle w:val="Code"/>
      </w:pPr>
      <w:r>
        <w:t xml:space="preserve"># ---------------------------------------------------------------------------</w:t>
      </w:r>
    </w:p>
    <w:p>
      <w:pPr>
        <w:pStyle w:val="Code"/>
      </w:pPr>
      <w:r>
        <w:t xml:space="preserve"># Interface web (heptagoneslm web / HeptagonesLM.exe) — voir docs/AUTHENTIFICATION.md</w:t>
      </w:r>
    </w:p>
    <w:p>
      <w:pPr>
        <w:pStyle w:val="Code"/>
      </w:pPr>
      <w:r>
        <w:t xml:space="preserve"># ---------------------------------------------------------------------------</w:t>
      </w:r>
    </w:p>
    <w:p>
      <w:pPr>
        <w:pStyle w:val="Code"/>
      </w:pPr>
      <w:r>
        <w:t xml:space="preserve">web:</w:t>
      </w:r>
    </w:p>
    <w:p>
      <w:pPr>
        <w:pStyle w:val="Code"/>
      </w:pPr>
      <w:r>
        <w:t xml:space="preserve">  host: 127.0.0.1            # 0.0.0.0 pour un accès réseau (avec authentification + HTTPS)</w:t>
      </w:r>
    </w:p>
    <w:p>
      <w:pPr>
        <w:pStyle w:val="Code"/>
      </w:pPr>
      <w:r>
        <w:t xml:space="preserve">  port: 8765</w:t>
      </w:r>
    </w:p>
    <w:p>
      <w:pPr>
        <w:pStyle w:val="Code"/>
      </w:pPr>
      <w:r>
        <w:t xml:space="preserve">  # tls_cert: "C:/HeptagonesLM/certs/heptagoneslm.pem"     # HTTPS (obligatoire avec ldap sur le réseau)</w:t>
      </w:r>
    </w:p>
    <w:p>
      <w:pPr>
        <w:pStyle w:val="Code"/>
      </w:pPr>
      <w:r>
        <w:t xml:space="preserve">  # tls_key:  "C:/HeptagonesLM/certs/heptagoneslm.key"</w:t>
      </w:r>
    </w:p>
    <w:p>
      <w:pPr>
        <w:pStyle w:val="Code"/>
      </w:pPr>
      <w:r>
        <w:t xml:space="preserve">  # public_url: "https://heptagoneslm.entreprise.local:8765"   # lien cité dans les e-mails</w:t>
      </w:r>
    </w:p>
    <w:p>
      <w:pPr>
        <w:pStyle w:val="Code"/>
      </w:pPr>
      <w:r>
        <w:t xml:space="preserve">  # allowed_hosts: ["heptagoneslm", "10.1.2.3"]   # noms/IP acceptés en plus (anti « DNS rebinding »)</w:t>
      </w:r>
    </w:p>
    <w:p>
      <w:pPr>
        <w:pStyle w:val="Code"/>
      </w:pPr>
      <w:r>
        <w:t xml:space="preserve">  # request_timeout_s: 30                   # coupe les connexions lentes</w:t>
      </w:r>
    </w:p>
    <w:p>
      <w:pPr>
        <w:pStyle w:val="Code"/>
      </w:pPr>
      <w:r>
        <w:t xml:space="preserve">  # max_connections: 64                     # requêtes simultanées</w:t>
      </w:r>
    </w:p>
    <w:p>
      <w:pPr>
        <w:pStyle w:val="Code"/>
      </w:pPr>
      <w:r>
        <w:t xml:space="preserve">  auth:</w:t>
      </w:r>
    </w:p>
    <w:p>
      <w:pPr>
        <w:pStyle w:val="Code"/>
      </w:pPr>
      <w:r>
        <w:t xml:space="preserve">    mode: none               # none | ldap (identifiants Windows) | header (SSO via IIS)</w:t>
      </w:r>
    </w:p>
    <w:p>
      <w:pPr>
        <w:pStyle w:val="Code"/>
      </w:pPr>
      <w:r>
        <w:t xml:space="preserve">    # --- mode ldap ---</w:t>
      </w:r>
    </w:p>
    <w:p>
      <w:pPr>
        <w:pStyle w:val="Code"/>
      </w:pPr>
      <w:r>
        <w:t xml:space="preserve">    # ldap_servers: ["ldaps://dc01.entreprise.local", "ldaps://dc02.entreprise.local"]</w:t>
      </w:r>
    </w:p>
    <w:p>
      <w:pPr>
        <w:pStyle w:val="Code"/>
      </w:pPr>
      <w:r>
        <w:t xml:space="preserve">    # base_dn: "DC=entreprise,DC=local"</w:t>
      </w:r>
    </w:p>
    <w:p>
      <w:pPr>
        <w:pStyle w:val="Code"/>
      </w:pPr>
      <w:r>
        <w:t xml:space="preserve">    # upn_suffix: "entreprise.local"           # connexion en identifiant@entreprise.local</w:t>
      </w:r>
    </w:p>
    <w:p>
      <w:pPr>
        <w:pStyle w:val="Code"/>
      </w:pPr>
      <w:r>
        <w:t xml:space="preserve">    # allowed_groups: ["GG_HeptagonesLM_Lecteurs"]   # vide = tout compte du domaine</w:t>
      </w:r>
    </w:p>
    <w:p>
      <w:pPr>
        <w:pStyle w:val="Code"/>
      </w:pPr>
      <w:r>
        <w:t xml:space="preserve">    # ldap_ca_file: "C:/HeptagonesLM/certs/ac-interne.pem"   # si l'AC interne n'est pas reconnue</w:t>
      </w:r>
    </w:p>
    <w:p>
      <w:pPr>
        <w:pStyle w:val="Code"/>
      </w:pPr>
      <w:r>
        <w:t xml:space="preserve">    # session_hours: 8</w:t>
      </w:r>
    </w:p>
    <w:p>
      <w:pPr>
        <w:pStyle w:val="Code"/>
      </w:pPr>
      <w:r>
        <w:t xml:space="preserve">    # --- mode header (IIS + authentification Windows en frontal) ---</w:t>
      </w:r>
    </w:p>
    <w:p>
      <w:pPr>
        <w:pStyle w:val="Code"/>
      </w:pPr>
      <w:r>
        <w:t xml:space="preserve">    # header_name: X-Remote-User</w:t>
      </w:r>
    </w:p>
    <w:p>
      <w:pPr>
        <w:pStyle w:val="Code"/>
      </w:pPr>
      <w:r>
        <w:t xml:space="preserve">    # trusted_proxies: ["127.0.0.1"]</w:t>
      </w:r>
    </w:p>
    <w:p>
      <w:pPr>
        <w:pStyle w:val="Code"/>
      </w:pPr>
      <w:r>
        <w:t xml:space="preserve">    # allowed_users: []                         # vide = tout utilisateur authentifié par IIS</w:t>
      </w:r>
    </w:p>
    <w:p>
      <w:pPr>
        <w:pStyle w:val="Code"/>
      </w:pPr>
      <w:r>
        <w:t xml:space="preserve">  # Rôles (docs/AUTHENTIFICATION.md § 2 bis) : sans cette section, tout utilisateur autorisé voit tout</w:t>
      </w:r>
    </w:p>
    <w:p>
      <w:pPr>
        <w:pStyle w:val="Code"/>
      </w:pPr>
      <w:r>
        <w:t xml:space="preserve">  # roles:</w:t>
      </w:r>
    </w:p>
    <w:p>
      <w:pPr>
        <w:pStyle w:val="Code"/>
      </w:pPr>
      <w:r>
        <w:t xml:space="preserve">  #   admins: ["ENTREPRISE\\GG_HeptagonesLM_Admins"]</w:t>
      </w:r>
    </w:p>
    <w:p>
      <w:pPr>
        <w:pStyle w:val="Code"/>
      </w:pPr>
      <w:r>
        <w:t xml:space="preserve">  #   readers: ["ENTREPRISE\\GG_HeptagonesLM_Lecteurs"]</w:t>
      </w:r>
    </w:p>
    <w:p>
      <w:pPr>
        <w:pStyle w:val="Code"/>
      </w:pPr>
      <w:r>
        <w:t xml:space="preserve">  #   departments:                              # responsables de service : leurs services uniquement</w:t>
      </w:r>
    </w:p>
    <w:p>
      <w:pPr>
        <w:pStyle w:val="Code"/>
      </w:pPr>
      <w:r>
        <w:t xml:space="preserve">  #     - group: "ENTREPRISE\\GG_Resp_Simulation"</w:t>
      </w:r>
    </w:p>
    <w:p>
      <w:pPr>
        <w:pStyle w:val="Code"/>
      </w:pPr>
      <w:r>
        <w:t xml:space="preserve">  #       departments: ["Simulation &amp; calcul"]</w:t>
      </w:r>
    </w:p>
    <w:p>
      <w:pPr>
        <w:pStyle w:val="Code"/>
      </w:pPr>
      <w:r>
        <w:t xml:space="preserve">  #     - user: chef.methodes</w:t>
      </w:r>
    </w:p>
    <w:p>
      <w:pPr>
        <w:pStyle w:val="Code"/>
      </w:pPr>
      <w:r>
        <w:t xml:space="preserve">  #       departments: ["Méthodes industrialisation"]</w:t>
      </w:r>
    </w:p>
    <w:p>
      <w:pPr>
        <w:pStyle w:val="Code"/>
      </w:pPr>
      <w:r>
        <w:t xml:space="preserve">  #       servers: [AUTODESK]                   # optionnel (ou products)</w:t>
      </w:r>
    </w:p>
    <w:p>
      <w:pPr>
        <w:pStyle w:val="Code"/>
      </w:pPr>
      <w:r>
        <w:t xml:space="preserve">  #   default: none                             # sans rôle : none (refusé) | reader</w:t>
      </w:r>
    </w:p>
    <w:p>
      <w:pPr>
        <w:pStyle w:val="Code"/>
      </w:pPr>
      <w:r>
        <w:t xml:space="preserve"> </w:t>
      </w:r>
    </w:p>
    <w:p>
      <w:pPr>
        <w:pStyle w:val="Code"/>
      </w:pPr>
      <w:r>
        <w:t xml:space="preserve"># ---------------------------------------------------------------------------</w:t>
      </w:r>
    </w:p>
    <w:p>
      <w:pPr>
        <w:pStyle w:val="Code"/>
      </w:pPr>
      <w:r>
        <w:t xml:space="preserve"># Envoi du rapport par e-mail (heptagoneslm send-report, tâche « Envoi des rapports »)</w:t>
      </w:r>
    </w:p>
    <w:p>
      <w:pPr>
        <w:pStyle w:val="Code"/>
      </w:pPr>
      <w:r>
        <w:t xml:space="preserve"># ---------------------------------------------------------------------------</w:t>
      </w:r>
    </w:p>
    <w:p>
      <w:pPr>
        <w:pStyle w:val="Code"/>
      </w:pPr>
      <w:r>
        <w:t xml:space="preserve"># email:</w:t>
      </w:r>
    </w:p>
    <w:p>
      <w:pPr>
        <w:pStyle w:val="Code"/>
      </w:pPr>
      <w:r>
        <w:t xml:space="preserve">#   smtp_host: smtp.entreprise.local</w:t>
      </w:r>
    </w:p>
    <w:p>
      <w:pPr>
        <w:pStyle w:val="Code"/>
      </w:pPr>
      <w:r>
        <w:t xml:space="preserve">#   smtp_port: 25                # 587 avec starttls + authentification, 465 avec ssl</w:t>
      </w:r>
    </w:p>
    <w:p>
      <w:pPr>
        <w:pStyle w:val="Code"/>
      </w:pPr>
      <w:r>
        <w:t xml:space="preserve">#   security: starttls           # starttls | ssl | none (none : interdit avec username)</w:t>
      </w:r>
    </w:p>
    <w:p>
      <w:pPr>
        <w:pStyle w:val="Code"/>
      </w:pPr>
      <w:r>
        <w:t xml:space="preserve">#   # username: svc_heptagoneslm@entreprise.local</w:t>
      </w:r>
    </w:p>
    <w:p>
      <w:pPr>
        <w:pStyle w:val="Code"/>
      </w:pPr>
      <w:r>
        <w:t xml:space="preserve">#   # password: ${HEPTAGONESLM_SMTP_PASSWORD}</w:t>
      </w:r>
    </w:p>
    <w:p>
      <w:pPr>
        <w:pStyle w:val="Code"/>
      </w:pPr>
      <w:r>
        <w:t xml:space="preserve">#   sender: "HeptagonesLM &lt;heptagoneslm@entreprise.local&gt;"</w:t>
      </w:r>
    </w:p>
    <w:p>
      <w:pPr>
        <w:pStyle w:val="Code"/>
      </w:pPr>
      <w:r>
        <w:t xml:space="preserve">#   subscriptions:</w:t>
      </w:r>
    </w:p>
    <w:p>
      <w:pPr>
        <w:pStyle w:val="Code"/>
      </w:pPr>
      <w:r>
        <w:t xml:space="preserve">#     - name: Direction</w:t>
      </w:r>
    </w:p>
    <w:p>
      <w:pPr>
        <w:pStyle w:val="Code"/>
      </w:pPr>
      <w:r>
        <w:t xml:space="preserve">#       recipients: [dsi@entreprise.local, achats@entreprise.local]</w:t>
      </w:r>
    </w:p>
    <w:p>
      <w:pPr>
        <w:pStyle w:val="Code"/>
      </w:pPr>
      <w:r>
        <w:t xml:space="preserve">#       period: last-month       # last-month | last-week | last-7d | this-month | last-year</w:t>
      </w:r>
    </w:p>
    <w:p>
      <w:pPr>
        <w:pStyle w:val="Code"/>
      </w:pPr>
      <w:r>
        <w:t xml:space="preserve">#     - name: Simulation</w:t>
      </w:r>
    </w:p>
    <w:p>
      <w:pPr>
        <w:pStyle w:val="Code"/>
      </w:pPr>
      <w:r>
        <w:t xml:space="preserve">#       recipients: [responsable.simulation@entreprise.local]</w:t>
      </w:r>
    </w:p>
    <w:p>
      <w:pPr>
        <w:pStyle w:val="Code"/>
      </w:pPr>
      <w:r>
        <w:t xml:space="preserve">#       servers: [ANSYS]</w:t>
      </w:r>
    </w:p>
    <w:p>
      <w:pPr>
        <w:pStyle w:val="Code"/>
      </w:pPr>
      <w:r>
        <w:t xml:space="preserve">#       attach_excel: true</w:t>
      </w:r>
    </w:p>
    <w:p>
      <w:pPr>
        <w:pStyle w:val="Code"/>
      </w:pPr>
      <w:r>
        <w:t xml:space="preserve"> </w:t>
      </w:r>
    </w:p>
    <w:p>
      <w:pPr>
        <w:pStyle w:val="Code"/>
      </w:pPr>
      <w:r>
        <w:t xml:space="preserve"># ---------------------------------------------------------------------------</w:t>
      </w:r>
    </w:p>
    <w:p>
      <w:pPr>
        <w:pStyle w:val="Code"/>
      </w:pPr>
      <w:r>
        <w:t xml:space="preserve"># Alertes immédiates : e-mail et / ou tickets ITSM, évaluées après chaque collecte</w:t>
      </w:r>
    </w:p>
    <w:p>
      <w:pPr>
        <w:pStyle w:val="Code"/>
      </w:pPr>
      <w:r>
        <w:t xml:space="preserve"># (ou : heptagoneslm check-alerts ; test des connecteurs : heptagoneslm test-itsm)</w:t>
      </w:r>
    </w:p>
    <w:p>
      <w:pPr>
        <w:pStyle w:val="Code"/>
      </w:pPr>
      <w:r>
        <w:t xml:space="preserve"># ---------------------------------------------------------------------------</w:t>
      </w:r>
    </w:p>
    <w:p>
      <w:pPr>
        <w:pStyle w:val="Code"/>
      </w:pPr>
      <w:r>
        <w:t xml:space="preserve"># alerts:</w:t>
      </w:r>
    </w:p>
    <w:p>
      <w:pPr>
        <w:pStyle w:val="Code"/>
      </w:pPr>
      <w:r>
        <w:t xml:space="preserve">#   recipients: [exploitation@entreprise.local]   # e-mail (nécessite email.smtp_host) ; vide = pas d'e-mail</w:t>
      </w:r>
    </w:p>
    <w:p>
      <w:pPr>
        <w:pStyle w:val="Code"/>
      </w:pPr>
      <w:r>
        <w:t xml:space="preserve">#   types: [collection, denial, saturation, expiry]   # défaut : toutes</w:t>
      </w:r>
    </w:p>
    <w:p>
      <w:pPr>
        <w:pStyle w:val="Code"/>
      </w:pPr>
      <w:r>
        <w:t xml:space="preserve">#   # collection : collecte en échec / arrêtée (+ « rétablie ») ; denial : nouveaux refus ;</w:t>
      </w:r>
    </w:p>
    <w:p>
      <w:pPr>
        <w:pStyle w:val="Code"/>
      </w:pPr>
      <w:r>
        <w:t xml:space="preserve">#   # saturation : plus aucun jeton disponible ; expiry : licence qui expire (J-30, J-7, expirée)</w:t>
      </w:r>
    </w:p>
    <w:p>
      <w:pPr>
        <w:pStyle w:val="Code"/>
      </w:pPr>
      <w:r>
        <w:t xml:space="preserve">#   # servers: [ANSYS]           # limiter à ces serveurs (défaut : tous)</w:t>
      </w:r>
    </w:p>
    <w:p>
      <w:pPr>
        <w:pStyle w:val="Code"/>
      </w:pPr>
      <w:r>
        <w:t xml:space="preserve">#   # products: ["AutoCAD 2024"] # limiter à ces produits (défaut : tous)</w:t>
      </w:r>
    </w:p>
    <w:p>
      <w:pPr>
        <w:pStyle w:val="Code"/>
      </w:pPr>
      <w:r>
        <w:t xml:space="preserve">#   expiry_days: 30              # préavis avant l'échéance</w:t>
      </w:r>
    </w:p>
    <w:p>
      <w:pPr>
        <w:pStyle w:val="Code"/>
      </w:pPr>
      <w:r>
        <w:t xml:space="preserve">#   repeat_hours: 24             # rappel d'une alerte toujours présente (et commentaire sur le ticket)</w:t>
      </w:r>
    </w:p>
    <w:p>
      <w:pPr>
        <w:pStyle w:val="Code"/>
      </w:pPr>
      <w:r>
        <w:t xml:space="preserve">#   min_denials: 1               # refus minimum pour alerter sur un produit</w:t>
      </w:r>
    </w:p>
    <w:p>
      <w:pPr>
        <w:pStyle w:val="Code"/>
      </w:pPr>
      <w:r>
        <w:t xml:space="preserve">#</w:t>
      </w:r>
    </w:p>
    <w:p>
      <w:pPr>
        <w:pStyle w:val="Code"/>
      </w:pPr>
      <w:r>
        <w:t xml:space="preserve">#   # Tickets : ouverts à l'apparition, commentés aux rappels, résolus quand la condition disparaît.</w:t>
      </w:r>
    </w:p>
    <w:p>
      <w:pPr>
        <w:pStyle w:val="Code"/>
      </w:pPr>
      <w:r>
        <w:t xml:space="preserve">#   # Communs : name, types, min_severity (info | warning | serious | critical, défaut serious),</w:t>
      </w:r>
    </w:p>
    <w:p>
      <w:pPr>
        <w:pStyle w:val="Code"/>
      </w:pPr>
      <w:r>
        <w:t xml:space="preserve">#   #           timeout_s, verify_tls, ca_file (AC interne), fields (champs supplémentaires à la création)</w:t>
      </w:r>
    </w:p>
    <w:p>
      <w:pPr>
        <w:pStyle w:val="Code"/>
      </w:pPr>
      <w:r>
        <w:t xml:space="preserve">#   itsm:</w:t>
      </w:r>
    </w:p>
    <w:p>
      <w:pPr>
        <w:pStyle w:val="Code"/>
      </w:pPr>
      <w:r>
        <w:t xml:space="preserve">#     - type: servicenow</w:t>
      </w:r>
    </w:p>
    <w:p>
      <w:pPr>
        <w:pStyle w:val="Code"/>
      </w:pPr>
      <w:r>
        <w:t xml:space="preserve">#       url: https://entreprise.service-now.com</w:t>
      </w:r>
    </w:p>
    <w:p>
      <w:pPr>
        <w:pStyle w:val="Code"/>
      </w:pPr>
      <w:r>
        <w:t xml:space="preserve">#       username: svc_heptagoneslm</w:t>
      </w:r>
    </w:p>
    <w:p>
      <w:pPr>
        <w:pStyle w:val="Code"/>
      </w:pPr>
      <w:r>
        <w:t xml:space="preserve">#       password: ${HEPTAGONESLM_ITSM_PASSWORD}</w:t>
      </w:r>
    </w:p>
    <w:p>
      <w:pPr>
        <w:pStyle w:val="Code"/>
      </w:pPr>
      <w:r>
        <w:t xml:space="preserve">#       assignment_group: "Support licences"       # optionnel</w:t>
      </w:r>
    </w:p>
    <w:p>
      <w:pPr>
        <w:pStyle w:val="Code"/>
      </w:pPr>
      <w:r>
        <w:t xml:space="preserve">#       caller: svc_heptagoneslm                   # optionnel</w:t>
      </w:r>
    </w:p>
    <w:p>
      <w:pPr>
        <w:pStyle w:val="Code"/>
      </w:pPr>
      <w:r>
        <w:t xml:space="preserve">#     - type: jira</w:t>
      </w:r>
    </w:p>
    <w:p>
      <w:pPr>
        <w:pStyle w:val="Code"/>
      </w:pPr>
      <w:r>
        <w:t xml:space="preserve">#       url: https://entreprise.atlassian.net      # ou Jira Data Center</w:t>
      </w:r>
    </w:p>
    <w:p>
      <w:pPr>
        <w:pStyle w:val="Code"/>
      </w:pPr>
      <w:r>
        <w:t xml:space="preserve">#       username: svc-heptagoneslm@entreprise.fr   # Cloud : e-mail + jeton d'API ; Data Center : jeton seul (PAT)</w:t>
      </w:r>
    </w:p>
    <w:p>
      <w:pPr>
        <w:pStyle w:val="Code"/>
      </w:pPr>
      <w:r>
        <w:t xml:space="preserve">#       token: ${HEPTAGONESLM_JIRA_TOKEN}</w:t>
      </w:r>
    </w:p>
    <w:p>
      <w:pPr>
        <w:pStyle w:val="Code"/>
      </w:pPr>
      <w:r>
        <w:t xml:space="preserve">#       project: LIC</w:t>
      </w:r>
    </w:p>
    <w:p>
      <w:pPr>
        <w:pStyle w:val="Code"/>
      </w:pPr>
      <w:r>
        <w:t xml:space="preserve">#       issue_type: Incident</w:t>
      </w:r>
    </w:p>
    <w:p>
      <w:pPr>
        <w:pStyle w:val="Code"/>
      </w:pPr>
      <w:r>
        <w:t xml:space="preserve">#       # resolve_transitions: ["Done", "Terminé"]  # transition utilisée pour résoudre</w:t>
      </w:r>
    </w:p>
    <w:p>
      <w:pPr>
        <w:pStyle w:val="Code"/>
      </w:pPr>
      <w:r>
        <w:t xml:space="preserve">#     - type: glpi</w:t>
      </w:r>
    </w:p>
    <w:p>
      <w:pPr>
        <w:pStyle w:val="Code"/>
      </w:pPr>
      <w:r>
        <w:t xml:space="preserve">#       url: https://glpi.entreprise.local/apirest.php</w:t>
      </w:r>
    </w:p>
    <w:p>
      <w:pPr>
        <w:pStyle w:val="Code"/>
      </w:pPr>
      <w:r>
        <w:t xml:space="preserve">#       app_token: ${HEPTAGONESLM_GLPI_APP_TOKEN}</w:t>
      </w:r>
    </w:p>
    <w:p>
      <w:pPr>
        <w:pStyle w:val="Code"/>
      </w:pPr>
      <w:r>
        <w:t xml:space="preserve">#       user_token: ${HEPTAGONESLM_GLPI_USER_TOKEN}</w:t>
      </w:r>
    </w:p>
    <w:p>
      <w:pPr>
        <w:pStyle w:val="Code"/>
      </w:pPr>
      <w:r>
        <w:t xml:space="preserve">#       entity_id: 0                               # optionnel</w:t>
      </w:r>
    </w:p>
    <w:p>
      <w:pPr>
        <w:pStyle w:val="Code"/>
      </w:pPr>
      <w:r>
        <w:t xml:space="preserve">#       category_id: 12                            # optionnel</w:t>
      </w:r>
    </w:p>
    <w:p>
      <w:pPr>
        <w:pStyle w:val="Code"/>
      </w:pPr>
      <w:r>
        <w:t xml:space="preserve">#     - type: webhook                              # Teams, Slack ou tout outil acceptant du JSON</w:t>
      </w:r>
    </w:p>
    <w:p>
      <w:pPr>
        <w:pStyle w:val="Code"/>
      </w:pPr>
      <w:r>
        <w:t xml:space="preserve">#       name: teams-exploitation</w:t>
      </w:r>
    </w:p>
    <w:p>
      <w:pPr>
        <w:pStyle w:val="Code"/>
      </w:pPr>
      <w:r>
        <w:t xml:space="preserve">#       url: ${HEPTAGONESLM_TEAMS_WEBHOOK}</w:t>
      </w:r>
    </w:p>
    <w:p>
      <w:pPr>
        <w:pStyle w:val="Code"/>
      </w:pPr>
      <w:r>
        <w:t xml:space="preserve">#       format: teams                              # json | teams | slack</w:t>
      </w:r>
    </w:p>
    <w:p>
      <w:pPr>
        <w:pStyle w:val="Code"/>
      </w:pPr>
      <w:r>
        <w:t xml:space="preserve">#       min_severity: warning</w:t>
      </w:r>
    </w:p>
    <w:p>
      <w:pPr>
        <w:pStyle w:val="Code"/>
      </w:pPr>
      <w:r>
        <w:t xml:space="preserve"> </w:t>
      </w:r>
    </w:p>
    <w:p>
      <w:pPr>
        <w:pStyle w:val="Code"/>
      </w:pPr>
      <w:r>
        <w:t xml:space="preserve"># Licences Autodesk « utilisateur nommé » (abonnements sans serveur de licences).</w:t>
      </w:r>
    </w:p>
    <w:p>
      <w:pPr>
        <w:pStyle w:val="Code"/>
      </w:pPr>
      <w:r>
        <w:t xml:space="preserve"># Exporter le rapport depuis Autodesk Account : manage.autodesk.com › Reporting › Usage report › Export</w:t>
      </w:r>
    </w:p>
    <w:p>
      <w:pPr>
        <w:pStyle w:val="Code"/>
      </w:pPr>
      <w:r>
        <w:t xml:space="preserve"># (CSV ou Excel), puis le déposer dans import_dir (importé à la collecte suivante) ou lancer</w:t>
      </w:r>
    </w:p>
    <w:p>
      <w:pPr>
        <w:pStyle w:val="Code"/>
      </w:pPr>
      <w:r>
        <w:t xml:space="preserve"># « heptagoneslm import-autodesk export.csv ».</w:t>
      </w:r>
    </w:p>
    <w:p>
      <w:pPr>
        <w:pStyle w:val="Code"/>
      </w:pPr>
      <w:r>
        <w:t xml:space="preserve"># autodesk:</w:t>
      </w:r>
    </w:p>
    <w:p>
      <w:pPr>
        <w:pStyle w:val="Code"/>
      </w:pPr>
      <w:r>
        <w:t xml:space="preserve">#   import_dir: C:\HeptagonesLM\autodesk</w:t>
      </w:r>
    </w:p>
    <w:p>
      <w:pPr>
        <w:pStyle w:val="Code"/>
      </w:pPr>
      <w:r>
        <w:t xml:space="preserve">#   inactive_days: 30                              # inactive au-delà de 30 jours sans lancement</w:t>
      </w:r>
    </w:p>
    <w:p>
      <w:pPr>
        <w:pStyle w:val="Code"/>
      </w:pPr>
      <w:r>
        <w:t xml:space="preserve">#   annual_costs:                                  # coût annuel d'une licence (motif * accepté)</w:t>
      </w:r>
    </w:p>
    <w:p>
      <w:pPr>
        <w:pStyle w:val="Code"/>
      </w:pPr>
      <w:r>
        <w:t xml:space="preserve">#     "AutoCAD": 2300</w:t>
      </w:r>
    </w:p>
    <w:p>
      <w:pPr>
        <w:pStyle w:val="Code"/>
      </w:pPr>
      <w:r>
        <w:t xml:space="preserve">#     "AutoCAD LT": 560</w:t>
      </w:r>
    </w:p>
    <w:p>
      <w:pPr>
        <w:pStyle w:val="Code"/>
      </w:pPr>
      <w:r>
        <w:t xml:space="preserve">#     "Revit": 3100</w:t>
      </w:r>
    </w:p>
    <w:p>
      <w:pPr>
        <w:pStyle w:val="Code"/>
      </w:pPr>
      <w:r>
        <w:t xml:space="preserve">#     "Product Design*": 3500</w:t>
      </w:r>
    </w:p>
    <w:p>
      <w:pPr>
        <w:pStyle w:val="Code"/>
      </w:pPr>
      <w:r>
        <w:t xml:space="preserve"> </w:t>
      </w:r>
    </w:p>
    <w:p>
      <w:pPr>
        <w:pStyle w:val="Code"/>
      </w:pPr>
      <w:r>
        <w:t xml:space="preserve">retention:</w:t>
      </w:r>
    </w:p>
    <w:p>
      <w:pPr>
        <w:pStyle w:val="Code"/>
      </w:pPr>
      <w:r>
        <w:t xml:space="preserve">  snapshots_days: 90       # sondages bruts ; les agrégats horaires sont conservés</w:t>
      </w:r>
    </w:p>
    <w:p>
      <w:pPr>
        <w:pStyle w:val="Code"/>
      </w:pPr>
      <w:r>
        <w:t xml:space="preserve">  events_days: 730         # refus, journal des collectes</w:t>
      </w:r>
    </w:p>
    <w:p>
      <w:pPr>
        <w:pStyle w:val="Heading1"/>
      </w:pPr>
      <w:bookmarkStart w:id="158" w:name="_Toc00158"/>
      <w:r>
        <w:rPr/>
        <w:t xml:space="preserve">Annexe C. Requêtes SQL utiles</w:t>
      </w:r>
      <w:bookmarkEnd w:id="158"/>
    </w:p>
    <w:p>
      <w:pPr/>
      <w:r>
        <w:rPr>
          <w:b/>
        </w:rPr>
        <w:t xml:space="preserve">Dernière collecte réussie par serveur</w:t>
      </w:r>
      <w:r>
        <w:rPr/>
        <w:t xml:space="preserve"> (supervision) :</w:t>
      </w:r>
    </w:p>
    <w:p>
      <w:pPr>
        <w:pStyle w:val="Code"/>
      </w:pPr>
      <w:r>
        <w:t xml:space="preserve">SELECT s.name, r.collector, MAX(r.started_at) AS derniere_ok</w:t>
      </w:r>
    </w:p>
    <w:p>
      <w:pPr>
        <w:pStyle w:val="Code"/>
      </w:pPr>
      <w:r>
        <w:t xml:space="preserve">FROM collection_run r</w:t>
      </w:r>
    </w:p>
    <w:p>
      <w:pPr>
        <w:pStyle w:val="Code"/>
      </w:pPr>
      <w:r>
        <w:t xml:space="preserve">JOIN license_server s ON s.id = r.server_id</w:t>
      </w:r>
    </w:p>
    <w:p>
      <w:pPr>
        <w:pStyle w:val="Code"/>
      </w:pPr>
      <w:r>
        <w:t xml:space="preserve">WHERE r.status = 'OK'</w:t>
      </w:r>
    </w:p>
    <w:p>
      <w:pPr>
        <w:pStyle w:val="Code"/>
      </w:pPr>
      <w:r>
        <w:t xml:space="preserve">GROUP BY s.name, r.collector</w:t>
      </w:r>
    </w:p>
    <w:p>
      <w:pPr>
        <w:pStyle w:val="Code"/>
      </w:pPr>
      <w:r>
        <w:t xml:space="preserve">ORDER BY derniere_ok;</w:t>
      </w:r>
    </w:p>
    <w:p>
      <w:pPr/>
      <w:r>
        <w:rPr>
          <w:b/>
        </w:rPr>
        <w:t xml:space="preserve">Échecs de collecte des dernières 24 heures</w:t>
      </w:r>
      <w:r>
        <w:rPr/>
        <w:t xml:space="preserve"> :</w:t>
      </w:r>
    </w:p>
    <w:p>
      <w:pPr>
        <w:pStyle w:val="Code"/>
      </w:pPr>
      <w:r>
        <w:t xml:space="preserve">SELECT s.name, r.collector, r.started_at, r.message</w:t>
      </w:r>
    </w:p>
    <w:p>
      <w:pPr>
        <w:pStyle w:val="Code"/>
      </w:pPr>
      <w:r>
        <w:t xml:space="preserve">FROM collection_run r</w:t>
      </w:r>
    </w:p>
    <w:p>
      <w:pPr>
        <w:pStyle w:val="Code"/>
      </w:pPr>
      <w:r>
        <w:t xml:space="preserve">JOIN license_server s ON s.id = r.server_id</w:t>
      </w:r>
    </w:p>
    <w:p>
      <w:pPr>
        <w:pStyle w:val="Code"/>
      </w:pPr>
      <w:r>
        <w:t xml:space="preserve">WHERE r.status = 'ERROR'</w:t>
      </w:r>
    </w:p>
    <w:p>
      <w:pPr>
        <w:pStyle w:val="Code"/>
      </w:pPr>
      <w:r>
        <w:t xml:space="preserve">  AND r.started_at &gt;= DATEADD(HOUR, -24, SYSDATETIME())</w:t>
      </w:r>
    </w:p>
    <w:p>
      <w:pPr>
        <w:pStyle w:val="Code"/>
      </w:pPr>
      <w:r>
        <w:t xml:space="preserve">ORDER BY r.started_at DESC;</w:t>
      </w:r>
    </w:p>
    <w:p>
      <w:pPr/>
      <w:r>
        <w:rPr>
          <w:b/>
        </w:rPr>
        <w:t xml:space="preserve">Sessions en cours</w:t>
      </w:r>
      <w:r>
        <w:rPr/>
        <w:t xml:space="preserve"> :</w:t>
      </w:r>
    </w:p>
    <w:p>
      <w:pPr>
        <w:pStyle w:val="Code"/>
      </w:pPr>
      <w:r>
        <w:t xml:space="preserve">SELECT * FROM v_session_detail WHERE checkin_time IS NULL ORDER BY checkout_time;</w:t>
      </w:r>
    </w:p>
    <w:p>
      <w:pPr/>
      <w:r>
        <w:rPr>
          <w:b/>
        </w:rPr>
        <w:t xml:space="preserve">Taille de la base et des tables</w:t>
      </w:r>
      <w:r>
        <w:rPr/>
        <w:t xml:space="preserve"> :</w:t>
      </w:r>
    </w:p>
    <w:p>
      <w:pPr>
        <w:pStyle w:val="Code"/>
      </w:pPr>
      <w:r>
        <w:t xml:space="preserve">EXEC sp_spaceused;</w:t>
      </w:r>
    </w:p>
    <w:p>
      <w:pPr>
        <w:pStyle w:val="Code"/>
      </w:pPr>
      <w:r>
        <w:t xml:space="preserve">EXEC sp_spaceused 'usage_snapshot';</w:t>
      </w:r>
    </w:p>
    <w:p>
      <w:pPr>
        <w:pStyle w:val="Code"/>
      </w:pPr>
      <w:r>
        <w:t xml:space="preserve">EXEC sp_spaceused 'license_session';</w:t>
      </w:r>
    </w:p>
    <w:p>
      <w:pPr/>
      <w:r>
        <w:rPr>
          <w:b/>
        </w:rPr>
        <w:t xml:space="preserve">Version du schéma</w:t>
      </w:r>
      <w:r>
        <w:rPr/>
        <w:t xml:space="preserve"> :</w:t>
      </w:r>
    </w:p>
    <w:p>
      <w:pPr>
        <w:pStyle w:val="Code"/>
      </w:pPr>
      <w:r>
        <w:t xml:space="preserve">SELECT * FROM schema_info;</w:t>
      </w:r>
    </w:p>
    <w:p>
      <w:pPr/>
      <w:r>
        <w:rPr>
          <w:b/>
        </w:rPr>
        <w:t xml:space="preserve">Purge complémentaire des sessions de plus de 3 ans</w:t>
      </w:r>
      <w:r>
        <w:rPr/>
        <w:t xml:space="preserve"> (si décidé avec le DPO ; sauvegarder avant) :</w:t>
      </w:r>
    </w:p>
    <w:p>
      <w:pPr>
        <w:pStyle w:val="Code"/>
      </w:pPr>
      <w:r>
        <w:t xml:space="preserve">DELETE FROM license_session WHERE checkout_time &lt; DATEADD(YEAR, -3, SYSDATETIME());</w:t>
      </w:r>
    </w:p>
    <w:p>
      <w:pPr>
        <w:pStyle w:val="Heading1"/>
      </w:pPr>
      <w:bookmarkStart w:id="159" w:name="_Toc00159"/>
      <w:r>
        <w:rPr/>
        <w:t xml:space="preserve">Annexe D. Fiche de contrôle quotidien</w:t>
      </w:r>
      <w:bookmarkEnd w:id="159"/>
    </w:p>
    <w:p>
      <w:pPr>
        <w:pStyle w:val="Caption"/>
        <w:keepNext/>
      </w:pPr>
      <w:r>
        <w:rPr/>
        <w:t xml:space="preserve">Tableau 39 – Fiche de contrôle quotidien</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268"/>
        <w:gridCol w:w="1648"/>
        <w:gridCol w:w="1648"/>
        <w:gridCol w:w="1268"/>
        <w:gridCol w:w="2789"/>
        <w:gridCol w:w="1014"/>
      </w:tblGrid>
      <w:tr>
        <w:trPr>
          <w:tblHeader/>
          <w:cantSplit/>
        </w:trPr>
        <w:tc>
          <w:tcPr>
            <w:tcW w:w="1268" w:type="dxa"/>
            <w:shd w:val="clear" w:color="auto" w:fill="2A78D6"/>
          </w:tcPr>
          <w:p>
            <w:pPr>
              <w:pStyle w:val="TableText"/>
            </w:pPr>
            <w:r>
              <w:rPr>
                <w:b/>
                <w:color w:val="FFFFFF"/>
                <w:sz w:val="18"/>
                <w:szCs w:val="18"/>
              </w:rPr>
              <w:t xml:space="preserve">Date</w:t>
            </w:r>
          </w:p>
        </w:tc>
        <w:tc>
          <w:tcPr>
            <w:tcW w:w="1648" w:type="dxa"/>
            <w:shd w:val="clear" w:color="auto" w:fill="2A78D6"/>
          </w:tcPr>
          <w:p>
            <w:pPr>
              <w:pStyle w:val="TableText"/>
            </w:pPr>
            <w:r>
              <w:rPr>
                <w:b/>
                <w:color w:val="FFFFFF"/>
                <w:sz w:val="18"/>
                <w:szCs w:val="18"/>
              </w:rPr>
              <w:t xml:space="preserve">Badge « Collectes OK »</w:t>
            </w:r>
          </w:p>
        </w:tc>
        <w:tc>
          <w:tcPr>
            <w:tcW w:w="1648" w:type="dxa"/>
            <w:shd w:val="clear" w:color="auto" w:fill="2A78D6"/>
          </w:tcPr>
          <w:p>
            <w:pPr>
              <w:pStyle w:val="TableText"/>
            </w:pPr>
            <w:r>
              <w:rPr>
                <w:b/>
                <w:color w:val="FFFFFF"/>
                <w:sz w:val="18"/>
                <w:szCs w:val="18"/>
              </w:rPr>
              <w:t xml:space="preserve">Alertes critiques</w:t>
            </w:r>
          </w:p>
        </w:tc>
        <w:tc>
          <w:tcPr>
            <w:tcW w:w="1268" w:type="dxa"/>
            <w:shd w:val="clear" w:color="auto" w:fill="2A78D6"/>
          </w:tcPr>
          <w:p>
            <w:pPr>
              <w:pStyle w:val="TableText"/>
            </w:pPr>
            <w:r>
              <w:rPr>
                <w:b/>
                <w:color w:val="FFFFFF"/>
                <w:sz w:val="18"/>
                <w:szCs w:val="18"/>
              </w:rPr>
              <w:t xml:space="preserve">Tâches 0x0</w:t>
            </w:r>
          </w:p>
        </w:tc>
        <w:tc>
          <w:tcPr>
            <w:tcW w:w="2789" w:type="dxa"/>
            <w:shd w:val="clear" w:color="auto" w:fill="2A78D6"/>
          </w:tcPr>
          <w:p>
            <w:pPr>
              <w:pStyle w:val="TableText"/>
            </w:pPr>
            <w:r>
              <w:rPr>
                <w:b/>
                <w:color w:val="FFFFFF"/>
                <w:sz w:val="18"/>
                <w:szCs w:val="18"/>
              </w:rPr>
              <w:t xml:space="preserve">Action / incident</w:t>
            </w:r>
          </w:p>
        </w:tc>
        <w:tc>
          <w:tcPr>
            <w:tcW w:w="1014" w:type="dxa"/>
            <w:shd w:val="clear" w:color="auto" w:fill="2A78D6"/>
          </w:tcPr>
          <w:p>
            <w:pPr>
              <w:pStyle w:val="TableText"/>
            </w:pPr>
            <w:r>
              <w:rPr>
                <w:b/>
                <w:color w:val="FFFFFF"/>
                <w:sz w:val="18"/>
                <w:szCs w:val="18"/>
              </w:rPr>
              <w:t xml:space="preserve">Visa</w:t>
            </w:r>
          </w:p>
        </w:tc>
      </w:tr>
      <w:tr>
        <w:trPr>
          <w:cantSplit/>
        </w:trPr>
        <w:tc>
          <w:tcPr>
            <w:tcW w:w="1268" w:type="dxa"/>
          </w:tcPr>
          <w:p>
            <w:pPr>
              <w:pStyle w:val="TableText"/>
            </w:pPr>
          </w:p>
        </w:tc>
        <w:tc>
          <w:tcPr>
            <w:tcW w:w="1648" w:type="dxa"/>
          </w:tcPr>
          <w:p>
            <w:pPr>
              <w:pStyle w:val="TableText"/>
            </w:pPr>
            <w:r>
              <w:rPr>
                <w:sz w:val="18"/>
                <w:szCs w:val="18"/>
              </w:rPr>
              <w:t xml:space="preserve">☐</w:t>
            </w:r>
          </w:p>
        </w:tc>
        <w:tc>
          <w:tcPr>
            <w:tcW w:w="1648" w:type="dxa"/>
          </w:tcPr>
          <w:p>
            <w:pPr>
              <w:pStyle w:val="TableText"/>
            </w:pPr>
            <w:r>
              <w:rPr>
                <w:sz w:val="18"/>
                <w:szCs w:val="18"/>
              </w:rPr>
              <w:t xml:space="preserve">☐ aucune</w:t>
            </w:r>
          </w:p>
        </w:tc>
        <w:tc>
          <w:tcPr>
            <w:tcW w:w="1268" w:type="dxa"/>
          </w:tcPr>
          <w:p>
            <w:pPr>
              <w:pStyle w:val="TableText"/>
            </w:pPr>
            <w:r>
              <w:rPr>
                <w:sz w:val="18"/>
                <w:szCs w:val="18"/>
              </w:rPr>
              <w:t xml:space="preserve">☐</w:t>
            </w:r>
          </w:p>
        </w:tc>
        <w:tc>
          <w:tcPr>
            <w:tcW w:w="2789" w:type="dxa"/>
          </w:tcPr>
          <w:p>
            <w:pPr>
              <w:pStyle w:val="TableText"/>
            </w:pPr>
          </w:p>
        </w:tc>
        <w:tc>
          <w:tcPr>
            <w:tcW w:w="1014" w:type="dxa"/>
          </w:tcPr>
          <w:p>
            <w:pPr>
              <w:pStyle w:val="TableText"/>
            </w:pPr>
          </w:p>
        </w:tc>
      </w:tr>
      <w:tr>
        <w:trPr>
          <w:cantSplit/>
        </w:trPr>
        <w:tc>
          <w:tcPr>
            <w:tcW w:w="1268" w:type="dxa"/>
            <w:shd w:val="clear" w:color="auto" w:fill="F4F7FC"/>
          </w:tcPr>
          <w:p>
            <w:pPr>
              <w:pStyle w:val="TableText"/>
            </w:pPr>
          </w:p>
        </w:tc>
        <w:tc>
          <w:tcPr>
            <w:tcW w:w="1648" w:type="dxa"/>
            <w:shd w:val="clear" w:color="auto" w:fill="F4F7FC"/>
          </w:tcPr>
          <w:p>
            <w:pPr>
              <w:pStyle w:val="TableText"/>
            </w:pPr>
            <w:r>
              <w:rPr>
                <w:sz w:val="18"/>
                <w:szCs w:val="18"/>
              </w:rPr>
              <w:t xml:space="preserve">☐</w:t>
            </w:r>
          </w:p>
        </w:tc>
        <w:tc>
          <w:tcPr>
            <w:tcW w:w="1648" w:type="dxa"/>
            <w:shd w:val="clear" w:color="auto" w:fill="F4F7FC"/>
          </w:tcPr>
          <w:p>
            <w:pPr>
              <w:pStyle w:val="TableText"/>
            </w:pPr>
            <w:r>
              <w:rPr>
                <w:sz w:val="18"/>
                <w:szCs w:val="18"/>
              </w:rPr>
              <w:t xml:space="preserve">☐ aucune</w:t>
            </w:r>
          </w:p>
        </w:tc>
        <w:tc>
          <w:tcPr>
            <w:tcW w:w="1268" w:type="dxa"/>
            <w:shd w:val="clear" w:color="auto" w:fill="F4F7FC"/>
          </w:tcPr>
          <w:p>
            <w:pPr>
              <w:pStyle w:val="TableText"/>
            </w:pPr>
            <w:r>
              <w:rPr>
                <w:sz w:val="18"/>
                <w:szCs w:val="18"/>
              </w:rPr>
              <w:t xml:space="preserve">☐</w:t>
            </w:r>
          </w:p>
        </w:tc>
        <w:tc>
          <w:tcPr>
            <w:tcW w:w="2789" w:type="dxa"/>
            <w:shd w:val="clear" w:color="auto" w:fill="F4F7FC"/>
          </w:tcPr>
          <w:p>
            <w:pPr>
              <w:pStyle w:val="TableText"/>
            </w:pPr>
          </w:p>
        </w:tc>
        <w:tc>
          <w:tcPr>
            <w:tcW w:w="1014" w:type="dxa"/>
            <w:shd w:val="clear" w:color="auto" w:fill="F4F7FC"/>
          </w:tcPr>
          <w:p>
            <w:pPr>
              <w:pStyle w:val="TableText"/>
            </w:pPr>
          </w:p>
        </w:tc>
      </w:tr>
      <w:tr>
        <w:trPr>
          <w:cantSplit/>
        </w:trPr>
        <w:tc>
          <w:tcPr>
            <w:tcW w:w="1268" w:type="dxa"/>
          </w:tcPr>
          <w:p>
            <w:pPr>
              <w:pStyle w:val="TableText"/>
            </w:pPr>
          </w:p>
        </w:tc>
        <w:tc>
          <w:tcPr>
            <w:tcW w:w="1648" w:type="dxa"/>
          </w:tcPr>
          <w:p>
            <w:pPr>
              <w:pStyle w:val="TableText"/>
            </w:pPr>
            <w:r>
              <w:rPr>
                <w:sz w:val="18"/>
                <w:szCs w:val="18"/>
              </w:rPr>
              <w:t xml:space="preserve">☐</w:t>
            </w:r>
          </w:p>
        </w:tc>
        <w:tc>
          <w:tcPr>
            <w:tcW w:w="1648" w:type="dxa"/>
          </w:tcPr>
          <w:p>
            <w:pPr>
              <w:pStyle w:val="TableText"/>
            </w:pPr>
            <w:r>
              <w:rPr>
                <w:sz w:val="18"/>
                <w:szCs w:val="18"/>
              </w:rPr>
              <w:t xml:space="preserve">☐ aucune</w:t>
            </w:r>
          </w:p>
        </w:tc>
        <w:tc>
          <w:tcPr>
            <w:tcW w:w="1268" w:type="dxa"/>
          </w:tcPr>
          <w:p>
            <w:pPr>
              <w:pStyle w:val="TableText"/>
            </w:pPr>
            <w:r>
              <w:rPr>
                <w:sz w:val="18"/>
                <w:szCs w:val="18"/>
              </w:rPr>
              <w:t xml:space="preserve">☐</w:t>
            </w:r>
          </w:p>
        </w:tc>
        <w:tc>
          <w:tcPr>
            <w:tcW w:w="2789" w:type="dxa"/>
          </w:tcPr>
          <w:p>
            <w:pPr>
              <w:pStyle w:val="TableText"/>
            </w:pPr>
          </w:p>
        </w:tc>
        <w:tc>
          <w:tcPr>
            <w:tcW w:w="1014" w:type="dxa"/>
          </w:tcPr>
          <w:p>
            <w:pPr>
              <w:pStyle w:val="TableText"/>
            </w:pPr>
          </w:p>
        </w:tc>
      </w:tr>
      <w:tr>
        <w:trPr>
          <w:cantSplit/>
        </w:trPr>
        <w:tc>
          <w:tcPr>
            <w:tcW w:w="1268" w:type="dxa"/>
            <w:shd w:val="clear" w:color="auto" w:fill="F4F7FC"/>
          </w:tcPr>
          <w:p>
            <w:pPr>
              <w:pStyle w:val="TableText"/>
            </w:pPr>
          </w:p>
        </w:tc>
        <w:tc>
          <w:tcPr>
            <w:tcW w:w="1648" w:type="dxa"/>
            <w:shd w:val="clear" w:color="auto" w:fill="F4F7FC"/>
          </w:tcPr>
          <w:p>
            <w:pPr>
              <w:pStyle w:val="TableText"/>
            </w:pPr>
            <w:r>
              <w:rPr>
                <w:sz w:val="18"/>
                <w:szCs w:val="18"/>
              </w:rPr>
              <w:t xml:space="preserve">☐</w:t>
            </w:r>
          </w:p>
        </w:tc>
        <w:tc>
          <w:tcPr>
            <w:tcW w:w="1648" w:type="dxa"/>
            <w:shd w:val="clear" w:color="auto" w:fill="F4F7FC"/>
          </w:tcPr>
          <w:p>
            <w:pPr>
              <w:pStyle w:val="TableText"/>
            </w:pPr>
            <w:r>
              <w:rPr>
                <w:sz w:val="18"/>
                <w:szCs w:val="18"/>
              </w:rPr>
              <w:t xml:space="preserve">☐ aucune</w:t>
            </w:r>
          </w:p>
        </w:tc>
        <w:tc>
          <w:tcPr>
            <w:tcW w:w="1268" w:type="dxa"/>
            <w:shd w:val="clear" w:color="auto" w:fill="F4F7FC"/>
          </w:tcPr>
          <w:p>
            <w:pPr>
              <w:pStyle w:val="TableText"/>
            </w:pPr>
            <w:r>
              <w:rPr>
                <w:sz w:val="18"/>
                <w:szCs w:val="18"/>
              </w:rPr>
              <w:t xml:space="preserve">☐</w:t>
            </w:r>
          </w:p>
        </w:tc>
        <w:tc>
          <w:tcPr>
            <w:tcW w:w="2789" w:type="dxa"/>
            <w:shd w:val="clear" w:color="auto" w:fill="F4F7FC"/>
          </w:tcPr>
          <w:p>
            <w:pPr>
              <w:pStyle w:val="TableText"/>
            </w:pPr>
          </w:p>
        </w:tc>
        <w:tc>
          <w:tcPr>
            <w:tcW w:w="1014" w:type="dxa"/>
            <w:shd w:val="clear" w:color="auto" w:fill="F4F7FC"/>
          </w:tcPr>
          <w:p>
            <w:pPr>
              <w:pStyle w:val="TableText"/>
            </w:pPr>
          </w:p>
        </w:tc>
      </w:tr>
      <w:tr>
        <w:trPr>
          <w:cantSplit/>
        </w:trPr>
        <w:tc>
          <w:tcPr>
            <w:tcW w:w="1268" w:type="dxa"/>
          </w:tcPr>
          <w:p>
            <w:pPr>
              <w:pStyle w:val="TableText"/>
            </w:pPr>
          </w:p>
        </w:tc>
        <w:tc>
          <w:tcPr>
            <w:tcW w:w="1648" w:type="dxa"/>
          </w:tcPr>
          <w:p>
            <w:pPr>
              <w:pStyle w:val="TableText"/>
            </w:pPr>
            <w:r>
              <w:rPr>
                <w:sz w:val="18"/>
                <w:szCs w:val="18"/>
              </w:rPr>
              <w:t xml:space="preserve">☐</w:t>
            </w:r>
          </w:p>
        </w:tc>
        <w:tc>
          <w:tcPr>
            <w:tcW w:w="1648" w:type="dxa"/>
          </w:tcPr>
          <w:p>
            <w:pPr>
              <w:pStyle w:val="TableText"/>
            </w:pPr>
            <w:r>
              <w:rPr>
                <w:sz w:val="18"/>
                <w:szCs w:val="18"/>
              </w:rPr>
              <w:t xml:space="preserve">☐ aucune</w:t>
            </w:r>
          </w:p>
        </w:tc>
        <w:tc>
          <w:tcPr>
            <w:tcW w:w="1268" w:type="dxa"/>
          </w:tcPr>
          <w:p>
            <w:pPr>
              <w:pStyle w:val="TableText"/>
            </w:pPr>
            <w:r>
              <w:rPr>
                <w:sz w:val="18"/>
                <w:szCs w:val="18"/>
              </w:rPr>
              <w:t xml:space="preserve">☐</w:t>
            </w:r>
          </w:p>
        </w:tc>
        <w:tc>
          <w:tcPr>
            <w:tcW w:w="2789" w:type="dxa"/>
          </w:tcPr>
          <w:p>
            <w:pPr>
              <w:pStyle w:val="TableText"/>
            </w:pPr>
          </w:p>
        </w:tc>
        <w:tc>
          <w:tcPr>
            <w:tcW w:w="1014" w:type="dxa"/>
          </w:tcPr>
          <w:p>
            <w:pPr>
              <w:pStyle w:val="TableText"/>
            </w:pPr>
          </w:p>
        </w:tc>
      </w:tr>
      <w:tr>
        <w:trPr>
          <w:cantSplit/>
        </w:trPr>
        <w:tc>
          <w:tcPr>
            <w:tcW w:w="1268" w:type="dxa"/>
            <w:shd w:val="clear" w:color="auto" w:fill="F4F7FC"/>
          </w:tcPr>
          <w:p>
            <w:pPr>
              <w:pStyle w:val="TableText"/>
            </w:pPr>
          </w:p>
        </w:tc>
        <w:tc>
          <w:tcPr>
            <w:tcW w:w="1648" w:type="dxa"/>
            <w:shd w:val="clear" w:color="auto" w:fill="F4F7FC"/>
          </w:tcPr>
          <w:p>
            <w:pPr>
              <w:pStyle w:val="TableText"/>
            </w:pPr>
            <w:r>
              <w:rPr>
                <w:sz w:val="18"/>
                <w:szCs w:val="18"/>
              </w:rPr>
              <w:t xml:space="preserve">☐</w:t>
            </w:r>
          </w:p>
        </w:tc>
        <w:tc>
          <w:tcPr>
            <w:tcW w:w="1648" w:type="dxa"/>
            <w:shd w:val="clear" w:color="auto" w:fill="F4F7FC"/>
          </w:tcPr>
          <w:p>
            <w:pPr>
              <w:pStyle w:val="TableText"/>
            </w:pPr>
            <w:r>
              <w:rPr>
                <w:sz w:val="18"/>
                <w:szCs w:val="18"/>
              </w:rPr>
              <w:t xml:space="preserve">☐ aucune</w:t>
            </w:r>
          </w:p>
        </w:tc>
        <w:tc>
          <w:tcPr>
            <w:tcW w:w="1268" w:type="dxa"/>
            <w:shd w:val="clear" w:color="auto" w:fill="F4F7FC"/>
          </w:tcPr>
          <w:p>
            <w:pPr>
              <w:pStyle w:val="TableText"/>
            </w:pPr>
            <w:r>
              <w:rPr>
                <w:sz w:val="18"/>
                <w:szCs w:val="18"/>
              </w:rPr>
              <w:t xml:space="preserve">☐</w:t>
            </w:r>
          </w:p>
        </w:tc>
        <w:tc>
          <w:tcPr>
            <w:tcW w:w="2789" w:type="dxa"/>
            <w:shd w:val="clear" w:color="auto" w:fill="F4F7FC"/>
          </w:tcPr>
          <w:p>
            <w:pPr>
              <w:pStyle w:val="TableText"/>
            </w:pPr>
          </w:p>
        </w:tc>
        <w:tc>
          <w:tcPr>
            <w:tcW w:w="1014" w:type="dxa"/>
            <w:shd w:val="clear" w:color="auto" w:fill="F4F7FC"/>
          </w:tcPr>
          <w:p>
            <w:pPr>
              <w:pStyle w:val="TableText"/>
            </w:pPr>
          </w:p>
        </w:tc>
      </w:tr>
      <w:tr>
        <w:trPr>
          <w:cantSplit/>
        </w:trPr>
        <w:tc>
          <w:tcPr>
            <w:tcW w:w="1268" w:type="dxa"/>
          </w:tcPr>
          <w:p>
            <w:pPr>
              <w:pStyle w:val="TableText"/>
            </w:pPr>
          </w:p>
        </w:tc>
        <w:tc>
          <w:tcPr>
            <w:tcW w:w="1648" w:type="dxa"/>
          </w:tcPr>
          <w:p>
            <w:pPr>
              <w:pStyle w:val="TableText"/>
            </w:pPr>
            <w:r>
              <w:rPr>
                <w:sz w:val="18"/>
                <w:szCs w:val="18"/>
              </w:rPr>
              <w:t xml:space="preserve">☐</w:t>
            </w:r>
          </w:p>
        </w:tc>
        <w:tc>
          <w:tcPr>
            <w:tcW w:w="1648" w:type="dxa"/>
          </w:tcPr>
          <w:p>
            <w:pPr>
              <w:pStyle w:val="TableText"/>
            </w:pPr>
            <w:r>
              <w:rPr>
                <w:sz w:val="18"/>
                <w:szCs w:val="18"/>
              </w:rPr>
              <w:t xml:space="preserve">☐ aucune</w:t>
            </w:r>
          </w:p>
        </w:tc>
        <w:tc>
          <w:tcPr>
            <w:tcW w:w="1268" w:type="dxa"/>
          </w:tcPr>
          <w:p>
            <w:pPr>
              <w:pStyle w:val="TableText"/>
            </w:pPr>
            <w:r>
              <w:rPr>
                <w:sz w:val="18"/>
                <w:szCs w:val="18"/>
              </w:rPr>
              <w:t xml:space="preserve">☐</w:t>
            </w:r>
          </w:p>
        </w:tc>
        <w:tc>
          <w:tcPr>
            <w:tcW w:w="2789" w:type="dxa"/>
          </w:tcPr>
          <w:p>
            <w:pPr>
              <w:pStyle w:val="TableText"/>
            </w:pPr>
          </w:p>
        </w:tc>
        <w:tc>
          <w:tcPr>
            <w:tcW w:w="1014" w:type="dxa"/>
          </w:tcPr>
          <w:p>
            <w:pPr>
              <w:pStyle w:val="TableText"/>
            </w:pPr>
          </w:p>
        </w:tc>
      </w:tr>
      <w:tr>
        <w:trPr>
          <w:cantSplit/>
        </w:trPr>
        <w:tc>
          <w:tcPr>
            <w:tcW w:w="1268" w:type="dxa"/>
            <w:shd w:val="clear" w:color="auto" w:fill="F4F7FC"/>
          </w:tcPr>
          <w:p>
            <w:pPr>
              <w:pStyle w:val="TableText"/>
            </w:pPr>
          </w:p>
        </w:tc>
        <w:tc>
          <w:tcPr>
            <w:tcW w:w="1648" w:type="dxa"/>
            <w:shd w:val="clear" w:color="auto" w:fill="F4F7FC"/>
          </w:tcPr>
          <w:p>
            <w:pPr>
              <w:pStyle w:val="TableText"/>
            </w:pPr>
            <w:r>
              <w:rPr>
                <w:sz w:val="18"/>
                <w:szCs w:val="18"/>
              </w:rPr>
              <w:t xml:space="preserve">☐</w:t>
            </w:r>
          </w:p>
        </w:tc>
        <w:tc>
          <w:tcPr>
            <w:tcW w:w="1648" w:type="dxa"/>
            <w:shd w:val="clear" w:color="auto" w:fill="F4F7FC"/>
          </w:tcPr>
          <w:p>
            <w:pPr>
              <w:pStyle w:val="TableText"/>
            </w:pPr>
            <w:r>
              <w:rPr>
                <w:sz w:val="18"/>
                <w:szCs w:val="18"/>
              </w:rPr>
              <w:t xml:space="preserve">☐ aucune</w:t>
            </w:r>
          </w:p>
        </w:tc>
        <w:tc>
          <w:tcPr>
            <w:tcW w:w="1268" w:type="dxa"/>
            <w:shd w:val="clear" w:color="auto" w:fill="F4F7FC"/>
          </w:tcPr>
          <w:p>
            <w:pPr>
              <w:pStyle w:val="TableText"/>
            </w:pPr>
            <w:r>
              <w:rPr>
                <w:sz w:val="18"/>
                <w:szCs w:val="18"/>
              </w:rPr>
              <w:t xml:space="preserve">☐</w:t>
            </w:r>
          </w:p>
        </w:tc>
        <w:tc>
          <w:tcPr>
            <w:tcW w:w="2789" w:type="dxa"/>
            <w:shd w:val="clear" w:color="auto" w:fill="F4F7FC"/>
          </w:tcPr>
          <w:p>
            <w:pPr>
              <w:pStyle w:val="TableText"/>
            </w:pPr>
          </w:p>
        </w:tc>
        <w:tc>
          <w:tcPr>
            <w:tcW w:w="1014" w:type="dxa"/>
            <w:shd w:val="clear" w:color="auto" w:fill="F4F7FC"/>
          </w:tcPr>
          <w:p>
            <w:pPr>
              <w:pStyle w:val="TableText"/>
            </w:pPr>
          </w:p>
        </w:tc>
      </w:tr>
      <w:tr>
        <w:trPr>
          <w:cantSplit/>
        </w:trPr>
        <w:tc>
          <w:tcPr>
            <w:tcW w:w="1268" w:type="dxa"/>
          </w:tcPr>
          <w:p>
            <w:pPr>
              <w:pStyle w:val="TableText"/>
            </w:pPr>
          </w:p>
        </w:tc>
        <w:tc>
          <w:tcPr>
            <w:tcW w:w="1648" w:type="dxa"/>
          </w:tcPr>
          <w:p>
            <w:pPr>
              <w:pStyle w:val="TableText"/>
            </w:pPr>
            <w:r>
              <w:rPr>
                <w:sz w:val="18"/>
                <w:szCs w:val="18"/>
              </w:rPr>
              <w:t xml:space="preserve">☐</w:t>
            </w:r>
          </w:p>
        </w:tc>
        <w:tc>
          <w:tcPr>
            <w:tcW w:w="1648" w:type="dxa"/>
          </w:tcPr>
          <w:p>
            <w:pPr>
              <w:pStyle w:val="TableText"/>
            </w:pPr>
            <w:r>
              <w:rPr>
                <w:sz w:val="18"/>
                <w:szCs w:val="18"/>
              </w:rPr>
              <w:t xml:space="preserve">☐ aucune</w:t>
            </w:r>
          </w:p>
        </w:tc>
        <w:tc>
          <w:tcPr>
            <w:tcW w:w="1268" w:type="dxa"/>
          </w:tcPr>
          <w:p>
            <w:pPr>
              <w:pStyle w:val="TableText"/>
            </w:pPr>
            <w:r>
              <w:rPr>
                <w:sz w:val="18"/>
                <w:szCs w:val="18"/>
              </w:rPr>
              <w:t xml:space="preserve">☐</w:t>
            </w:r>
          </w:p>
        </w:tc>
        <w:tc>
          <w:tcPr>
            <w:tcW w:w="2789" w:type="dxa"/>
          </w:tcPr>
          <w:p>
            <w:pPr>
              <w:pStyle w:val="TableText"/>
            </w:pPr>
          </w:p>
        </w:tc>
        <w:tc>
          <w:tcPr>
            <w:tcW w:w="1014" w:type="dxa"/>
          </w:tcPr>
          <w:p>
            <w:pPr>
              <w:pStyle w:val="TableText"/>
            </w:pPr>
          </w:p>
        </w:tc>
      </w:tr>
      <w:tr>
        <w:trPr>
          <w:cantSplit/>
        </w:trPr>
        <w:tc>
          <w:tcPr>
            <w:tcW w:w="1268" w:type="dxa"/>
            <w:shd w:val="clear" w:color="auto" w:fill="F4F7FC"/>
          </w:tcPr>
          <w:p>
            <w:pPr>
              <w:pStyle w:val="TableText"/>
            </w:pPr>
          </w:p>
        </w:tc>
        <w:tc>
          <w:tcPr>
            <w:tcW w:w="1648" w:type="dxa"/>
            <w:shd w:val="clear" w:color="auto" w:fill="F4F7FC"/>
          </w:tcPr>
          <w:p>
            <w:pPr>
              <w:pStyle w:val="TableText"/>
            </w:pPr>
            <w:r>
              <w:rPr>
                <w:sz w:val="18"/>
                <w:szCs w:val="18"/>
              </w:rPr>
              <w:t xml:space="preserve">☐</w:t>
            </w:r>
          </w:p>
        </w:tc>
        <w:tc>
          <w:tcPr>
            <w:tcW w:w="1648" w:type="dxa"/>
            <w:shd w:val="clear" w:color="auto" w:fill="F4F7FC"/>
          </w:tcPr>
          <w:p>
            <w:pPr>
              <w:pStyle w:val="TableText"/>
            </w:pPr>
            <w:r>
              <w:rPr>
                <w:sz w:val="18"/>
                <w:szCs w:val="18"/>
              </w:rPr>
              <w:t xml:space="preserve">☐ aucune</w:t>
            </w:r>
          </w:p>
        </w:tc>
        <w:tc>
          <w:tcPr>
            <w:tcW w:w="1268" w:type="dxa"/>
            <w:shd w:val="clear" w:color="auto" w:fill="F4F7FC"/>
          </w:tcPr>
          <w:p>
            <w:pPr>
              <w:pStyle w:val="TableText"/>
            </w:pPr>
            <w:r>
              <w:rPr>
                <w:sz w:val="18"/>
                <w:szCs w:val="18"/>
              </w:rPr>
              <w:t xml:space="preserve">☐</w:t>
            </w:r>
          </w:p>
        </w:tc>
        <w:tc>
          <w:tcPr>
            <w:tcW w:w="2789" w:type="dxa"/>
            <w:shd w:val="clear" w:color="auto" w:fill="F4F7FC"/>
          </w:tcPr>
          <w:p>
            <w:pPr>
              <w:pStyle w:val="TableText"/>
            </w:pPr>
          </w:p>
        </w:tc>
        <w:tc>
          <w:tcPr>
            <w:tcW w:w="1014" w:type="dxa"/>
            <w:shd w:val="clear" w:color="auto" w:fill="F4F7FC"/>
          </w:tcPr>
          <w:p>
            <w:pPr>
              <w:pStyle w:val="TableText"/>
            </w:pPr>
          </w:p>
        </w:tc>
      </w:tr>
      <w:tr>
        <w:trPr>
          <w:cantSplit/>
        </w:trPr>
        <w:tc>
          <w:tcPr>
            <w:tcW w:w="1268" w:type="dxa"/>
          </w:tcPr>
          <w:p>
            <w:pPr>
              <w:pStyle w:val="TableText"/>
            </w:pPr>
          </w:p>
        </w:tc>
        <w:tc>
          <w:tcPr>
            <w:tcW w:w="1648" w:type="dxa"/>
          </w:tcPr>
          <w:p>
            <w:pPr>
              <w:pStyle w:val="TableText"/>
            </w:pPr>
            <w:r>
              <w:rPr>
                <w:sz w:val="18"/>
                <w:szCs w:val="18"/>
              </w:rPr>
              <w:t xml:space="preserve">☐</w:t>
            </w:r>
          </w:p>
        </w:tc>
        <w:tc>
          <w:tcPr>
            <w:tcW w:w="1648" w:type="dxa"/>
          </w:tcPr>
          <w:p>
            <w:pPr>
              <w:pStyle w:val="TableText"/>
            </w:pPr>
            <w:r>
              <w:rPr>
                <w:sz w:val="18"/>
                <w:szCs w:val="18"/>
              </w:rPr>
              <w:t xml:space="preserve">☐ aucune</w:t>
            </w:r>
          </w:p>
        </w:tc>
        <w:tc>
          <w:tcPr>
            <w:tcW w:w="1268" w:type="dxa"/>
          </w:tcPr>
          <w:p>
            <w:pPr>
              <w:pStyle w:val="TableText"/>
            </w:pPr>
            <w:r>
              <w:rPr>
                <w:sz w:val="18"/>
                <w:szCs w:val="18"/>
              </w:rPr>
              <w:t xml:space="preserve">☐</w:t>
            </w:r>
          </w:p>
        </w:tc>
        <w:tc>
          <w:tcPr>
            <w:tcW w:w="2789" w:type="dxa"/>
          </w:tcPr>
          <w:p>
            <w:pPr>
              <w:pStyle w:val="TableText"/>
            </w:pPr>
          </w:p>
        </w:tc>
        <w:tc>
          <w:tcPr>
            <w:tcW w:w="1014" w:type="dxa"/>
          </w:tcPr>
          <w:p>
            <w:pPr>
              <w:pStyle w:val="TableText"/>
            </w:pPr>
          </w:p>
        </w:tc>
      </w:tr>
      <w:tr>
        <w:trPr>
          <w:cantSplit/>
        </w:trPr>
        <w:tc>
          <w:tcPr>
            <w:tcW w:w="1268" w:type="dxa"/>
            <w:shd w:val="clear" w:color="auto" w:fill="F4F7FC"/>
          </w:tcPr>
          <w:p>
            <w:pPr>
              <w:pStyle w:val="TableText"/>
            </w:pPr>
          </w:p>
        </w:tc>
        <w:tc>
          <w:tcPr>
            <w:tcW w:w="1648" w:type="dxa"/>
            <w:shd w:val="clear" w:color="auto" w:fill="F4F7FC"/>
          </w:tcPr>
          <w:p>
            <w:pPr>
              <w:pStyle w:val="TableText"/>
            </w:pPr>
            <w:r>
              <w:rPr>
                <w:sz w:val="18"/>
                <w:szCs w:val="18"/>
              </w:rPr>
              <w:t xml:space="preserve">☐</w:t>
            </w:r>
          </w:p>
        </w:tc>
        <w:tc>
          <w:tcPr>
            <w:tcW w:w="1648" w:type="dxa"/>
            <w:shd w:val="clear" w:color="auto" w:fill="F4F7FC"/>
          </w:tcPr>
          <w:p>
            <w:pPr>
              <w:pStyle w:val="TableText"/>
            </w:pPr>
            <w:r>
              <w:rPr>
                <w:sz w:val="18"/>
                <w:szCs w:val="18"/>
              </w:rPr>
              <w:t xml:space="preserve">☐ aucune</w:t>
            </w:r>
          </w:p>
        </w:tc>
        <w:tc>
          <w:tcPr>
            <w:tcW w:w="1268" w:type="dxa"/>
            <w:shd w:val="clear" w:color="auto" w:fill="F4F7FC"/>
          </w:tcPr>
          <w:p>
            <w:pPr>
              <w:pStyle w:val="TableText"/>
            </w:pPr>
            <w:r>
              <w:rPr>
                <w:sz w:val="18"/>
                <w:szCs w:val="18"/>
              </w:rPr>
              <w:t xml:space="preserve">☐</w:t>
            </w:r>
          </w:p>
        </w:tc>
        <w:tc>
          <w:tcPr>
            <w:tcW w:w="2789" w:type="dxa"/>
            <w:shd w:val="clear" w:color="auto" w:fill="F4F7FC"/>
          </w:tcPr>
          <w:p>
            <w:pPr>
              <w:pStyle w:val="TableText"/>
            </w:pPr>
          </w:p>
        </w:tc>
        <w:tc>
          <w:tcPr>
            <w:tcW w:w="1014" w:type="dxa"/>
            <w:shd w:val="clear" w:color="auto" w:fill="F4F7FC"/>
          </w:tcPr>
          <w:p>
            <w:pPr>
              <w:pStyle w:val="TableText"/>
            </w:pPr>
          </w:p>
        </w:tc>
      </w:tr>
    </w:tbl>
    <w:p>
      <w:pPr>
        <w:spacing w:after="80"/>
      </w:pPr>
    </w:p>
    <w:sectPr>
      <w:headerReference w:type="default" r:id="rIdHdr"/>
      <w:headerReference w:type="first" r:id="rIdHdr1"/>
      <w:footerReference w:type="default" r:id="rIdFtr"/>
      <w:footerReference w:type="first" r:id="rIdFtr1"/>
      <w:pgSz w:w="11906" w:h="16838"/>
      <w:pgMar w:top="1418" w:right="1134" w:bottom="1247" w:left="1134" w:header="567" w:footer="567" w:gutter="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tabs>
        <w:tab w:val="right" w:pos="9638"/>
      </w:tabs>
    </w:pPr>
    <w:r>
      <w:rPr>
        <w:color w:val="5F5E5A"/>
        <w:sz w:val="16"/>
        <w:szCs w:val="16"/>
      </w:rPr>
      <w:t xml:space="preserve">Diffusion interne — HeptagonesLM, logiciel libre (licence MIT)</w:t>
    </w:r>
    <w:r>
      <w:tab/>
    </w:r>
    <w:r>
      <w:rPr>
        <w:color w:val="5F5E5A"/>
        <w:sz w:val="16"/>
        <w:szCs w:val="16"/>
      </w:rPr>
      <w:t xml:space="preserve">Page </w:t>
    </w:r>
    <w:r>
      <w:rPr>
        <w:color w:val="5F5E5A"/>
        <w:sz w:val="16"/>
      </w:rPr>
      <w:fldChar w:fldCharType="begin"/>
    </w:r>
    <w:r>
      <w:rPr>
        <w:color w:val="5F5E5A"/>
        <w:sz w:val="16"/>
      </w:rPr>
      <w:instrText xml:space="preserve"> PAGE </w:instrText>
    </w:r>
    <w:r>
      <w:rPr>
        <w:color w:val="5F5E5A"/>
        <w:sz w:val="16"/>
      </w:rPr>
      <w:fldChar w:fldCharType="separate"/>
    </w:r>
    <w:r>
      <w:rPr>
        <w:color w:val="5F5E5A"/>
        <w:sz w:val="16"/>
      </w:rPr>
      <w:t>1</w:t>
    </w:r>
    <w:r>
      <w:rPr>
        <w:color w:val="5F5E5A"/>
        <w:sz w:val="16"/>
      </w:rPr>
      <w:fldChar w:fldCharType="end"/>
    </w:r>
    <w:r>
      <w:rPr>
        <w:color w:val="5F5E5A"/>
        <w:sz w:val="16"/>
        <w:szCs w:val="16"/>
      </w:rPr>
      <w:t xml:space="preserve"> / </w:t>
    </w:r>
    <w:r>
      <w:rPr>
        <w:color w:val="5F5E5A"/>
        <w:sz w:val="16"/>
      </w:rPr>
      <w:fldChar w:fldCharType="begin"/>
    </w:r>
    <w:r>
      <w:rPr>
        <w:color w:val="5F5E5A"/>
        <w:sz w:val="16"/>
      </w:rPr>
      <w:instrText xml:space="preserve"> NUMPAGES </w:instrText>
    </w:r>
    <w:r>
      <w:rPr>
        <w:color w:val="5F5E5A"/>
        <w:sz w:val="16"/>
      </w:rPr>
      <w:fldChar w:fldCharType="separate"/>
    </w:r>
    <w:r>
      <w:rPr>
        <w:color w:val="5F5E5A"/>
        <w:sz w:val="16"/>
      </w:rPr>
      <w:t>1</w:t>
    </w:r>
    <w:r>
      <w:rPr>
        <w:color w:val="5F5E5A"/>
        <w:sz w:val="16"/>
      </w:rP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tabs>
        <w:tab w:val="right" w:pos="9638"/>
      </w:tabs>
    </w:pPr>
    <w:r>
      <w:rPr>
        <w:color w:val="5F5E5A"/>
        <w:sz w:val="16"/>
        <w:szCs w:val="16"/>
      </w:rPr>
      <w:t xml:space="preserve">HeptagonesLM — Dossier d'exploitation (DEX)</w:t>
    </w:r>
    <w:r>
      <w:tab/>
    </w:r>
    <w:r>
      <w:rPr>
        <w:color w:val="5F5E5A"/>
        <w:sz w:val="16"/>
        <w:szCs w:val="16"/>
      </w:rPr>
      <w:t xml:space="preserve">Version 1.10</w:t>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1">
    <w:multiLevelType w:val="hybridMultilevel"/>
    <w:lvl w:ilvl="0">
      <w:start w:val="1"/>
      <w:numFmt w:val="bullet"/>
      <w:lvlText w:val="•"/>
      <w:lvlJc w:val="left"/>
      <w:pPr>
        <w:ind w:left="426" w:hanging="284"/>
      </w:pPr>
      <w:rPr>
        <w:color w:val="2A78D6"/>
      </w:rPr>
    </w:lvl>
    <w:lvl w:ilvl="1">
      <w:start w:val="1"/>
      <w:numFmt w:val="bullet"/>
      <w:lvlText w:val="–"/>
      <w:lvlJc w:val="left"/>
      <w:pPr>
        <w:ind w:left="786" w:hanging="284"/>
      </w:pPr>
      <w:rPr>
        <w:color w:val="2A78D6"/>
      </w:rPr>
    </w:lvl>
    <w:lvl w:ilvl="2">
      <w:start w:val="1"/>
      <w:numFmt w:val="bullet"/>
      <w:lvlText w:val="▪"/>
      <w:lvlJc w:val="left"/>
      <w:pPr>
        <w:ind w:left="1146" w:hanging="284"/>
      </w:pPr>
      <w:rPr>
        <w:color w:val="2A78D6"/>
      </w:rPr>
    </w:lvl>
  </w:abstractNum>
  <w:abstractNum w:abstractNumId="2">
    <w:multiLevelType w:val="hybridMultilevel"/>
    <w:lvl w:ilvl="0">
      <w:start w:val="1"/>
      <w:numFmt w:val="decimal"/>
      <w:lvlText w:val="%1."/>
      <w:lvlJc w:val="left"/>
      <w:pPr>
        <w:ind w:left="426" w:hanging="284"/>
      </w:pPr>
      <w:rPr/>
    </w:lvl>
    <w:lvl w:ilvl="1">
      <w:start w:val="1"/>
      <w:numFmt w:val="lowerLetter"/>
      <w:lvlText w:val="%2."/>
      <w:lvlJc w:val="left"/>
      <w:pPr>
        <w:ind w:left="786" w:hanging="284"/>
      </w:pPr>
      <w:rPr/>
    </w:lvl>
    <w:lvl w:ilvl="2">
      <w:start w:val="1"/>
      <w:numFmt w:val="lowerRoman"/>
      <w:lvlText w:val="%3."/>
      <w:lvlJc w:val="left"/>
      <w:pPr>
        <w:ind w:left="1146" w:hanging="284"/>
      </w:pPr>
      <w:rPr/>
    </w:lvl>
  </w:abstractNum>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2"/>
    <w:lvlOverride w:ilvl="0">
      <w:startOverride w:val="1"/>
    </w:lvlOverride>
  </w:num>
  <w:num w:numId="7">
    <w:abstractNumId w:val="1"/>
    <w:lvlOverride w:ilvl="0">
      <w:startOverride w:val="1"/>
    </w:lvlOverride>
  </w:num>
  <w:num w:numId="8">
    <w:abstractNumId w:val="2"/>
    <w:lvlOverride w:ilvl="0">
      <w:startOverride w:val="1"/>
    </w:lvlOverride>
  </w:num>
  <w:num w:numId="9">
    <w:abstractNumId w:val="1"/>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efaultTabStop w:val="708"/>
  <w:characterSpacingControl w:val="doNotCompress"/>
  <w:updateFields w:val="true"/>
  <w:compat>
    <w:compatSetting w:name="compatibilityMode" w:uri="http://schemas.microsoft.com/office/word" w:val="15"/>
  </w:compat>
  <w:themeFontLang w:val="fr-F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eastAsia="Calibri" w:cs="Calibri"/>
        <w:color w:val="1B1B1B"/>
        <w:sz w:val="21"/>
        <w:szCs w:val="21"/>
        <w:lang w:val="fr-FR"/>
      </w:rPr>
    </w:rPrDefault>
    <w:pPrDefault>
      <w:pPr>
        <w:spacing w:after="120" w:line="276" w:lineRule="auto"/>
      </w:pPr>
    </w:pPrDefault>
  </w:docDefaults>
  <w:style w:type="paragraph" w:styleId="Normal">
    <w:name w:val="Normal"/>
    <w:qFormat/>
    <w:pPr/>
    <w:rPr/>
  </w:style>
  <w:style w:type="paragraph" w:styleId="Title">
    <w:name w:val="Title"/>
    <w:basedOn w:val="Normal"/>
    <w:qFormat/>
    <w:pPr>
      <w:spacing w:after="120"/>
    </w:pPr>
    <w:rPr>
      <w:b/>
      <w:color w:val="FFFFFF"/>
      <w:sz w:val="60"/>
      <w:szCs w:val="60"/>
    </w:rPr>
  </w:style>
  <w:style w:type="paragraph" w:styleId="Subtitle">
    <w:name w:val="Subtitle"/>
    <w:basedOn w:val="Normal"/>
    <w:qFormat/>
    <w:pPr/>
    <w:rPr>
      <w:color w:val="FFFFFF"/>
      <w:sz w:val="28"/>
    </w:rPr>
  </w:style>
  <w:style w:type="paragraph" w:styleId="Heading1">
    <w:name w:val="heading 1"/>
    <w:basedOn w:val="Normal"/>
    <w:next w:val="Normal"/>
    <w:uiPriority w:val="9"/>
    <w:qFormat/>
    <w:pPr>
      <w:keepNext/>
      <w:keepLines/>
      <w:pageBreakBefore/>
      <w:pBdr>
        <w:bottom w:val="single" w:sz="12" w:space="6" w:color="2A78D6"/>
      </w:pBdr>
      <w:spacing w:before="0" w:after="240"/>
      <w:outlineLvl w:val="0"/>
    </w:pPr>
    <w:rPr>
      <w:b/>
      <w:color w:val="1C5CAB"/>
      <w:sz w:val="36"/>
      <w:szCs w:val="36"/>
    </w:rPr>
  </w:style>
  <w:style w:type="paragraph" w:styleId="Heading2">
    <w:name w:val="heading 2"/>
    <w:basedOn w:val="Normal"/>
    <w:next w:val="Normal"/>
    <w:uiPriority w:val="9"/>
    <w:qFormat/>
    <w:pPr>
      <w:keepNext/>
      <w:keepLines/>
      <w:spacing w:before="320" w:after="120"/>
      <w:outlineLvl w:val="1"/>
    </w:pPr>
    <w:rPr>
      <w:b/>
      <w:color w:val="2A78D6"/>
      <w:sz w:val="28"/>
      <w:szCs w:val="28"/>
    </w:rPr>
  </w:style>
  <w:style w:type="paragraph" w:styleId="Heading3">
    <w:name w:val="heading 3"/>
    <w:basedOn w:val="Normal"/>
    <w:next w:val="Normal"/>
    <w:uiPriority w:val="9"/>
    <w:qFormat/>
    <w:pPr>
      <w:keepNext/>
      <w:keepLines/>
      <w:spacing w:before="220" w:after="80"/>
      <w:outlineLvl w:val="2"/>
    </w:pPr>
    <w:rPr>
      <w:b/>
      <w:color w:val="1B1B1B"/>
      <w:sz w:val="23"/>
      <w:szCs w:val="23"/>
    </w:rPr>
  </w:style>
  <w:style w:type="paragraph" w:styleId="TOCHeading">
    <w:name w:val="TOC Heading"/>
    <w:basedOn w:val="Normal"/>
    <w:qFormat/>
    <w:pPr>
      <w:spacing w:after="240"/>
    </w:pPr>
    <w:rPr>
      <w:b/>
      <w:color w:val="1C5CAB"/>
      <w:sz w:val="36"/>
    </w:rPr>
  </w:style>
  <w:style w:type="paragraph" w:styleId="TOC1">
    <w:name w:val="toc 1"/>
    <w:basedOn w:val="Normal"/>
    <w:uiPriority w:val="39"/>
    <w:qFormat/>
    <w:pPr>
      <w:tabs>
        <w:tab w:val="right" w:leader="dot" w:pos="9638"/>
      </w:tabs>
      <w:spacing w:before="120" w:after="40"/>
      <w:ind w:left="0"/>
    </w:pPr>
    <w:rPr>
      <w:b/>
      <w:color w:val="1C5CAB"/>
    </w:rPr>
  </w:style>
  <w:style w:type="paragraph" w:styleId="TOC2">
    <w:name w:val="toc 2"/>
    <w:basedOn w:val="Normal"/>
    <w:uiPriority w:val="39"/>
    <w:qFormat/>
    <w:pPr>
      <w:tabs>
        <w:tab w:val="right" w:leader="dot" w:pos="9638"/>
      </w:tabs>
      <w:spacing w:before="0" w:after="40"/>
      <w:ind w:left="300"/>
    </w:pPr>
    <w:rPr/>
  </w:style>
  <w:style w:type="paragraph" w:styleId="TOC3">
    <w:name w:val="toc 3"/>
    <w:basedOn w:val="Normal"/>
    <w:uiPriority w:val="39"/>
    <w:qFormat/>
    <w:pPr>
      <w:tabs>
        <w:tab w:val="right" w:leader="dot" w:pos="9638"/>
      </w:tabs>
      <w:spacing w:before="0" w:after="40"/>
      <w:ind w:left="600"/>
    </w:pPr>
    <w:rPr>
      <w:sz w:val="20"/>
    </w:rPr>
  </w:style>
  <w:style w:type="paragraph" w:styleId="TableofFigures">
    <w:name w:val="table of figures"/>
    <w:basedOn w:val="Normal"/>
    <w:uiPriority w:val="99"/>
    <w:qFormat/>
    <w:pPr>
      <w:tabs>
        <w:tab w:val="right" w:leader="dot" w:pos="9638"/>
      </w:tabs>
      <w:spacing w:after="40"/>
    </w:pPr>
    <w:rPr>
      <w:sz w:val="20"/>
    </w:rPr>
  </w:style>
  <w:style w:type="paragraph" w:styleId="Caption">
    <w:name w:val="caption"/>
    <w:basedOn w:val="Normal"/>
    <w:next w:val="Normal"/>
    <w:uiPriority w:val="35"/>
    <w:qFormat/>
    <w:pPr>
      <w:spacing w:before="60" w:after="200"/>
      <w:jc w:val="center"/>
    </w:pPr>
    <w:rPr>
      <w:i/>
      <w:color w:val="5F5E5A"/>
      <w:sz w:val="18"/>
    </w:rPr>
  </w:style>
  <w:style w:type="paragraph" w:styleId="Figure">
    <w:name w:val="Figure"/>
    <w:basedOn w:val="Normal"/>
    <w:qFormat/>
    <w:pPr>
      <w:spacing w:before="120" w:after="40"/>
      <w:jc w:val="center"/>
    </w:pPr>
    <w:rPr/>
  </w:style>
  <w:style w:type="paragraph" w:styleId="ListParagraph">
    <w:name w:val="List Paragraph"/>
    <w:basedOn w:val="Normal"/>
    <w:uiPriority w:val="34"/>
    <w:qFormat/>
    <w:pPr>
      <w:spacing w:after="60"/>
      <w:ind w:left="720"/>
      <w:contextualSpacing/>
    </w:pPr>
    <w:rPr/>
  </w:style>
  <w:style w:type="paragraph" w:styleId="TableText">
    <w:name w:val="Table Text"/>
    <w:basedOn w:val="Normal"/>
    <w:qFormat/>
    <w:pPr>
      <w:spacing w:before="0" w:after="0" w:line="252" w:lineRule="auto"/>
    </w:pPr>
    <w:rPr>
      <w:sz w:val="18"/>
    </w:rPr>
  </w:style>
  <w:style w:type="paragraph" w:styleId="Code">
    <w:name w:val="Code"/>
    <w:basedOn w:val="Normal"/>
    <w:qFormat/>
    <w:pPr>
      <w:pBdr>
        <w:top w:val="single" w:sz="4" w:space="4" w:color="D9D8D2"/>
        <w:left w:val="single" w:sz="4" w:space="4" w:color="D9D8D2"/>
        <w:bottom w:val="single" w:sz="4" w:space="4" w:color="D9D8D2"/>
        <w:right w:val="single" w:sz="4" w:space="4" w:color="D9D8D2"/>
      </w:pBdr>
      <w:shd w:val="clear" w:color="auto" w:fill="F4F4F1"/>
      <w:spacing w:before="0" w:after="0" w:line="240" w:lineRule="auto"/>
      <w:ind w:left="113" w:right="113"/>
    </w:pPr>
    <w:rPr>
      <w:rFonts w:ascii="Consolas" w:hAnsi="Consolas" w:cs="Consolas"/>
      <w:color w:val="1B1B1B"/>
      <w:sz w:val="17"/>
    </w:rPr>
  </w:style>
  <w:style w:type="paragraph" w:styleId="Header">
    <w:name w:val="header"/>
    <w:basedOn w:val="Normal"/>
    <w:qFormat/>
    <w:pPr>
      <w:spacing w:after="0"/>
    </w:pPr>
    <w:rPr>
      <w:sz w:val="16"/>
    </w:rPr>
  </w:style>
  <w:style w:type="paragraph" w:styleId="Footer">
    <w:name w:val="footer"/>
    <w:basedOn w:val="Normal"/>
    <w:qFormat/>
    <w:pPr>
      <w:spacing w:after="0"/>
    </w:pPr>
    <w:rPr>
      <w:sz w:val="16"/>
    </w:rPr>
  </w:style>
  <w:style w:type="character" w:styleId="Hyperlink">
    <w:name w:val="Hyperlink"/>
    <w:rPr>
      <w:color w:val="2A78D6"/>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 Id="rIdHdr1" Type="http://schemas.openxmlformats.org/officeDocument/2006/relationships/header" Target="header2.xml"/><Relationship Id="rIdFtr1" Type="http://schemas.openxmlformats.org/officeDocument/2006/relationships/footer" Target="footer2.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 Id="rIdImg23" Type="http://schemas.openxmlformats.org/officeDocument/2006/relationships/image" Target="media/image23.png"/><Relationship Id="rIdImg24" Type="http://schemas.openxmlformats.org/officeDocument/2006/relationships/image" Target="media/image24.png"/><Relationship Id="rIdImg25" Type="http://schemas.openxmlformats.org/officeDocument/2006/relationships/image" Target="media/image25.png"/><Relationship Id="rIdImg26" Type="http://schemas.openxmlformats.org/officeDocument/2006/relationships/image" Target="media/image26.png"/><Relationship Id="rIdImg27" Type="http://schemas.openxmlformats.org/officeDocument/2006/relationships/image" Target="media/image27.png"/><Relationship Id="rIdImg28" Type="http://schemas.openxmlformats.org/officeDocument/2006/relationships/image" Target="media/image28.png"/><Relationship Id="rIdImg29" Type="http://schemas.openxmlformats.org/officeDocument/2006/relationships/image" Target="media/image29.png"/><Relationship Id="rIdImg30" Type="http://schemas.openxmlformats.org/officeDocument/2006/relationships/image" Target="media/image30.png"/><Relationship Id="rIdImg31" Type="http://schemas.openxmlformats.org/officeDocument/2006/relationships/image" Target="media/image31.png"/><Relationship Id="rIdImg32" Type="http://schemas.openxmlformats.org/officeDocument/2006/relationships/image" Target="media/image32.png"/><Relationship Id="rIdImg33" Type="http://schemas.openxmlformats.org/officeDocument/2006/relationships/image" Target="media/image33.png"/><Relationship Id="rIdImg34" Type="http://schemas.openxmlformats.org/officeDocument/2006/relationships/image" Target="media/image34.png"/><Relationship Id="rIdImg35" Type="http://schemas.openxmlformats.org/officeDocument/2006/relationships/image" Target="media/image35.png"/><Relationship Id="rIdImg36" Type="http://schemas.openxmlformats.org/officeDocument/2006/relationships/image" Target="media/image36.png"/><Relationship Id="rIdImg37" Type="http://schemas.openxmlformats.org/officeDocument/2006/relationships/image" Target="media/image37.png"/><Relationship Id="rIdImg38" Type="http://schemas.openxmlformats.org/officeDocument/2006/relationships/image" Target="media/image38.png"/><Relationship Id="rIdImg39" Type="http://schemas.openxmlformats.org/officeDocument/2006/relationships/image" Target="media/image39.png"/><Relationship Id="rIdImg40" Type="http://schemas.openxmlformats.org/officeDocument/2006/relationships/image" Target="media/image40.png"/><Relationship Id="rIdImg41" Type="http://schemas.openxmlformats.org/officeDocument/2006/relationships/image" Target="media/image41.png"/><Relationship Id="rIdImg42" Type="http://schemas.openxmlformats.org/officeDocument/2006/relationships/image" Target="media/image42.png"/><Relationship Id="rIdImg43" Type="http://schemas.openxmlformats.org/officeDocument/2006/relationships/image" Target="media/image43.png"/><Relationship Id="rIdImg44" Type="http://schemas.openxmlformats.org/officeDocument/2006/relationships/image" Target="media/image44.png"/><Relationship Id="rIdImg45" Type="http://schemas.openxmlformats.org/officeDocument/2006/relationships/image" Target="media/image45.png"/></Relationships>
</file>

<file path=docProps/app.xml><?xml version="1.0" encoding="utf-8"?>
<Properties xmlns="http://schemas.openxmlformats.org/officeDocument/2006/extended-properties">
  <Application>HeptagonesLM</Application>
</Properties>
</file>

<file path=docProps/core.xml><?xml version="1.0" encoding="utf-8"?>
<cp:coreProperties xmlns:cp="http://schemas.openxmlformats.org/package/2006/metadata/core-properties" xmlns:dc="http://purl.org/dc/elements/1.1/" xmlns:dcterms="http://purl.org/dc/terms/" xmlns:xsi="http://www.w3.org/2001/XMLSchema-instance">
  <dc:title>HeptagonesLM — Dossier d'exploitation</dc:title>
  <dc:subject>Dossier d'exploitation de l'application HeptagonesLM</dc:subject>
  <dc:creator>Équipe HeptagonesLM</dc:creator>
  <cp:lastModifiedBy>Équipe HeptagonesLM</cp:lastModifiedBy>
  <dc:language>fr-FR</dc:language>
  <dcterms:created xsi:type="dcterms:W3CDTF">2026-10-02T15:14:48Z</dcterms:created>
  <dcterms:modified xsi:type="dcterms:W3CDTF">2026-10-02T15:14:48Z</dcterms:modified>
</cp:coreProperties>
</file>