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E3A8A"/>
          <w:sz w:val="44"/>
          <w:szCs w:val="44"/>
        </w:rPr>
        <w:t xml:space="preserve">Asistente Organizador Académico Inteligente</w:t>
      </w:r>
    </w:p>
    <w:p>
      <w:pPr>
        <w:spacing w:after="400"/>
        <w:jc w:val="center"/>
      </w:pPr>
      <w:r>
        <w:rPr>
          <w:color w:val="2563EB"/>
          <w:sz w:val="24"/>
          <w:szCs w:val="24"/>
        </w:rPr>
        <w:t xml:space="preserve">Solución con LLM y RAG para la organización académica — Duoc UC</w:t>
      </w:r>
    </w:p>
    <w:p>
      <w:pPr>
        <w:jc w:val="center"/>
      </w:pPr>
      <w:r>
        <w:rPr>
          <w:b/>
          <w:bCs/>
          <w:sz w:val="24"/>
          <w:szCs w:val="24"/>
        </w:rPr>
        <w:t xml:space="preserve">Informe Técnico</w:t>
      </w:r>
    </w:p>
    <w:p>
      <w:pPr>
        <w:spacing w:before="600"/>
        <w:jc w:val="center"/>
      </w:pPr>
      <w:r>
        <w:t xml:space="preserve">Integrantes: Juan Mondaca — Iván Álvarez</w:t>
      </w:r>
    </w:p>
    <w:p>
      <w:pPr>
        <w:jc w:val="center"/>
      </w:pPr>
      <w:r>
        <w:t xml:space="preserve">Profesor: Francisco Macaya</w:t>
      </w:r>
    </w:p>
    <w:p>
      <w:pPr>
        <w:jc w:val="center"/>
      </w:pPr>
      <w:r>
        <w:t xml:space="preserve">Ramo: Ingeniería de Soluciones con Inteligencia Artificial</w:t>
      </w:r>
    </w:p>
    <w:p>
      <w:pPr>
        <w:spacing w:after="200"/>
        <w:jc w:val="center"/>
      </w:pPr>
      <w:r>
        <w:t xml:space="preserve">Septiembre 2026</w:t>
      </w:r>
    </w:p>
    <w:p>
      <w:r>
        <w:br w:type="page"/>
      </w:r>
    </w:p>
    <w:p>
      <w:pPr>
        <w:pStyle w:val="Heading1"/>
        <w:spacing w:after="120" w:before="260"/>
      </w:pPr>
      <w:r>
        <w:rPr>
          <w:b/>
          <w:bCs/>
          <w:color w:val="1E3A8A"/>
        </w:rPr>
        <w:t xml:space="preserve">Contenido</w:t>
      </w:r>
    </w:p>
    <w:p>
      <w:pPr>
        <w:spacing w:after="40"/>
      </w:pPr>
      <w:r>
        <w:rPr>
          <w:color w:val="0F172A"/>
        </w:rPr>
        <w:t xml:space="preserve">1. Introducción</w:t>
      </w:r>
    </w:p>
    <w:p>
      <w:pPr>
        <w:spacing w:after="40"/>
      </w:pPr>
      <w:r>
        <w:rPr>
          <w:color w:val="0F172A"/>
        </w:rPr>
        <w:t xml:space="preserve">2. Arquitectura del sistema y tecnologías</w:t>
      </w:r>
    </w:p>
    <w:p>
      <w:pPr>
        <w:spacing w:after="40"/>
      </w:pPr>
      <w:r>
        <w:rPr>
          <w:color w:val="0F172A"/>
        </w:rPr>
        <w:t xml:space="preserve">3. Flujo de datos y pipeline RAG</w:t>
      </w:r>
    </w:p>
    <w:p>
      <w:pPr>
        <w:spacing w:after="40"/>
      </w:pPr>
      <w:r>
        <w:rPr>
          <w:color w:val="0F172A"/>
        </w:rPr>
        <w:t xml:space="preserve">4. Interfaz y herramientas académicas</w:t>
      </w:r>
    </w:p>
    <w:p>
      <w:pPr>
        <w:spacing w:after="40"/>
      </w:pPr>
      <w:r>
        <w:rPr>
          <w:color w:val="0F172A"/>
        </w:rPr>
        <w:t xml:space="preserve">5. Despliegue, entorno y documentación</w:t>
      </w:r>
    </w:p>
    <w:p>
      <w:pPr>
        <w:spacing w:after="40"/>
      </w:pPr>
      <w:r>
        <w:rPr>
          <w:color w:val="0F172A"/>
        </w:rPr>
        <w:t xml:space="preserve">6. Evaluación y resultados</w:t>
      </w:r>
    </w:p>
    <w:p>
      <w:pPr>
        <w:spacing w:after="40"/>
      </w:pPr>
      <w:r>
        <w:rPr>
          <w:color w:val="0F172A"/>
        </w:rPr>
        <w:t xml:space="preserve">7. Decisiones técnicas y restricciones</w:t>
      </w:r>
    </w:p>
    <w:p>
      <w:pPr>
        <w:spacing w:after="40"/>
      </w:pPr>
      <w:r>
        <w:rPr>
          <w:color w:val="0F172A"/>
        </w:rPr>
        <w:t xml:space="preserve">8. Conclusión</w:t>
      </w:r>
    </w:p>
    <w:p>
      <w:pPr>
        <w:spacing w:after="40"/>
      </w:pPr>
      <w:r>
        <w:rPr>
          <w:color w:val="0F172A"/>
        </w:rPr>
        <w:t xml:space="preserve">9. Referencias</w:t>
      </w:r>
    </w:p>
    <w:p>
      <w:r>
        <w:br w:type="page"/>
      </w:r>
    </w:p>
    <w:p>
      <w:pPr>
        <w:pStyle w:val="Heading1"/>
        <w:spacing w:after="120" w:before="260"/>
      </w:pPr>
      <w:r>
        <w:rPr>
          <w:b/>
          <w:bCs/>
          <w:color w:val="1E3A8A"/>
        </w:rPr>
        <w:t xml:space="preserve">1. Introducción</w:t>
      </w:r>
    </w:p>
    <w:p>
      <w:pPr>
        <w:spacing w:after="120" w:line="276"/>
        <w:jc w:val="both"/>
      </w:pPr>
      <w:r>
        <w:t xml:space="preserve">Los estudiantes de Duoc UC —en particular de las carreras de Informática, Diseño y Administración— enfrentan dos problemas cotidianos: por un lado, la información institucional (carreras, reglamentos, organización académica) está dispersa y es difícil de consultar de forma rápida y confiable; por otro, la gestión personal de tareas, pruebas, asistencia y trabajos grupales suele quedar repartida entre correos, plataformas y apuntes, lo que provoca olvidos y mala distribución del tiempo.</w:t>
      </w:r>
    </w:p>
    <w:p>
      <w:pPr>
        <w:spacing w:after="120" w:line="276"/>
        <w:jc w:val="both"/>
      </w:pPr>
      <w:r>
        <w:t xml:space="preserve">Para abordarlo se desarrolló el Asistente Organizador Académico Inteligente: un agente conversacional basado en un Modelo de Lenguaje (LLM) servido por Groq y en la técnica de Generación Aumentada por Recuperación (RAG), acompañado de un conjunto de herramientas académicas integradas en la misma interfaz. El asistente responde consultas fundamentándose en documentación real (archivos Markdown en la carpeta data/) y, cuando corresponde, en una fuente externa de búsqueda web, evitando respuestas inventadas. Las herramientas, en tanto, ayudan al estudiante a organizar su carga académica de forma visual y persistente.</w:t>
      </w:r>
    </w:p>
    <w:p>
      <w:pPr>
        <w:spacing w:after="120" w:line="276"/>
        <w:jc w:val="both"/>
      </w:pPr>
      <w:r>
        <w:t xml:space="preserve">La documentación técnica del proyecto se mantiene versionada en el repositorio Git (README.md, docs/architecture.md con el diagrama de arquitectura y .env.example), de modo que la solución sea reproducible por terceros.</w:t>
      </w:r>
    </w:p>
    <w:p>
      <w:pPr>
        <w:pStyle w:val="Heading1"/>
        <w:spacing w:after="120" w:before="260"/>
      </w:pPr>
      <w:r>
        <w:rPr>
          <w:b/>
          <w:bCs/>
          <w:color w:val="1E3A8A"/>
        </w:rPr>
        <w:t xml:space="preserve">2. Arquitectura del sistema y tecnologías</w:t>
      </w:r>
    </w:p>
    <w:p>
      <w:pPr>
        <w:spacing w:after="120" w:line="276"/>
        <w:jc w:val="both"/>
      </w:pPr>
      <w:r>
        <w:t xml:space="preserve">La solución se organiza de forma modular: la configuración central (rag/config.py) es la única fuente de verdad y lee todo desde variables de entorno, sin credenciales ni modelos escritos en el código. La siguiente tabla resume el stack:</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60"/>
      </w:tblGrid>
      <w:tr>
        <w:trPr>
          <w:tblHeader/>
        </w:trPr>
        <w:tc>
          <w:tcPr>
            <w:tcW w:type="dxa" w:w="2100"/>
            <w:shd w:fill="E8EEFB" w:color="auto" w:val="clear"/>
            <w:tcMar>
              <w:top w:type="dxa" w:w="60"/>
              <w:left w:type="dxa" w:w="100"/>
              <w:bottom w:type="dxa" w:w="60"/>
              <w:right w:type="dxa" w:w="100"/>
            </w:tcMar>
          </w:tcPr>
          <w:p>
            <w:r>
              <w:rPr>
                <w:b/>
                <w:bCs/>
                <w:color w:val="1E3A8A"/>
                <w:sz w:val="19"/>
                <w:szCs w:val="19"/>
              </w:rPr>
              <w:t xml:space="preserve">Componente</w:t>
            </w:r>
          </w:p>
        </w:tc>
        <w:tc>
          <w:tcPr>
            <w:tcW w:type="dxa" w:w="3400"/>
            <w:shd w:fill="E8EEFB" w:color="auto" w:val="clear"/>
            <w:tcMar>
              <w:top w:type="dxa" w:w="60"/>
              <w:left w:type="dxa" w:w="100"/>
              <w:bottom w:type="dxa" w:w="60"/>
              <w:right w:type="dxa" w:w="100"/>
            </w:tcMar>
          </w:tcPr>
          <w:p>
            <w:r>
              <w:rPr>
                <w:b/>
                <w:bCs/>
                <w:color w:val="1E3A8A"/>
                <w:sz w:val="19"/>
                <w:szCs w:val="19"/>
              </w:rPr>
              <w:t xml:space="preserve">Tecnología</w:t>
            </w:r>
          </w:p>
        </w:tc>
        <w:tc>
          <w:tcPr>
            <w:tcW w:type="dxa" w:w="3560"/>
            <w:shd w:fill="E8EEFB" w:color="auto" w:val="clear"/>
            <w:tcMar>
              <w:top w:type="dxa" w:w="60"/>
              <w:left w:type="dxa" w:w="100"/>
              <w:bottom w:type="dxa" w:w="60"/>
              <w:right w:type="dxa" w:w="100"/>
            </w:tcMar>
          </w:tcPr>
          <w:p>
            <w:r>
              <w:rPr>
                <w:b/>
                <w:bCs/>
                <w:color w:val="1E3A8A"/>
                <w:sz w:val="19"/>
                <w:szCs w:val="19"/>
              </w:rPr>
              <w:t xml:space="preserve">Rol</w:t>
            </w:r>
          </w:p>
        </w:tc>
      </w:tr>
      <w:tr>
        <w:tc>
          <w:tcPr>
            <w:tcW w:type="dxa" w:w="2100"/>
            <w:tcMar>
              <w:top w:type="dxa" w:w="60"/>
              <w:left w:type="dxa" w:w="100"/>
              <w:bottom w:type="dxa" w:w="60"/>
              <w:right w:type="dxa" w:w="100"/>
            </w:tcMar>
          </w:tcPr>
          <w:p>
            <w:r>
              <w:rPr>
                <w:b w:val="false"/>
                <w:bCs w:val="false"/>
                <w:color w:val="0F172A"/>
                <w:sz w:val="19"/>
                <w:szCs w:val="19"/>
              </w:rPr>
              <w:t xml:space="preserve">LLM</w:t>
            </w:r>
          </w:p>
        </w:tc>
        <w:tc>
          <w:tcPr>
            <w:tcW w:type="dxa" w:w="3400"/>
            <w:tcMar>
              <w:top w:type="dxa" w:w="60"/>
              <w:left w:type="dxa" w:w="100"/>
              <w:bottom w:type="dxa" w:w="60"/>
              <w:right w:type="dxa" w:w="100"/>
            </w:tcMar>
          </w:tcPr>
          <w:p>
            <w:r>
              <w:rPr>
                <w:b w:val="false"/>
                <w:bCs w:val="false"/>
                <w:color w:val="0F172A"/>
                <w:sz w:val="19"/>
                <w:szCs w:val="19"/>
              </w:rPr>
              <w:t xml:space="preserve">Groq (configurable vía GROQ_MODEL; actualmente groq/compound-mini)</w:t>
            </w:r>
          </w:p>
        </w:tc>
        <w:tc>
          <w:tcPr>
            <w:tcW w:type="dxa" w:w="3560"/>
            <w:tcMar>
              <w:top w:type="dxa" w:w="60"/>
              <w:left w:type="dxa" w:w="100"/>
              <w:bottom w:type="dxa" w:w="60"/>
              <w:right w:type="dxa" w:w="100"/>
            </w:tcMar>
          </w:tcPr>
          <w:p>
            <w:r>
              <w:rPr>
                <w:b w:val="false"/>
                <w:bCs w:val="false"/>
                <w:color w:val="0F172A"/>
                <w:sz w:val="19"/>
                <w:szCs w:val="19"/>
              </w:rPr>
              <w:t xml:space="preserve">Genera las respuestas; compound-mini además realiza búsqueda web propia y no expone cadena de razonamiento.</w:t>
            </w:r>
          </w:p>
        </w:tc>
      </w:tr>
      <w:tr>
        <w:tc>
          <w:tcPr>
            <w:tcW w:type="dxa" w:w="2100"/>
            <w:tcMar>
              <w:top w:type="dxa" w:w="60"/>
              <w:left w:type="dxa" w:w="100"/>
              <w:bottom w:type="dxa" w:w="60"/>
              <w:right w:type="dxa" w:w="100"/>
            </w:tcMar>
          </w:tcPr>
          <w:p>
            <w:r>
              <w:rPr>
                <w:b w:val="false"/>
                <w:bCs w:val="false"/>
                <w:color w:val="0F172A"/>
                <w:sz w:val="19"/>
                <w:szCs w:val="19"/>
              </w:rPr>
              <w:t xml:space="preserve">Embeddings</w:t>
            </w:r>
          </w:p>
        </w:tc>
        <w:tc>
          <w:tcPr>
            <w:tcW w:type="dxa" w:w="3400"/>
            <w:tcMar>
              <w:top w:type="dxa" w:w="60"/>
              <w:left w:type="dxa" w:w="100"/>
              <w:bottom w:type="dxa" w:w="60"/>
              <w:right w:type="dxa" w:w="100"/>
            </w:tcMar>
          </w:tcPr>
          <w:p>
            <w:r>
              <w:rPr>
                <w:b w:val="false"/>
                <w:bCs w:val="false"/>
                <w:color w:val="0F172A"/>
                <w:sz w:val="19"/>
                <w:szCs w:val="19"/>
              </w:rPr>
              <w:t xml:space="preserve">intfloat/multilingual-e5-small (local, 384 dims)</w:t>
            </w:r>
          </w:p>
        </w:tc>
        <w:tc>
          <w:tcPr>
            <w:tcW w:type="dxa" w:w="3560"/>
            <w:tcMar>
              <w:top w:type="dxa" w:w="60"/>
              <w:left w:type="dxa" w:w="100"/>
              <w:bottom w:type="dxa" w:w="60"/>
              <w:right w:type="dxa" w:w="100"/>
            </w:tcMar>
          </w:tcPr>
          <w:p>
            <w:r>
              <w:rPr>
                <w:b w:val="false"/>
                <w:bCs w:val="false"/>
                <w:color w:val="0F172A"/>
                <w:sz w:val="19"/>
                <w:szCs w:val="19"/>
              </w:rPr>
              <w:t xml:space="preserve">Vectoriza documentos y consultas sin API externa ni costo por token; multilingüe para el corpus en español.</w:t>
            </w:r>
          </w:p>
        </w:tc>
      </w:tr>
      <w:tr>
        <w:tc>
          <w:tcPr>
            <w:tcW w:type="dxa" w:w="2100"/>
            <w:tcMar>
              <w:top w:type="dxa" w:w="60"/>
              <w:left w:type="dxa" w:w="100"/>
              <w:bottom w:type="dxa" w:w="60"/>
              <w:right w:type="dxa" w:w="100"/>
            </w:tcMar>
          </w:tcPr>
          <w:p>
            <w:r>
              <w:rPr>
                <w:b w:val="false"/>
                <w:bCs w:val="false"/>
                <w:color w:val="0F172A"/>
                <w:sz w:val="19"/>
                <w:szCs w:val="19"/>
              </w:rPr>
              <w:t xml:space="preserve">Base vectorial</w:t>
            </w:r>
          </w:p>
        </w:tc>
        <w:tc>
          <w:tcPr>
            <w:tcW w:type="dxa" w:w="3400"/>
            <w:tcMar>
              <w:top w:type="dxa" w:w="60"/>
              <w:left w:type="dxa" w:w="100"/>
              <w:bottom w:type="dxa" w:w="60"/>
              <w:right w:type="dxa" w:w="100"/>
            </w:tcMar>
          </w:tcPr>
          <w:p>
            <w:r>
              <w:rPr>
                <w:b w:val="false"/>
                <w:bCs w:val="false"/>
                <w:color w:val="0F172A"/>
                <w:sz w:val="19"/>
                <w:szCs w:val="19"/>
              </w:rPr>
              <w:t xml:space="preserve">MongoDB Atlas Vector Search</w:t>
            </w:r>
          </w:p>
        </w:tc>
        <w:tc>
          <w:tcPr>
            <w:tcW w:type="dxa" w:w="3560"/>
            <w:tcMar>
              <w:top w:type="dxa" w:w="60"/>
              <w:left w:type="dxa" w:w="100"/>
              <w:bottom w:type="dxa" w:w="60"/>
              <w:right w:type="dxa" w:w="100"/>
            </w:tcMar>
          </w:tcPr>
          <w:p>
            <w:r>
              <w:rPr>
                <w:b w:val="false"/>
                <w:bCs w:val="false"/>
                <w:color w:val="0F172A"/>
                <w:sz w:val="19"/>
                <w:szCs w:val="19"/>
              </w:rPr>
              <w:t xml:space="preserve">Almacena e indexa los embeddings; búsqueda semántica con $vectorSearch.</w:t>
            </w:r>
          </w:p>
        </w:tc>
      </w:tr>
      <w:tr>
        <w:tc>
          <w:tcPr>
            <w:tcW w:type="dxa" w:w="2100"/>
            <w:tcMar>
              <w:top w:type="dxa" w:w="60"/>
              <w:left w:type="dxa" w:w="100"/>
              <w:bottom w:type="dxa" w:w="60"/>
              <w:right w:type="dxa" w:w="100"/>
            </w:tcMar>
          </w:tcPr>
          <w:p>
            <w:r>
              <w:rPr>
                <w:b w:val="false"/>
                <w:bCs w:val="false"/>
                <w:color w:val="0F172A"/>
                <w:sz w:val="19"/>
                <w:szCs w:val="19"/>
              </w:rPr>
              <w:t xml:space="preserve">Interfaz</w:t>
            </w:r>
          </w:p>
        </w:tc>
        <w:tc>
          <w:tcPr>
            <w:tcW w:type="dxa" w:w="3400"/>
            <w:tcMar>
              <w:top w:type="dxa" w:w="60"/>
              <w:left w:type="dxa" w:w="100"/>
              <w:bottom w:type="dxa" w:w="60"/>
              <w:right w:type="dxa" w:w="100"/>
            </w:tcMar>
          </w:tcPr>
          <w:p>
            <w:r>
              <w:rPr>
                <w:b w:val="false"/>
                <w:bCs w:val="false"/>
                <w:color w:val="0F172A"/>
                <w:sz w:val="19"/>
                <w:szCs w:val="19"/>
              </w:rPr>
              <w:t xml:space="preserve">Streamlit + componente HTML/JS</w:t>
            </w:r>
          </w:p>
        </w:tc>
        <w:tc>
          <w:tcPr>
            <w:tcW w:type="dxa" w:w="3560"/>
            <w:tcMar>
              <w:top w:type="dxa" w:w="60"/>
              <w:left w:type="dxa" w:w="100"/>
              <w:bottom w:type="dxa" w:w="60"/>
              <w:right w:type="dxa" w:w="100"/>
            </w:tcMar>
          </w:tcPr>
          <w:p>
            <w:r>
              <w:rPr>
                <w:b w:val="false"/>
                <w:bCs w:val="false"/>
                <w:color w:val="0F172A"/>
                <w:sz w:val="19"/>
                <w:szCs w:val="19"/>
              </w:rPr>
              <w:t xml:space="preserve">Chat conversacional y panel de herramientas académicas.</w:t>
            </w:r>
          </w:p>
        </w:tc>
      </w:tr>
      <w:tr>
        <w:tc>
          <w:tcPr>
            <w:tcW w:type="dxa" w:w="2100"/>
            <w:tcMar>
              <w:top w:type="dxa" w:w="60"/>
              <w:left w:type="dxa" w:w="100"/>
              <w:bottom w:type="dxa" w:w="60"/>
              <w:right w:type="dxa" w:w="100"/>
            </w:tcMar>
          </w:tcPr>
          <w:p>
            <w:r>
              <w:rPr>
                <w:b w:val="false"/>
                <w:bCs w:val="false"/>
                <w:color w:val="0F172A"/>
                <w:sz w:val="19"/>
                <w:szCs w:val="19"/>
              </w:rPr>
              <w:t xml:space="preserve">Evaluación</w:t>
            </w:r>
          </w:p>
        </w:tc>
        <w:tc>
          <w:tcPr>
            <w:tcW w:type="dxa" w:w="3400"/>
            <w:tcMar>
              <w:top w:type="dxa" w:w="60"/>
              <w:left w:type="dxa" w:w="100"/>
              <w:bottom w:type="dxa" w:w="60"/>
              <w:right w:type="dxa" w:w="100"/>
            </w:tcMar>
          </w:tcPr>
          <w:p>
            <w:r>
              <w:rPr>
                <w:b w:val="false"/>
                <w:bCs w:val="false"/>
                <w:color w:val="0F172A"/>
                <w:sz w:val="19"/>
                <w:szCs w:val="19"/>
              </w:rPr>
              <w:t xml:space="preserve">RAGAS (con fallback léxico)</w:t>
            </w:r>
          </w:p>
        </w:tc>
        <w:tc>
          <w:tcPr>
            <w:tcW w:type="dxa" w:w="3560"/>
            <w:tcMar>
              <w:top w:type="dxa" w:w="60"/>
              <w:left w:type="dxa" w:w="100"/>
              <w:bottom w:type="dxa" w:w="60"/>
              <w:right w:type="dxa" w:w="100"/>
            </w:tcMar>
          </w:tcPr>
          <w:p>
            <w:r>
              <w:rPr>
                <w:b w:val="false"/>
                <w:bCs w:val="false"/>
                <w:color w:val="0F172A"/>
                <w:sz w:val="19"/>
                <w:szCs w:val="19"/>
              </w:rPr>
              <w:t xml:space="preserve">Mide fidelidad, relevancia y recuperación del pipeline.</w:t>
            </w:r>
          </w:p>
        </w:tc>
      </w:tr>
      <w:tr>
        <w:tc>
          <w:tcPr>
            <w:tcW w:type="dxa" w:w="2100"/>
            <w:tcMar>
              <w:top w:type="dxa" w:w="60"/>
              <w:left w:type="dxa" w:w="100"/>
              <w:bottom w:type="dxa" w:w="60"/>
              <w:right w:type="dxa" w:w="100"/>
            </w:tcMar>
          </w:tcPr>
          <w:p>
            <w:r>
              <w:rPr>
                <w:b w:val="false"/>
                <w:bCs w:val="false"/>
                <w:color w:val="0F172A"/>
                <w:sz w:val="19"/>
                <w:szCs w:val="19"/>
              </w:rPr>
              <w:t xml:space="preserve">Despliegue</w:t>
            </w:r>
          </w:p>
        </w:tc>
        <w:tc>
          <w:tcPr>
            <w:tcW w:type="dxa" w:w="3400"/>
            <w:tcMar>
              <w:top w:type="dxa" w:w="60"/>
              <w:left w:type="dxa" w:w="100"/>
              <w:bottom w:type="dxa" w:w="60"/>
              <w:right w:type="dxa" w:w="100"/>
            </w:tcMar>
          </w:tcPr>
          <w:p>
            <w:r>
              <w:rPr>
                <w:b w:val="false"/>
                <w:bCs w:val="false"/>
                <w:color w:val="0F172A"/>
                <w:sz w:val="19"/>
                <w:szCs w:val="19"/>
              </w:rPr>
              <w:t xml:space="preserve">Docker + Docker Compose</w:t>
            </w:r>
          </w:p>
        </w:tc>
        <w:tc>
          <w:tcPr>
            <w:tcW w:type="dxa" w:w="3560"/>
            <w:tcMar>
              <w:top w:type="dxa" w:w="60"/>
              <w:left w:type="dxa" w:w="100"/>
              <w:bottom w:type="dxa" w:w="60"/>
              <w:right w:type="dxa" w:w="100"/>
            </w:tcMar>
          </w:tcPr>
          <w:p>
            <w:r>
              <w:rPr>
                <w:b w:val="false"/>
                <w:bCs w:val="false"/>
                <w:color w:val="0F172A"/>
                <w:sz w:val="19"/>
                <w:szCs w:val="19"/>
              </w:rPr>
              <w:t xml:space="preserve">Empaqueta el entorno para ejecución reproducible.</w:t>
            </w:r>
          </w:p>
        </w:tc>
      </w:tr>
      <w:tr>
        <w:tc>
          <w:tcPr>
            <w:tcW w:type="dxa" w:w="2100"/>
            <w:tcMar>
              <w:top w:type="dxa" w:w="60"/>
              <w:left w:type="dxa" w:w="100"/>
              <w:bottom w:type="dxa" w:w="60"/>
              <w:right w:type="dxa" w:w="100"/>
            </w:tcMar>
          </w:tcPr>
          <w:p>
            <w:r>
              <w:rPr>
                <w:b w:val="false"/>
                <w:bCs w:val="false"/>
                <w:color w:val="0F172A"/>
                <w:sz w:val="19"/>
                <w:szCs w:val="19"/>
              </w:rPr>
              <w:t xml:space="preserve">CI/CD</w:t>
            </w:r>
          </w:p>
        </w:tc>
        <w:tc>
          <w:tcPr>
            <w:tcW w:type="dxa" w:w="3400"/>
            <w:tcMar>
              <w:top w:type="dxa" w:w="60"/>
              <w:left w:type="dxa" w:w="100"/>
              <w:bottom w:type="dxa" w:w="60"/>
              <w:right w:type="dxa" w:w="100"/>
            </w:tcMar>
          </w:tcPr>
          <w:p>
            <w:r>
              <w:rPr>
                <w:b w:val="false"/>
                <w:bCs w:val="false"/>
                <w:color w:val="0F172A"/>
                <w:sz w:val="19"/>
                <w:szCs w:val="19"/>
              </w:rPr>
              <w:t xml:space="preserve">GitHub Actions</w:t>
            </w:r>
          </w:p>
        </w:tc>
        <w:tc>
          <w:tcPr>
            <w:tcW w:type="dxa" w:w="3560"/>
            <w:tcMar>
              <w:top w:type="dxa" w:w="60"/>
              <w:left w:type="dxa" w:w="100"/>
              <w:bottom w:type="dxa" w:w="60"/>
              <w:right w:type="dxa" w:w="100"/>
            </w:tcMar>
          </w:tcPr>
          <w:p>
            <w:r>
              <w:rPr>
                <w:b w:val="false"/>
                <w:bCs w:val="false"/>
                <w:color w:val="0F172A"/>
                <w:sz w:val="19"/>
                <w:szCs w:val="19"/>
              </w:rPr>
              <w:t xml:space="preserve">Valida lint, imports y build en cada push/PR.</w:t>
            </w:r>
          </w:p>
        </w:tc>
      </w:tr>
    </w:tbl>
    <w:p>
      <w:pPr>
        <w:spacing w:after="120" w:line="276"/>
        <w:jc w:val="both"/>
      </w:pPr>
      <w:r>
        <w:t xml:space="preserve">Los módulos principales son: vectorstore.py (conexión y $vectorSearch), embeddings.py (modelo local E5 con prefijos query:/passage:), retriever.py (recuperación de contexto), generator.py (integración con Groq, historial y fuentes), prompts.py (instrucciones del sistema) y config.py (parámetros).</w:t>
      </w:r>
    </w:p>
    <w:p>
      <w:pPr>
        <w:pStyle w:val="Heading1"/>
        <w:spacing w:after="120" w:before="260"/>
      </w:pPr>
      <w:r>
        <w:rPr>
          <w:b/>
          <w:bCs/>
          <w:color w:val="1E3A8A"/>
        </w:rPr>
        <w:t xml:space="preserve">3. Flujo de datos y pipeline RAG</w:t>
      </w:r>
    </w:p>
    <w:p>
      <w:pPr>
        <w:spacing w:after="120" w:line="276"/>
        <w:jc w:val="both"/>
      </w:pPr>
      <w:r>
        <w:t xml:space="preserve">El pipeline sigue dos fases. En la ingesta, los documentos Markdown de data/ se dividen en fragmentos (chunking con solapamiento), se transforman en embeddings locales y se almacenan en la colección chunks de MongoDB Atlas; el índice vectorial se crea con scripts/create_index.py con las dimensiones que declara la configuración.</w:t>
      </w:r>
    </w:p>
    <w:p>
      <w:pPr>
        <w:spacing w:after="120" w:line="276"/>
        <w:jc w:val="both"/>
      </w:pPr>
      <w:r>
        <w:t xml:space="preserve">En la consulta, generator.py construye una consulta sensible al hilo (incorpora el historial reciente), recupera los fragmentos internos más relevantes por similitud y los complementa con una fuente externa de búsqueda web (external.py), etiquetando el origen de cada fragmento —[Interna] o [Externa]— para trazabilidad. El prompt del sistema (prompts.py) acota el dominio a Duoc UC y sus carreras, prioriza las fuentes internas, exige citar el origen y prohíbe inventar. Finalmente el LLM genera la respuesta considerando el contexto y el historial de la conversación.</w:t>
      </w:r>
    </w:p>
    <w:p>
      <w:pPr>
        <w:pStyle w:val="Heading2"/>
        <w:spacing w:after="80" w:before="180"/>
      </w:pPr>
      <w:r>
        <w:rPr>
          <w:b/>
          <w:bCs/>
          <w:color w:val="2563EB"/>
        </w:rPr>
        <w:t xml:space="preserve">Gestión de contexto e ingeniería de prompts</w:t>
      </w:r>
    </w:p>
    <w:p>
      <w:pPr>
        <w:spacing w:after="120" w:line="276"/>
        <w:jc w:val="both"/>
      </w:pPr>
      <w:r>
        <w:t xml:space="preserve">La gestión del contexto conversacional se implementa enviando al modelo una ventana acotada del historial de la sesión, lo que permite resolver referencias entre turnos ("eso", "lo anterior"). El prompt está diseñado para ser conciso, mantener el idioma español, un tono cercano y reencauzar consultas fuera del ámbito académico. El diagrama completo del flujo se encuentra en docs/architecture.md del repositorio.</w:t>
      </w:r>
    </w:p>
    <w:p>
      <w:pPr>
        <w:pStyle w:val="Heading1"/>
        <w:spacing w:after="120" w:before="260"/>
      </w:pPr>
      <w:r>
        <w:rPr>
          <w:b/>
          <w:bCs/>
          <w:color w:val="1E3A8A"/>
        </w:rPr>
        <w:t xml:space="preserve">4. Interfaz y herramientas académicas</w:t>
      </w:r>
    </w:p>
    <w:p>
      <w:pPr>
        <w:spacing w:after="120" w:line="276"/>
        <w:jc w:val="both"/>
      </w:pPr>
      <w:r>
        <w:t xml:space="preserve">La interfaz, construida en Streamlit, adopta una distribución tipo dashboard con paleta de seis colores armónicos (azul, índigo, teal, violeta, ámbar y rosa) y transiciones limpias. El chat conversacional ocupa el centro y las herramientas se distribuyen alrededor de él en paneles, en lugar de esconderse en una pestaña aparte. Las herramientas se implementaron como un componente HTML/JS embebido que persiste su estado en el navegador (localStorage), logrando interactividad fluida —arrastrar, temporizadores, tableros— que Streamlit por sí solo no ofrece.</w:t>
      </w:r>
    </w:p>
    <w:p>
      <w:pPr>
        <w:pStyle w:val="Heading2"/>
        <w:spacing w:after="80" w:before="180"/>
      </w:pPr>
      <w:r>
        <w:rPr>
          <w:b/>
          <w:bCs/>
          <w:color w:val="2563EB"/>
        </w:rPr>
        <w:t xml:space="preserve">Herramientas incluidas</w:t>
      </w:r>
    </w:p>
    <w:p>
      <w:pPr>
        <w:pStyle w:val="ListParagraph"/>
        <w:numPr>
          <w:ilvl w:val="0"/>
          <w:numId w:val="2"/>
        </w:numPr>
        <w:spacing w:after="60"/>
      </w:pPr>
      <w:r>
        <w:rPr>
          <w:b/>
          <w:bCs/>
        </w:rPr>
        <w:t xml:space="preserve">Clases del día</w:t>
      </w:r>
      <w:r>
        <w:t xml:space="preserve">: horario semanal editable y listado de próximas pruebas con cuenta regresiva.</w:t>
      </w:r>
    </w:p>
    <w:p>
      <w:pPr>
        <w:pStyle w:val="ListParagraph"/>
        <w:numPr>
          <w:ilvl w:val="0"/>
          <w:numId w:val="2"/>
        </w:numPr>
        <w:spacing w:after="60"/>
      </w:pPr>
      <w:r>
        <w:rPr>
          <w:b/>
          <w:bCs/>
        </w:rPr>
        <w:t xml:space="preserve">Calendario</w:t>
      </w:r>
      <w:r>
        <w:t xml:space="preserve"> responsivo del mes, que resalta el día actual y marca los días con evaluación.</w:t>
      </w:r>
    </w:p>
    <w:p>
      <w:pPr>
        <w:pStyle w:val="ListParagraph"/>
        <w:numPr>
          <w:ilvl w:val="0"/>
          <w:numId w:val="2"/>
        </w:numPr>
        <w:spacing w:after="60"/>
      </w:pPr>
      <w:r>
        <w:rPr>
          <w:b/>
          <w:bCs/>
        </w:rPr>
        <w:t xml:space="preserve">Calculadora de calificaciones y ponderaciones</w:t>
      </w:r>
      <w:r>
        <w:t xml:space="preserve">: promedio ponderado en escala 1–7 e indicación de la nota necesaria para aprobar.</w:t>
      </w:r>
    </w:p>
    <w:p>
      <w:pPr>
        <w:pStyle w:val="ListParagraph"/>
        <w:numPr>
          <w:ilvl w:val="0"/>
          <w:numId w:val="2"/>
        </w:numPr>
        <w:spacing w:after="60"/>
      </w:pPr>
      <w:r>
        <w:rPr>
          <w:b/>
          <w:bCs/>
        </w:rPr>
        <w:t xml:space="preserve">Control de asistencia y margen de faltas</w:t>
      </w:r>
      <w:r>
        <w:t xml:space="preserve">: porcentaje de asistencia por ramo y cuántas inasistencias restan antes de bajar del mínimo exigido.</w:t>
      </w:r>
    </w:p>
    <w:p>
      <w:pPr>
        <w:pStyle w:val="ListParagraph"/>
        <w:numPr>
          <w:ilvl w:val="0"/>
          <w:numId w:val="2"/>
        </w:numPr>
        <w:spacing w:after="60"/>
      </w:pPr>
      <w:r>
        <w:rPr>
          <w:b/>
          <w:bCs/>
        </w:rPr>
        <w:t xml:space="preserve">Temporizador Pomodoro</w:t>
      </w:r>
      <w:r>
        <w:t xml:space="preserve"> con anillo de progreso, ciclos y modo enfoque para bloques de estudio.</w:t>
      </w:r>
    </w:p>
    <w:p>
      <w:pPr>
        <w:pStyle w:val="ListParagraph"/>
        <w:numPr>
          <w:ilvl w:val="0"/>
          <w:numId w:val="2"/>
        </w:numPr>
        <w:spacing w:after="60"/>
      </w:pPr>
      <w:r>
        <w:rPr>
          <w:b/>
          <w:bCs/>
        </w:rPr>
        <w:t xml:space="preserve">Adjuntar PDF → resumen</w:t>
      </w:r>
      <w:r>
        <w:t xml:space="preserve">: carga de un PDF, extracción de su texto y generación de puntos clave y términos frecuentes.</w:t>
      </w:r>
    </w:p>
    <w:p>
      <w:pPr>
        <w:pStyle w:val="ListParagraph"/>
        <w:numPr>
          <w:ilvl w:val="0"/>
          <w:numId w:val="2"/>
        </w:numPr>
        <w:spacing w:after="60"/>
      </w:pPr>
      <w:r>
        <w:rPr>
          <w:b/>
          <w:bCs/>
        </w:rPr>
        <w:t xml:space="preserve">Notas adhesivas</w:t>
      </w:r>
      <w:r>
        <w:t xml:space="preserve"> arrastrables por el tablero, para apuntes rápidos.</w:t>
      </w:r>
    </w:p>
    <w:p>
      <w:pPr>
        <w:pStyle w:val="ListParagraph"/>
        <w:numPr>
          <w:ilvl w:val="0"/>
          <w:numId w:val="2"/>
        </w:numPr>
        <w:spacing w:after="60"/>
      </w:pPr>
      <w:r>
        <w:rPr>
          <w:b/>
          <w:bCs/>
        </w:rPr>
        <w:t xml:space="preserve">Gestor de trabajos grupales</w:t>
      </w:r>
      <w:r>
        <w:t xml:space="preserve"> estilo tablero Kanban (columnas Por hacer / En progreso / Hecho) con tarjetas que se arrastran entre estados, cada una con ramo y responsable.</w:t>
      </w:r>
    </w:p>
    <w:p>
      <w:pPr>
        <w:spacing w:after="120" w:line="276"/>
        <w:jc w:val="both"/>
      </w:pPr>
      <w:r>
        <w:t xml:space="preserve">En conjunto, estas herramientas transforman el asistente de un simple chatbot de consultas en un organizador académico integral, alineado con el propósito original del proyecto: convertir una lista de pendientes en un plan de trabajo ordenado.</w:t>
      </w:r>
    </w:p>
    <w:p>
      <w:pPr>
        <w:pStyle w:val="Heading1"/>
        <w:spacing w:after="120" w:before="260"/>
      </w:pPr>
      <w:r>
        <w:rPr>
          <w:b/>
          <w:bCs/>
          <w:color w:val="1E3A8A"/>
        </w:rPr>
        <w:t xml:space="preserve">5. Despliegue, entorno y documentación</w:t>
      </w:r>
    </w:p>
    <w:p>
      <w:pPr>
        <w:spacing w:after="120" w:line="276"/>
        <w:jc w:val="both"/>
      </w:pPr>
      <w:r>
        <w:t xml:space="preserve">El proyecto se empaqueta con Docker y se levanta con un solo comando (docker compose up --build). El Dockerfile pre-descarga el modelo de embeddings durante la construcción para que el arranque no dependa de la red, corre como usuario no root y expone un healthcheck. El archivo .dockerignore evita filtrar credenciales (.env) e inflar la imagen. La configuración soporta tres ambientes (dev, qa, main) mapeados a bases de datos separadas dentro del mismo clúster de Atlas.</w:t>
      </w:r>
    </w:p>
    <w:p>
      <w:pPr>
        <w:spacing w:after="120" w:line="276"/>
        <w:jc w:val="both"/>
      </w:pPr>
      <w:r>
        <w:t xml:space="preserve">La documentación queda lista y versionada en Git: README.md (stack, puesta en marcha y guía de Docker), docs/architecture.md (diagrama de flujo en Mermaid y tabla de decisiones), y .env.example (plantilla de variables de entorno). Las credenciales nunca se versionan: en local se usan mediante .env (ignorado por Git) y en CI/CD como GitHub Secrets.</w:t>
      </w:r>
    </w:p>
    <w:p>
      <w:pPr>
        <w:pStyle w:val="Heading1"/>
        <w:spacing w:after="120" w:before="260"/>
      </w:pPr>
      <w:r>
        <w:rPr>
          <w:b/>
          <w:bCs/>
          <w:color w:val="1E3A8A"/>
        </w:rPr>
        <w:t xml:space="preserve">6. Evaluación y resultados</w:t>
      </w:r>
    </w:p>
    <w:p>
      <w:pPr>
        <w:spacing w:after="120" w:line="276"/>
        <w:jc w:val="both"/>
      </w:pPr>
      <w:r>
        <w:t xml:space="preserve">La calidad del pipeline se evalúa con evaluation/run_eval.py sobre el conjunto evaluation/dataset.json, que contiene preguntas y respuestas de referencia (ground truth). Se emplea RAGAS con el LLM de Groq como juez y los embeddings locales, midiendo fidelidad (que la respuesta se sustente en el contexto), relevancia y recuperación del contexto. Como RAGAS asume por defecto proveedores externos, se le inyectan ambos clientes; si su instalación o versión falla, el script recae en un conjunto de métricas léxicas propias, de modo que la evaluación siempre entrega un resultado. El criterio central es minimizar las alucinaciones: que el sistema no invente reglamentos ni asignaturas inexistentes.</w:t>
      </w:r>
    </w:p>
    <w:p>
      <w:pPr>
        <w:pStyle w:val="Heading1"/>
        <w:spacing w:after="120" w:before="260"/>
      </w:pPr>
      <w:r>
        <w:rPr>
          <w:b/>
          <w:bCs/>
          <w:color w:val="1E3A8A"/>
        </w:rPr>
        <w:t xml:space="preserve">7. Decisiones técnicas y restricciones</w:t>
      </w:r>
    </w:p>
    <w:p>
      <w:pPr>
        <w:pStyle w:val="ListParagraph"/>
        <w:numPr>
          <w:ilvl w:val="0"/>
          <w:numId w:val="2"/>
        </w:numPr>
        <w:spacing w:after="60"/>
      </w:pPr>
      <w:r>
        <w:rPr>
          <w:b/>
          <w:bCs/>
        </w:rPr>
        <w:t xml:space="preserve">Elección del modelo</w:t>
      </w:r>
      <w:r>
        <w:t xml:space="preserve">: se descartaron los modelos de razonamiento de la familia qwen3 porque, en el nivel gratuito de Groq, consumían el presupuesto de tokens de salida "pensando" y truncaban la respuesta final; se optó por un modelo no-razonador (groq/compound-mini), que responde de forma limpia y además incorpora búsqueda web.</w:t>
      </w:r>
    </w:p>
    <w:p>
      <w:pPr>
        <w:pStyle w:val="ListParagraph"/>
        <w:numPr>
          <w:ilvl w:val="0"/>
          <w:numId w:val="2"/>
        </w:numPr>
        <w:spacing w:after="60"/>
      </w:pPr>
      <w:r>
        <w:rPr>
          <w:b/>
          <w:bCs/>
        </w:rPr>
        <w:t xml:space="preserve">Embeddings locales</w:t>
      </w:r>
      <w:r>
        <w:t xml:space="preserve">: Groq no ofrece un servicio de embeddings, por lo que se resolvió con un modelo local (E5 multilingüe), lo que elimina el costo por token de vectorización y una dependencia externa, a cambio de un mayor tamaño de imagen.</w:t>
      </w:r>
    </w:p>
    <w:p>
      <w:pPr>
        <w:pStyle w:val="ListParagraph"/>
        <w:numPr>
          <w:ilvl w:val="0"/>
          <w:numId w:val="2"/>
        </w:numPr>
        <w:spacing w:after="60"/>
      </w:pPr>
      <w:r>
        <w:rPr>
          <w:b/>
          <w:bCs/>
        </w:rPr>
        <w:t xml:space="preserve">Restricciones del nivel gratuito</w:t>
      </w:r>
      <w:r>
        <w:t xml:space="preserve">: existen límites de tokens por minuto; el parámetro de tokens máximos se ajustó para respetarlos.</w:t>
      </w:r>
    </w:p>
    <w:p>
      <w:pPr>
        <w:pStyle w:val="ListParagraph"/>
        <w:numPr>
          <w:ilvl w:val="0"/>
          <w:numId w:val="2"/>
        </w:numPr>
        <w:spacing w:after="60"/>
      </w:pPr>
      <w:r>
        <w:rPr>
          <w:b/>
          <w:bCs/>
        </w:rPr>
        <w:t xml:space="preserve">Fuente interna opcional</w:t>
      </w:r>
      <w:r>
        <w:t xml:space="preserve">: el asistente puede responder apoyándose en la búsqueda web aunque no se haya ingestado material interno; la persistencia en MongoDB es best-effort, de modo que una caída de la base no interrumpe la conversación.</w:t>
      </w:r>
    </w:p>
    <w:p>
      <w:pPr>
        <w:pStyle w:val="ListParagraph"/>
        <w:numPr>
          <w:ilvl w:val="0"/>
          <w:numId w:val="2"/>
        </w:numPr>
        <w:spacing w:after="60"/>
      </w:pPr>
      <w:r>
        <w:rPr>
          <w:b/>
          <w:bCs/>
        </w:rPr>
        <w:t xml:space="preserve">Trazabilidad y seguridad</w:t>
      </w:r>
      <w:r>
        <w:t xml:space="preserve">: cada respuesta declara sus fuentes (internas/externas); las credenciales se gestionan por variables de entorno y GitHub Secrets, nunca en el código.</w:t>
      </w:r>
    </w:p>
    <w:p>
      <w:pPr>
        <w:pStyle w:val="Heading1"/>
        <w:spacing w:after="120" w:before="260"/>
      </w:pPr>
      <w:r>
        <w:rPr>
          <w:b/>
          <w:bCs/>
          <w:color w:val="1E3A8A"/>
        </w:rPr>
        <w:t xml:space="preserve">8. Conclusión</w:t>
      </w:r>
    </w:p>
    <w:p>
      <w:pPr>
        <w:spacing w:after="120" w:line="276"/>
        <w:jc w:val="both"/>
      </w:pPr>
      <w:r>
        <w:t xml:space="preserve">El Asistente Organizador Académico Inteligente demuestra cómo una arquitectura RAG, combinada con un conjunto de herramientas de organización, puede resolver dos necesidades reales del estudiante: acceder a información institucional confiable y gestionar su carga académica. Acotar el conocimiento del LLM a fuentes verificables —internas y externas, con trazabilidad— reduce la desinformación, mientras que las herramientas integradas aportan valor práctico y diario. La estructura modular, la contenerización con Docker, la integración continua y la documentación versionada hacen de la solución algo reproducible, mantenible y listo para evolucionar (por ejemplo, incorporando transcripción de audio con Whisper de Groq).</w:t>
      </w:r>
    </w:p>
    <w:p>
      <w:pPr>
        <w:pStyle w:val="Heading1"/>
        <w:spacing w:after="120" w:before="260"/>
      </w:pPr>
      <w:r>
        <w:rPr>
          <w:b/>
          <w:bCs/>
          <w:color w:val="1E3A8A"/>
        </w:rPr>
        <w:t xml:space="preserve">9. Referencias</w:t>
      </w:r>
    </w:p>
    <w:p>
      <w:pPr>
        <w:spacing w:after="120" w:line="276"/>
        <w:jc w:val="both"/>
      </w:pPr>
      <w:r>
        <w:rPr>
          <w:sz w:val="20"/>
          <w:szCs w:val="20"/>
        </w:rPr>
        <w:t xml:space="preserve">Duoc UC. (s. f.). Oferta académica. https://www.duoc.cl/oferta-academica/carreras/</w:t>
      </w:r>
    </w:p>
    <w:p>
      <w:pPr>
        <w:spacing w:after="120" w:line="276"/>
        <w:jc w:val="both"/>
      </w:pPr>
      <w:r>
        <w:rPr>
          <w:sz w:val="20"/>
          <w:szCs w:val="20"/>
        </w:rPr>
        <w:t xml:space="preserve">Es, S., James, J., Espinosa-Anke, L., &amp; Schockaert, S. (2023). RAGAS: Automated evaluation of retrieval augmented generation. arXiv:2309.15217.</w:t>
      </w:r>
    </w:p>
    <w:p>
      <w:pPr>
        <w:spacing w:after="120" w:line="276"/>
        <w:jc w:val="both"/>
      </w:pPr>
      <w:r>
        <w:rPr>
          <w:sz w:val="20"/>
          <w:szCs w:val="20"/>
        </w:rPr>
        <w:t xml:space="preserve">Groq. (s. f.). Supported models — GroqCloud documentation. https://console.groq.com/docs/models</w:t>
      </w:r>
    </w:p>
    <w:p>
      <w:pPr>
        <w:spacing w:after="120" w:line="276"/>
        <w:jc w:val="both"/>
      </w:pPr>
      <w:r>
        <w:rPr>
          <w:sz w:val="20"/>
          <w:szCs w:val="20"/>
        </w:rPr>
        <w:t xml:space="preserve">Lewis, P., Perez, E., Piktus, A., et al. (2020). Retrieval-augmented generation for knowledge-intensive NLP tasks. Advances in Neural Information Processing Systems, 33.</w:t>
      </w:r>
    </w:p>
    <w:p>
      <w:pPr>
        <w:spacing w:after="120" w:line="276"/>
        <w:jc w:val="both"/>
      </w:pPr>
      <w:r>
        <w:rPr>
          <w:sz w:val="20"/>
          <w:szCs w:val="20"/>
        </w:rPr>
        <w:t xml:space="preserve">MongoDB. (s. f.). Atlas Vector Search. https://www.mongodb.com/products/platform/atlas-vector-search</w:t>
      </w:r>
    </w:p>
    <w:p>
      <w:pPr>
        <w:spacing w:after="120" w:line="276"/>
        <w:jc w:val="both"/>
      </w:pPr>
      <w:r>
        <w:rPr>
          <w:sz w:val="20"/>
          <w:szCs w:val="20"/>
        </w:rPr>
        <w:t xml:space="preserve">Streamlit. (s. f.). Streamlit documentation. https://docs.streamlit.io</w:t>
      </w:r>
    </w:p>
    <w:p>
      <w:pPr>
        <w:spacing w:after="120" w:line="276"/>
        <w:jc w:val="both"/>
      </w:pPr>
      <w:r>
        <w:rPr>
          <w:sz w:val="20"/>
          <w:szCs w:val="20"/>
        </w:rPr>
        <w:t xml:space="preserve">Wang, L., Yang, N., Huang, X., et al. (2024). Multilingual E5 text embeddings: A technical report. arXiv:2402.05672.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2026-09-11T00:22:33.576Z</dcterms:created>
  <dcterms:modified xsi:type="dcterms:W3CDTF">2026-09-11T00:22:33.589Z</dcterms:modified>
</cp:coreProperties>
</file>

<file path=docProps/custom.xml><?xml version="1.0" encoding="utf-8"?>
<Properties xmlns="http://schemas.openxmlformats.org/officeDocument/2006/custom-properties" xmlns:vt="http://schemas.openxmlformats.org/officeDocument/2006/docPropsVTypes"/>
</file>