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research-ready-business-model-canvas"/>
    <w:p>
      <w:pPr>
        <w:pStyle w:val="Heading1"/>
      </w:pPr>
      <w:r>
        <w:t xml:space="preserve">Research Ready Business Model Canvas</w:t>
      </w:r>
    </w:p>
    <w:bookmarkStart w:id="20" w:name="key-partners"/>
    <w:p>
      <w:pPr>
        <w:pStyle w:val="Heading2"/>
      </w:pPr>
      <w:r>
        <w:t xml:space="preserve">Key Partners</w:t>
      </w:r>
    </w:p>
    <w:p>
      <w:pPr>
        <w:pStyle w:val="Compact"/>
        <w:numPr>
          <w:ilvl w:val="0"/>
          <w:numId w:val="1001"/>
        </w:numPr>
      </w:pPr>
      <w:r>
        <w:t xml:space="preserve">Cloud infrastructure providers (AWS, Azure, Google Cloud)</w:t>
      </w:r>
    </w:p>
    <w:p>
      <w:pPr>
        <w:pStyle w:val="Compact"/>
        <w:numPr>
          <w:ilvl w:val="0"/>
          <w:numId w:val="1001"/>
        </w:numPr>
      </w:pPr>
      <w:r>
        <w:t xml:space="preserve">AI model developers and researchers</w:t>
      </w:r>
    </w:p>
    <w:p>
      <w:pPr>
        <w:pStyle w:val="Compact"/>
        <w:numPr>
          <w:ilvl w:val="0"/>
          <w:numId w:val="1001"/>
        </w:numPr>
      </w:pPr>
      <w:r>
        <w:t xml:space="preserve">Open-source communities</w:t>
      </w:r>
    </w:p>
    <w:p>
      <w:pPr>
        <w:pStyle w:val="Compact"/>
        <w:numPr>
          <w:ilvl w:val="0"/>
          <w:numId w:val="1001"/>
        </w:numPr>
      </w:pPr>
      <w:r>
        <w:t xml:space="preserve">Universities and research institutions</w:t>
      </w:r>
    </w:p>
    <w:p>
      <w:pPr>
        <w:pStyle w:val="Compact"/>
        <w:numPr>
          <w:ilvl w:val="0"/>
          <w:numId w:val="1001"/>
        </w:numPr>
      </w:pPr>
      <w:r>
        <w:t xml:space="preserve">Data providers</w:t>
      </w:r>
    </w:p>
    <w:p>
      <w:pPr>
        <w:pStyle w:val="Compact"/>
        <w:numPr>
          <w:ilvl w:val="0"/>
          <w:numId w:val="1001"/>
        </w:numPr>
      </w:pPr>
      <w:r>
        <w:t xml:space="preserve">System integrators</w:t>
      </w:r>
    </w:p>
    <w:bookmarkEnd w:id="20"/>
    <w:bookmarkStart w:id="21" w:name="key-activities"/>
    <w:p>
      <w:pPr>
        <w:pStyle w:val="Heading2"/>
      </w:pPr>
      <w:r>
        <w:t xml:space="preserve">Key Activities</w:t>
      </w:r>
    </w:p>
    <w:p>
      <w:pPr>
        <w:pStyle w:val="Compact"/>
        <w:numPr>
          <w:ilvl w:val="0"/>
          <w:numId w:val="1002"/>
        </w:numPr>
      </w:pPr>
      <w:r>
        <w:t xml:space="preserve">Development and maintenance of open-source AI tools and infrastructure</w:t>
      </w:r>
    </w:p>
    <w:p>
      <w:pPr>
        <w:pStyle w:val="Compact"/>
        <w:numPr>
          <w:ilvl w:val="0"/>
          <w:numId w:val="1002"/>
        </w:numPr>
      </w:pPr>
      <w:r>
        <w:t xml:space="preserve">Research and innovation in supply chain transparency</w:t>
      </w:r>
    </w:p>
    <w:p>
      <w:pPr>
        <w:pStyle w:val="Compact"/>
        <w:numPr>
          <w:ilvl w:val="0"/>
          <w:numId w:val="1002"/>
        </w:numPr>
      </w:pPr>
      <w:r>
        <w:t xml:space="preserve">Community building and support</w:t>
      </w:r>
    </w:p>
    <w:p>
      <w:pPr>
        <w:pStyle w:val="Compact"/>
        <w:numPr>
          <w:ilvl w:val="0"/>
          <w:numId w:val="1002"/>
        </w:numPr>
      </w:pPr>
      <w:r>
        <w:t xml:space="preserve">API development and management</w:t>
      </w:r>
    </w:p>
    <w:p>
      <w:pPr>
        <w:pStyle w:val="Compact"/>
        <w:numPr>
          <w:ilvl w:val="0"/>
          <w:numId w:val="1002"/>
        </w:numPr>
      </w:pPr>
      <w:r>
        <w:t xml:space="preserve">Documentation and training material creation</w:t>
      </w:r>
    </w:p>
    <w:bookmarkEnd w:id="21"/>
    <w:bookmarkStart w:id="22" w:name="key-resources"/>
    <w:p>
      <w:pPr>
        <w:pStyle w:val="Heading2"/>
      </w:pPr>
      <w:r>
        <w:t xml:space="preserve">Key Resources</w:t>
      </w:r>
    </w:p>
    <w:p>
      <w:pPr>
        <w:pStyle w:val="Compact"/>
        <w:numPr>
          <w:ilvl w:val="0"/>
          <w:numId w:val="1003"/>
        </w:numPr>
      </w:pPr>
      <w:r>
        <w:t xml:space="preserve">AI algorithms and models</w:t>
      </w:r>
    </w:p>
    <w:p>
      <w:pPr>
        <w:pStyle w:val="Compact"/>
        <w:numPr>
          <w:ilvl w:val="0"/>
          <w:numId w:val="1003"/>
        </w:numPr>
      </w:pPr>
      <w:r>
        <w:t xml:space="preserve">Software infrastructure and codebase</w:t>
      </w:r>
    </w:p>
    <w:p>
      <w:pPr>
        <w:pStyle w:val="Compact"/>
        <w:numPr>
          <w:ilvl w:val="0"/>
          <w:numId w:val="1003"/>
        </w:numPr>
      </w:pPr>
      <w:r>
        <w:t xml:space="preserve">Engineering and research team</w:t>
      </w:r>
    </w:p>
    <w:p>
      <w:pPr>
        <w:pStyle w:val="Compact"/>
        <w:numPr>
          <w:ilvl w:val="0"/>
          <w:numId w:val="1003"/>
        </w:numPr>
      </w:pPr>
      <w:r>
        <w:t xml:space="preserve">Computing resources (servers, cloud access)</w:t>
      </w:r>
    </w:p>
    <w:p>
      <w:pPr>
        <w:pStyle w:val="Compact"/>
        <w:numPr>
          <w:ilvl w:val="0"/>
          <w:numId w:val="1003"/>
        </w:numPr>
      </w:pPr>
      <w:r>
        <w:t xml:space="preserve">Data access and partnerships</w:t>
      </w:r>
    </w:p>
    <w:p>
      <w:pPr>
        <w:pStyle w:val="Compact"/>
        <w:numPr>
          <w:ilvl w:val="0"/>
          <w:numId w:val="1003"/>
        </w:numPr>
      </w:pPr>
      <w:r>
        <w:t xml:space="preserve">Intellectual property (open-source licenses)</w:t>
      </w:r>
    </w:p>
    <w:bookmarkEnd w:id="22"/>
    <w:bookmarkStart w:id="23" w:name="value-propositions"/>
    <w:p>
      <w:pPr>
        <w:pStyle w:val="Heading2"/>
      </w:pPr>
      <w:r>
        <w:t xml:space="preserve">Value Propositions</w:t>
      </w:r>
    </w:p>
    <w:p>
      <w:pPr>
        <w:pStyle w:val="Compact"/>
        <w:numPr>
          <w:ilvl w:val="0"/>
          <w:numId w:val="1004"/>
        </w:numPr>
      </w:pPr>
      <w:r>
        <w:t xml:space="preserve">Accessible and affordable AI tools for supply chain transparency</w:t>
      </w:r>
    </w:p>
    <w:p>
      <w:pPr>
        <w:pStyle w:val="Compact"/>
        <w:numPr>
          <w:ilvl w:val="0"/>
          <w:numId w:val="1004"/>
        </w:numPr>
      </w:pPr>
      <w:r>
        <w:t xml:space="preserve">Open-source solutions fostering collaboration and innovation</w:t>
      </w:r>
    </w:p>
    <w:p>
      <w:pPr>
        <w:pStyle w:val="Compact"/>
        <w:numPr>
          <w:ilvl w:val="0"/>
          <w:numId w:val="1004"/>
        </w:numPr>
      </w:pPr>
      <w:r>
        <w:t xml:space="preserve">Scalable infrastructure for data analysis and visualization</w:t>
      </w:r>
    </w:p>
    <w:p>
      <w:pPr>
        <w:pStyle w:val="Compact"/>
        <w:numPr>
          <w:ilvl w:val="0"/>
          <w:numId w:val="1004"/>
        </w:numPr>
      </w:pPr>
      <w:r>
        <w:t xml:space="preserve">APIs enabling integration with existing systems</w:t>
      </w:r>
    </w:p>
    <w:p>
      <w:pPr>
        <w:pStyle w:val="Compact"/>
        <w:numPr>
          <w:ilvl w:val="0"/>
          <w:numId w:val="1004"/>
        </w:numPr>
      </w:pPr>
      <w:r>
        <w:t xml:space="preserve">Community support and knowledge sharing</w:t>
      </w:r>
    </w:p>
    <w:bookmarkEnd w:id="23"/>
    <w:bookmarkStart w:id="24" w:name="customer-relationships"/>
    <w:p>
      <w:pPr>
        <w:pStyle w:val="Heading2"/>
      </w:pPr>
      <w:r>
        <w:t xml:space="preserve">Customer Relationships</w:t>
      </w:r>
    </w:p>
    <w:p>
      <w:pPr>
        <w:pStyle w:val="Compact"/>
        <w:numPr>
          <w:ilvl w:val="0"/>
          <w:numId w:val="1005"/>
        </w:numPr>
      </w:pPr>
      <w:r>
        <w:t xml:space="preserve">Online forums and communities</w:t>
      </w:r>
    </w:p>
    <w:p>
      <w:pPr>
        <w:pStyle w:val="Compact"/>
        <w:numPr>
          <w:ilvl w:val="0"/>
          <w:numId w:val="1005"/>
        </w:numPr>
      </w:pPr>
      <w:r>
        <w:t xml:space="preserve">Documentation and tutorials</w:t>
      </w:r>
    </w:p>
    <w:p>
      <w:pPr>
        <w:pStyle w:val="Compact"/>
        <w:numPr>
          <w:ilvl w:val="0"/>
          <w:numId w:val="1005"/>
        </w:numPr>
      </w:pPr>
      <w:r>
        <w:t xml:space="preserve">API support</w:t>
      </w:r>
    </w:p>
    <w:p>
      <w:pPr>
        <w:pStyle w:val="Compact"/>
        <w:numPr>
          <w:ilvl w:val="0"/>
          <w:numId w:val="1005"/>
        </w:numPr>
      </w:pPr>
      <w:r>
        <w:t xml:space="preserve">Consulting services (for complex integrations)</w:t>
      </w:r>
    </w:p>
    <w:p>
      <w:pPr>
        <w:pStyle w:val="Compact"/>
        <w:numPr>
          <w:ilvl w:val="0"/>
          <w:numId w:val="1005"/>
        </w:numPr>
      </w:pPr>
      <w:r>
        <w:t xml:space="preserve">Enterprise support packages</w:t>
      </w:r>
    </w:p>
    <w:bookmarkEnd w:id="24"/>
    <w:bookmarkStart w:id="25" w:name="channels"/>
    <w:p>
      <w:pPr>
        <w:pStyle w:val="Heading2"/>
      </w:pPr>
      <w:r>
        <w:t xml:space="preserve">Channels</w:t>
      </w:r>
    </w:p>
    <w:p>
      <w:pPr>
        <w:pStyle w:val="Compact"/>
        <w:numPr>
          <w:ilvl w:val="0"/>
          <w:numId w:val="1006"/>
        </w:numPr>
      </w:pPr>
      <w:r>
        <w:t xml:space="preserve">Online platform and website</w:t>
      </w:r>
    </w:p>
    <w:p>
      <w:pPr>
        <w:pStyle w:val="Compact"/>
        <w:numPr>
          <w:ilvl w:val="0"/>
          <w:numId w:val="1006"/>
        </w:numPr>
      </w:pPr>
      <w:r>
        <w:t xml:space="preserve">GitHub and other open-source repositories</w:t>
      </w:r>
    </w:p>
    <w:p>
      <w:pPr>
        <w:pStyle w:val="Compact"/>
        <w:numPr>
          <w:ilvl w:val="0"/>
          <w:numId w:val="1006"/>
        </w:numPr>
      </w:pPr>
      <w:r>
        <w:t xml:space="preserve">Industry events and conferences</w:t>
      </w:r>
    </w:p>
    <w:p>
      <w:pPr>
        <w:pStyle w:val="Compact"/>
        <w:numPr>
          <w:ilvl w:val="0"/>
          <w:numId w:val="1006"/>
        </w:numPr>
      </w:pPr>
      <w:r>
        <w:t xml:space="preserve">Social media (LinkedIn, Twitter)</w:t>
      </w:r>
    </w:p>
    <w:p>
      <w:pPr>
        <w:pStyle w:val="Compact"/>
        <w:numPr>
          <w:ilvl w:val="0"/>
          <w:numId w:val="1006"/>
        </w:numPr>
      </w:pPr>
      <w:r>
        <w:t xml:space="preserve">Partnerships with system integrators</w:t>
      </w:r>
    </w:p>
    <w:bookmarkEnd w:id="25"/>
    <w:bookmarkStart w:id="26" w:name="customer-segments"/>
    <w:p>
      <w:pPr>
        <w:pStyle w:val="Heading2"/>
      </w:pPr>
      <w:r>
        <w:t xml:space="preserve">Customer Segments</w:t>
      </w:r>
    </w:p>
    <w:p>
      <w:pPr>
        <w:pStyle w:val="Compact"/>
        <w:numPr>
          <w:ilvl w:val="0"/>
          <w:numId w:val="1007"/>
        </w:numPr>
      </w:pPr>
      <w:r>
        <w:t xml:space="preserve">Businesses seeking supply chain transparency solutions</w:t>
      </w:r>
    </w:p>
    <w:p>
      <w:pPr>
        <w:pStyle w:val="Compact"/>
        <w:numPr>
          <w:ilvl w:val="0"/>
          <w:numId w:val="1007"/>
        </w:numPr>
      </w:pPr>
      <w:r>
        <w:t xml:space="preserve">Researchers and academics</w:t>
      </w:r>
    </w:p>
    <w:p>
      <w:pPr>
        <w:pStyle w:val="Compact"/>
        <w:numPr>
          <w:ilvl w:val="0"/>
          <w:numId w:val="1007"/>
        </w:numPr>
      </w:pPr>
      <w:r>
        <w:t xml:space="preserve">NGOs and advocacy groups</w:t>
      </w:r>
    </w:p>
    <w:p>
      <w:pPr>
        <w:pStyle w:val="Compact"/>
        <w:numPr>
          <w:ilvl w:val="0"/>
          <w:numId w:val="1007"/>
        </w:numPr>
      </w:pPr>
      <w:r>
        <w:t xml:space="preserve">Government agencies</w:t>
      </w:r>
    </w:p>
    <w:p>
      <w:pPr>
        <w:pStyle w:val="Compact"/>
        <w:numPr>
          <w:ilvl w:val="0"/>
          <w:numId w:val="1007"/>
        </w:numPr>
      </w:pPr>
      <w:r>
        <w:t xml:space="preserve">System integrators</w:t>
      </w:r>
    </w:p>
    <w:bookmarkEnd w:id="26"/>
    <w:bookmarkStart w:id="27" w:name="cost-structure"/>
    <w:p>
      <w:pPr>
        <w:pStyle w:val="Heading2"/>
      </w:pPr>
      <w:r>
        <w:t xml:space="preserve">Cost Structure</w:t>
      </w:r>
    </w:p>
    <w:p>
      <w:pPr>
        <w:pStyle w:val="Compact"/>
        <w:numPr>
          <w:ilvl w:val="0"/>
          <w:numId w:val="1008"/>
        </w:numPr>
      </w:pPr>
      <w:r>
        <w:t xml:space="preserve">Development and maintenance costs</w:t>
      </w:r>
    </w:p>
    <w:p>
      <w:pPr>
        <w:pStyle w:val="Compact"/>
        <w:numPr>
          <w:ilvl w:val="0"/>
          <w:numId w:val="1008"/>
        </w:numPr>
      </w:pPr>
      <w:r>
        <w:t xml:space="preserve">Cloud infrastructure costs</w:t>
      </w:r>
    </w:p>
    <w:p>
      <w:pPr>
        <w:pStyle w:val="Compact"/>
        <w:numPr>
          <w:ilvl w:val="0"/>
          <w:numId w:val="1008"/>
        </w:numPr>
      </w:pPr>
      <w:r>
        <w:t xml:space="preserve">Personnel costs (engineers, researchers)</w:t>
      </w:r>
    </w:p>
    <w:p>
      <w:pPr>
        <w:pStyle w:val="Compact"/>
        <w:numPr>
          <w:ilvl w:val="0"/>
          <w:numId w:val="1008"/>
        </w:numPr>
      </w:pPr>
      <w:r>
        <w:t xml:space="preserve">Marketing and community building expenses</w:t>
      </w:r>
    </w:p>
    <w:p>
      <w:pPr>
        <w:pStyle w:val="Compact"/>
        <w:numPr>
          <w:ilvl w:val="0"/>
          <w:numId w:val="1008"/>
        </w:numPr>
      </w:pPr>
      <w:r>
        <w:t xml:space="preserve">Data acquisition costs</w:t>
      </w:r>
    </w:p>
    <w:p>
      <w:pPr>
        <w:pStyle w:val="Compact"/>
        <w:numPr>
          <w:ilvl w:val="0"/>
          <w:numId w:val="1008"/>
        </w:numPr>
      </w:pPr>
      <w:r>
        <w:t xml:space="preserve">Legal and licensing fees</w:t>
      </w:r>
    </w:p>
    <w:bookmarkEnd w:id="27"/>
    <w:bookmarkStart w:id="28" w:name="revenue-streams"/>
    <w:p>
      <w:pPr>
        <w:pStyle w:val="Heading2"/>
      </w:pPr>
      <w:r>
        <w:t xml:space="preserve">Revenue Streams</w:t>
      </w:r>
    </w:p>
    <w:p>
      <w:pPr>
        <w:pStyle w:val="Compact"/>
        <w:numPr>
          <w:ilvl w:val="0"/>
          <w:numId w:val="1009"/>
        </w:numPr>
      </w:pPr>
      <w:r>
        <w:t xml:space="preserve">Consulting services</w:t>
      </w:r>
    </w:p>
    <w:p>
      <w:pPr>
        <w:pStyle w:val="Compact"/>
        <w:numPr>
          <w:ilvl w:val="0"/>
          <w:numId w:val="1009"/>
        </w:numPr>
      </w:pPr>
      <w:r>
        <w:t xml:space="preserve">Enterprise support packages</w:t>
      </w:r>
    </w:p>
    <w:p>
      <w:pPr>
        <w:pStyle w:val="Compact"/>
        <w:numPr>
          <w:ilvl w:val="0"/>
          <w:numId w:val="1009"/>
        </w:numPr>
      </w:pPr>
      <w:r>
        <w:t xml:space="preserve">API usage fees (tiered pricing)</w:t>
      </w:r>
    </w:p>
    <w:p>
      <w:pPr>
        <w:pStyle w:val="Compact"/>
        <w:numPr>
          <w:ilvl w:val="0"/>
          <w:numId w:val="1009"/>
        </w:numPr>
      </w:pPr>
      <w:r>
        <w:t xml:space="preserve">Sponsorships and grants</w:t>
      </w:r>
    </w:p>
    <w:p>
      <w:pPr>
        <w:pStyle w:val="Compact"/>
        <w:numPr>
          <w:ilvl w:val="0"/>
          <w:numId w:val="1009"/>
        </w:numPr>
      </w:pPr>
      <w:r>
        <w:t xml:space="preserve">Data licensing (aggregated and anonymized data)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2025-12-19T14:16:21Z</dcterms:created>
  <dcterms:modified xsi:type="dcterms:W3CDTF">2025-12-19T14:16:21Z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