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search-ready-marketing-strategy"/>
    <w:p>
      <w:pPr>
        <w:pStyle w:val="Heading1"/>
      </w:pPr>
      <w:r>
        <w:t xml:space="preserve">Research Ready Marketing Strategy</w:t>
      </w:r>
    </w:p>
    <w:bookmarkStart w:id="20" w:name="target-audience"/>
    <w:p>
      <w:pPr>
        <w:pStyle w:val="Heading2"/>
      </w:pPr>
      <w:r>
        <w:t xml:space="preserve">Target Audience</w:t>
      </w:r>
    </w:p>
    <w:p>
      <w:pPr>
        <w:pStyle w:val="Compact"/>
        <w:numPr>
          <w:ilvl w:val="0"/>
          <w:numId w:val="1001"/>
        </w:numPr>
      </w:pPr>
      <w:r>
        <w:t xml:space="preserve">Businesses seeking supply chain transparency solutions</w:t>
      </w:r>
    </w:p>
    <w:p>
      <w:pPr>
        <w:pStyle w:val="Compact"/>
        <w:numPr>
          <w:ilvl w:val="0"/>
          <w:numId w:val="1001"/>
        </w:numPr>
      </w:pPr>
      <w:r>
        <w:t xml:space="preserve">Developers and data scientists</w:t>
      </w:r>
    </w:p>
    <w:p>
      <w:pPr>
        <w:pStyle w:val="Compact"/>
        <w:numPr>
          <w:ilvl w:val="0"/>
          <w:numId w:val="1001"/>
        </w:numPr>
      </w:pPr>
      <w:r>
        <w:t xml:space="preserve">System integrators</w:t>
      </w:r>
    </w:p>
    <w:p>
      <w:pPr>
        <w:pStyle w:val="Compact"/>
        <w:numPr>
          <w:ilvl w:val="0"/>
          <w:numId w:val="1001"/>
        </w:numPr>
      </w:pPr>
      <w:r>
        <w:t xml:space="preserve">Researchers and academics</w:t>
      </w:r>
    </w:p>
    <w:bookmarkEnd w:id="20"/>
    <w:bookmarkStart w:id="21" w:name="marketing-objectives"/>
    <w:p>
      <w:pPr>
        <w:pStyle w:val="Heading2"/>
      </w:pPr>
      <w:r>
        <w:t xml:space="preserve">Marketing Objectives</w:t>
      </w:r>
    </w:p>
    <w:p>
      <w:pPr>
        <w:pStyle w:val="Compact"/>
        <w:numPr>
          <w:ilvl w:val="0"/>
          <w:numId w:val="1002"/>
        </w:numPr>
      </w:pPr>
      <w:r>
        <w:t xml:space="preserve">Increase brand awareness and establish Research Ready as a leader in open-source supply chain AI.</w:t>
      </w:r>
    </w:p>
    <w:p>
      <w:pPr>
        <w:pStyle w:val="Compact"/>
        <w:numPr>
          <w:ilvl w:val="0"/>
          <w:numId w:val="1002"/>
        </w:numPr>
      </w:pPr>
      <w:r>
        <w:t xml:space="preserve">Drive adoption of Research Ready’s tools and APIs.</w:t>
      </w:r>
    </w:p>
    <w:p>
      <w:pPr>
        <w:pStyle w:val="Compact"/>
        <w:numPr>
          <w:ilvl w:val="0"/>
          <w:numId w:val="1002"/>
        </w:numPr>
      </w:pPr>
      <w:r>
        <w:t xml:space="preserve">Build a strong community of developers and users.</w:t>
      </w:r>
    </w:p>
    <w:p>
      <w:pPr>
        <w:pStyle w:val="Compact"/>
        <w:numPr>
          <w:ilvl w:val="0"/>
          <w:numId w:val="1002"/>
        </w:numPr>
      </w:pPr>
      <w:r>
        <w:t xml:space="preserve">Generate leads for consulting and enterprise support services.</w:t>
      </w:r>
    </w:p>
    <w:bookmarkEnd w:id="21"/>
    <w:bookmarkStart w:id="22" w:name="marketing-strategies"/>
    <w:p>
      <w:pPr>
        <w:pStyle w:val="Heading2"/>
      </w:pPr>
      <w:r>
        <w:t xml:space="preserve">Marketing Strategies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 Marketing:</w:t>
      </w:r>
      <w:r>
        <w:t xml:space="preserve"> </w:t>
      </w:r>
      <w:r>
        <w:t xml:space="preserve">Create high-quality blog posts, white papers, and case studies showcasing the benefits of Research Ready’s solutions.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Open-Source Engagement:</w:t>
      </w:r>
      <w:r>
        <w:t xml:space="preserve"> </w:t>
      </w:r>
      <w:r>
        <w:t xml:space="preserve">Actively participate in open-source communities and contribute to relevant projects.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Social Media Marketing:</w:t>
      </w:r>
      <w:r>
        <w:t xml:space="preserve"> </w:t>
      </w:r>
      <w:r>
        <w:t xml:space="preserve">Engage with target audiences on LinkedIn, Twitter, and other relevant platforms.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Search Engine Optimization (SEO):</w:t>
      </w:r>
      <w:r>
        <w:t xml:space="preserve"> </w:t>
      </w:r>
      <w:r>
        <w:t xml:space="preserve">Optimize website and content for relevant keywords.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Partnership Marketing:</w:t>
      </w:r>
      <w:r>
        <w:t xml:space="preserve"> </w:t>
      </w:r>
      <w:r>
        <w:t xml:space="preserve">Collaborate with system integrators and industry partners to reach a wider audience.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 Marketing:</w:t>
      </w:r>
      <w:r>
        <w:t xml:space="preserve"> </w:t>
      </w:r>
      <w:r>
        <w:t xml:space="preserve">Participate in industry conferences and workshops.</w:t>
      </w:r>
    </w:p>
    <w:bookmarkEnd w:id="22"/>
    <w:bookmarkStart w:id="23" w:name="marketing-tactics"/>
    <w:p>
      <w:pPr>
        <w:pStyle w:val="Heading2"/>
      </w:pPr>
      <w:r>
        <w:t xml:space="preserve">Marketing Tactics</w:t>
      </w:r>
    </w:p>
    <w:p>
      <w:pPr>
        <w:pStyle w:val="Compact"/>
        <w:numPr>
          <w:ilvl w:val="0"/>
          <w:numId w:val="1004"/>
        </w:numPr>
      </w:pPr>
      <w:r>
        <w:t xml:space="preserve">Publish regular blog posts on supply chain transparency and AI.</w:t>
      </w:r>
    </w:p>
    <w:p>
      <w:pPr>
        <w:pStyle w:val="Compact"/>
        <w:numPr>
          <w:ilvl w:val="0"/>
          <w:numId w:val="1004"/>
        </w:numPr>
      </w:pPr>
      <w:r>
        <w:t xml:space="preserve">Create and share case studies demonstrating the ROI of Research Ready’s solutions.</w:t>
      </w:r>
    </w:p>
    <w:p>
      <w:pPr>
        <w:pStyle w:val="Compact"/>
        <w:numPr>
          <w:ilvl w:val="0"/>
          <w:numId w:val="1004"/>
        </w:numPr>
      </w:pPr>
      <w:r>
        <w:t xml:space="preserve">Host webinars and online workshops.</w:t>
      </w:r>
    </w:p>
    <w:p>
      <w:pPr>
        <w:pStyle w:val="Compact"/>
        <w:numPr>
          <w:ilvl w:val="0"/>
          <w:numId w:val="1004"/>
        </w:numPr>
      </w:pPr>
      <w:r>
        <w:t xml:space="preserve">Develop and maintain a strong presence on LinkedIn and Twitter.</w:t>
      </w:r>
    </w:p>
    <w:p>
      <w:pPr>
        <w:pStyle w:val="Compact"/>
        <w:numPr>
          <w:ilvl w:val="0"/>
          <w:numId w:val="1004"/>
        </w:numPr>
      </w:pPr>
      <w:r>
        <w:t xml:space="preserve">Optimize website content for relevant keywords.</w:t>
      </w:r>
    </w:p>
    <w:p>
      <w:pPr>
        <w:pStyle w:val="Compact"/>
        <w:numPr>
          <w:ilvl w:val="0"/>
          <w:numId w:val="1004"/>
        </w:numPr>
      </w:pPr>
      <w:r>
        <w:t xml:space="preserve">Offer free trials and demos of Research Ready’s tools.</w:t>
      </w:r>
    </w:p>
    <w:p>
      <w:pPr>
        <w:pStyle w:val="Compact"/>
        <w:numPr>
          <w:ilvl w:val="0"/>
          <w:numId w:val="1004"/>
        </w:numPr>
      </w:pPr>
      <w:r>
        <w:t xml:space="preserve">Sponsor and exhibit at industry events.</w:t>
      </w:r>
    </w:p>
    <w:p>
      <w:pPr>
        <w:pStyle w:val="Compact"/>
        <w:numPr>
          <w:ilvl w:val="0"/>
          <w:numId w:val="1004"/>
        </w:numPr>
      </w:pPr>
      <w:r>
        <w:t xml:space="preserve">Develop marketing materials for system integrators and partners.</w:t>
      </w:r>
    </w:p>
    <w:bookmarkEnd w:id="23"/>
    <w:bookmarkStart w:id="24" w:name="budget"/>
    <w:p>
      <w:pPr>
        <w:pStyle w:val="Heading2"/>
      </w:pPr>
      <w:r>
        <w:t xml:space="preserve">Budget</w:t>
      </w:r>
    </w:p>
    <w:p>
      <w:pPr>
        <w:pStyle w:val="Compact"/>
        <w:numPr>
          <w:ilvl w:val="0"/>
          <w:numId w:val="1005"/>
        </w:numPr>
      </w:pPr>
      <w:r>
        <w:t xml:space="preserve">Allocate budget for content creation, social media advertising, event participation, and website maintenance.</w:t>
      </w:r>
    </w:p>
    <w:bookmarkEnd w:id="24"/>
    <w:bookmarkStart w:id="25" w:name="evaluation"/>
    <w:p>
      <w:pPr>
        <w:pStyle w:val="Heading2"/>
      </w:pPr>
      <w:r>
        <w:t xml:space="preserve">Evaluation</w:t>
      </w:r>
    </w:p>
    <w:p>
      <w:pPr>
        <w:pStyle w:val="Compact"/>
        <w:numPr>
          <w:ilvl w:val="0"/>
          <w:numId w:val="1006"/>
        </w:numPr>
      </w:pPr>
      <w:r>
        <w:t xml:space="preserve">Track website traffic, lead generation, and social media engagement.</w:t>
      </w:r>
    </w:p>
    <w:p>
      <w:pPr>
        <w:pStyle w:val="Compact"/>
        <w:numPr>
          <w:ilvl w:val="0"/>
          <w:numId w:val="1006"/>
        </w:numPr>
      </w:pPr>
      <w:r>
        <w:t xml:space="preserve">Monitor adoption of Research Ready’s tools and APIs.</w:t>
      </w:r>
    </w:p>
    <w:p>
      <w:pPr>
        <w:pStyle w:val="Compact"/>
        <w:numPr>
          <w:ilvl w:val="0"/>
          <w:numId w:val="1006"/>
        </w:numPr>
      </w:pPr>
      <w:r>
        <w:t xml:space="preserve">Measure customer satisfaction and retention.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2025-12-19T14:16:29Z</dcterms:created>
  <dcterms:modified xsi:type="dcterms:W3CDTF">2025-12-19T14:16:29Z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