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value-chain-hackers-marketing-strategy"/>
    <w:p>
      <w:pPr>
        <w:pStyle w:val="Heading1"/>
      </w:pPr>
      <w:r>
        <w:t xml:space="preserve">Value Chain Hackers Marketing Strategy</w:t>
      </w:r>
    </w:p>
    <w:bookmarkStart w:id="20" w:name="target-audience"/>
    <w:p>
      <w:pPr>
        <w:pStyle w:val="Heading2"/>
      </w:pPr>
      <w:r>
        <w:t xml:space="preserve">Target Audience</w:t>
      </w:r>
    </w:p>
    <w:p>
      <w:pPr>
        <w:pStyle w:val="Compact"/>
        <w:numPr>
          <w:ilvl w:val="0"/>
          <w:numId w:val="1001"/>
        </w:numPr>
      </w:pPr>
      <w:r>
        <w:t xml:space="preserve">Industry partners seeking research and innovation</w:t>
      </w:r>
    </w:p>
    <w:p>
      <w:pPr>
        <w:pStyle w:val="Compact"/>
        <w:numPr>
          <w:ilvl w:val="0"/>
          <w:numId w:val="1001"/>
        </w:numPr>
      </w:pPr>
      <w:r>
        <w:t xml:space="preserve">NGOs and advocacy groups working on supply chain issues</w:t>
      </w:r>
    </w:p>
    <w:p>
      <w:pPr>
        <w:pStyle w:val="Compact"/>
        <w:numPr>
          <w:ilvl w:val="0"/>
          <w:numId w:val="1001"/>
        </w:numPr>
      </w:pPr>
      <w:r>
        <w:t xml:space="preserve">Government agencies and policymakers</w:t>
      </w:r>
    </w:p>
    <w:p>
      <w:pPr>
        <w:pStyle w:val="Compact"/>
        <w:numPr>
          <w:ilvl w:val="0"/>
          <w:numId w:val="1001"/>
        </w:numPr>
      </w:pPr>
      <w:r>
        <w:t xml:space="preserve">Academic researchers</w:t>
      </w:r>
    </w:p>
    <w:p>
      <w:pPr>
        <w:pStyle w:val="Compact"/>
        <w:numPr>
          <w:ilvl w:val="0"/>
          <w:numId w:val="1001"/>
        </w:numPr>
      </w:pPr>
      <w:r>
        <w:t xml:space="preserve">The general public (interested in ethical consumption)</w:t>
      </w:r>
    </w:p>
    <w:bookmarkEnd w:id="20"/>
    <w:bookmarkStart w:id="21" w:name="marketing-objectives"/>
    <w:p>
      <w:pPr>
        <w:pStyle w:val="Heading2"/>
      </w:pPr>
      <w:r>
        <w:t xml:space="preserve">Marketing Objectives</w:t>
      </w:r>
    </w:p>
    <w:p>
      <w:pPr>
        <w:pStyle w:val="Compact"/>
        <w:numPr>
          <w:ilvl w:val="0"/>
          <w:numId w:val="1002"/>
        </w:numPr>
      </w:pPr>
      <w:r>
        <w:t xml:space="preserve">Establish Value Chain Hackers as a leading research organization in supply chain transparency and sustainability.</w:t>
      </w:r>
    </w:p>
    <w:p>
      <w:pPr>
        <w:pStyle w:val="Compact"/>
        <w:numPr>
          <w:ilvl w:val="0"/>
          <w:numId w:val="1002"/>
        </w:numPr>
      </w:pPr>
      <w:r>
        <w:t xml:space="preserve">Increase awareness of VCH’s research findings and impact.</w:t>
      </w:r>
    </w:p>
    <w:p>
      <w:pPr>
        <w:pStyle w:val="Compact"/>
        <w:numPr>
          <w:ilvl w:val="0"/>
          <w:numId w:val="1002"/>
        </w:numPr>
      </w:pPr>
      <w:r>
        <w:t xml:space="preserve">Attract funding and partnerships for future research projects.</w:t>
      </w:r>
    </w:p>
    <w:p>
      <w:pPr>
        <w:pStyle w:val="Compact"/>
        <w:numPr>
          <w:ilvl w:val="0"/>
          <w:numId w:val="1002"/>
        </w:numPr>
      </w:pPr>
      <w:r>
        <w:t xml:space="preserve">Influence policy and industry practices.</w:t>
      </w:r>
    </w:p>
    <w:bookmarkEnd w:id="21"/>
    <w:bookmarkStart w:id="22" w:name="marketing-strategies"/>
    <w:p>
      <w:pPr>
        <w:pStyle w:val="Heading2"/>
      </w:pPr>
      <w:r>
        <w:t xml:space="preserve">Marketing Strategies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Thought Leadership:</w:t>
      </w:r>
      <w:r>
        <w:t xml:space="preserve"> </w:t>
      </w:r>
      <w:r>
        <w:t xml:space="preserve">Publish research findings in academic journals and present at industry conferences.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Relations:</w:t>
      </w:r>
      <w:r>
        <w:t xml:space="preserve"> </w:t>
      </w:r>
      <w:r>
        <w:t xml:space="preserve">Engage with media outlets to raise awareness of VCH’s 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 Marketing:</w:t>
      </w:r>
      <w:r>
        <w:t xml:space="preserve"> </w:t>
      </w:r>
      <w:r>
        <w:t xml:space="preserve">Create blog posts, reports, and infographics summarizing research findings for a broader audience.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Social Media Marketing:</w:t>
      </w:r>
      <w:r>
        <w:t xml:space="preserve"> </w:t>
      </w:r>
      <w:r>
        <w:t xml:space="preserve">Share research updates and engage with stakeholders on social media.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 Marketing:</w:t>
      </w:r>
      <w:r>
        <w:t xml:space="preserve"> </w:t>
      </w:r>
      <w:r>
        <w:t xml:space="preserve">Host workshops and hackathons to engage with the community and generate new ideas.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Partnership Marketing:</w:t>
      </w:r>
      <w:r>
        <w:t xml:space="preserve"> </w:t>
      </w:r>
      <w:r>
        <w:t xml:space="preserve">Collaborate with NGOs, industry partners, and government agencies.</w:t>
      </w:r>
    </w:p>
    <w:bookmarkEnd w:id="22"/>
    <w:bookmarkStart w:id="23" w:name="marketing-tactics"/>
    <w:p>
      <w:pPr>
        <w:pStyle w:val="Heading2"/>
      </w:pPr>
      <w:r>
        <w:t xml:space="preserve">Marketing Tactics</w:t>
      </w:r>
    </w:p>
    <w:p>
      <w:pPr>
        <w:pStyle w:val="Compact"/>
        <w:numPr>
          <w:ilvl w:val="0"/>
          <w:numId w:val="1004"/>
        </w:numPr>
      </w:pPr>
      <w:r>
        <w:t xml:space="preserve">Publish research papers in peer-reviewed journals.</w:t>
      </w:r>
    </w:p>
    <w:p>
      <w:pPr>
        <w:pStyle w:val="Compact"/>
        <w:numPr>
          <w:ilvl w:val="0"/>
          <w:numId w:val="1004"/>
        </w:numPr>
      </w:pPr>
      <w:r>
        <w:t xml:space="preserve">Present research findings at industry conferences and workshops.</w:t>
      </w:r>
    </w:p>
    <w:p>
      <w:pPr>
        <w:pStyle w:val="Compact"/>
        <w:numPr>
          <w:ilvl w:val="0"/>
          <w:numId w:val="1004"/>
        </w:numPr>
      </w:pPr>
      <w:r>
        <w:t xml:space="preserve">Issue press releases announcing new research projects and findings.</w:t>
      </w:r>
    </w:p>
    <w:p>
      <w:pPr>
        <w:pStyle w:val="Compact"/>
        <w:numPr>
          <w:ilvl w:val="0"/>
          <w:numId w:val="1004"/>
        </w:numPr>
      </w:pPr>
      <w:r>
        <w:t xml:space="preserve">Create and share blog posts, reports, and infographics on VCH’s website and social media channels.</w:t>
      </w:r>
    </w:p>
    <w:p>
      <w:pPr>
        <w:pStyle w:val="Compact"/>
        <w:numPr>
          <w:ilvl w:val="0"/>
          <w:numId w:val="1004"/>
        </w:numPr>
      </w:pPr>
      <w:r>
        <w:t xml:space="preserve">Engage with stakeholders on LinkedIn, Twitter, and other relevant platforms.</w:t>
      </w:r>
    </w:p>
    <w:p>
      <w:pPr>
        <w:pStyle w:val="Compact"/>
        <w:numPr>
          <w:ilvl w:val="0"/>
          <w:numId w:val="1004"/>
        </w:numPr>
      </w:pPr>
      <w:r>
        <w:t xml:space="preserve">Host workshops and hackathons to foster collaboration and innovation.</w:t>
      </w:r>
    </w:p>
    <w:p>
      <w:pPr>
        <w:pStyle w:val="Compact"/>
        <w:numPr>
          <w:ilvl w:val="0"/>
          <w:numId w:val="1004"/>
        </w:numPr>
      </w:pPr>
      <w:r>
        <w:t xml:space="preserve">Develop marketing materials for potential funders and partners.</w:t>
      </w:r>
    </w:p>
    <w:bookmarkEnd w:id="23"/>
    <w:bookmarkStart w:id="24" w:name="budget"/>
    <w:p>
      <w:pPr>
        <w:pStyle w:val="Heading2"/>
      </w:pPr>
      <w:r>
        <w:t xml:space="preserve">Budget</w:t>
      </w:r>
    </w:p>
    <w:p>
      <w:pPr>
        <w:pStyle w:val="Compact"/>
        <w:numPr>
          <w:ilvl w:val="0"/>
          <w:numId w:val="1005"/>
        </w:numPr>
      </w:pPr>
      <w:r>
        <w:t xml:space="preserve">Allocate budget for travel to conferences, publication fees, website maintenance, and social media advertising.</w:t>
      </w:r>
    </w:p>
    <w:bookmarkEnd w:id="24"/>
    <w:bookmarkStart w:id="25" w:name="evaluation"/>
    <w:p>
      <w:pPr>
        <w:pStyle w:val="Heading2"/>
      </w:pPr>
      <w:r>
        <w:t xml:space="preserve">Evaluation</w:t>
      </w:r>
    </w:p>
    <w:p>
      <w:pPr>
        <w:pStyle w:val="Compact"/>
        <w:numPr>
          <w:ilvl w:val="0"/>
          <w:numId w:val="1006"/>
        </w:numPr>
      </w:pPr>
      <w:r>
        <w:t xml:space="preserve">Track media mentions and social media engagement.</w:t>
      </w:r>
    </w:p>
    <w:p>
      <w:pPr>
        <w:pStyle w:val="Compact"/>
        <w:numPr>
          <w:ilvl w:val="0"/>
          <w:numId w:val="1006"/>
        </w:numPr>
      </w:pPr>
      <w:r>
        <w:t xml:space="preserve">Monitor website traffic and downloads of research reports.</w:t>
      </w:r>
    </w:p>
    <w:p>
      <w:pPr>
        <w:pStyle w:val="Compact"/>
        <w:numPr>
          <w:ilvl w:val="0"/>
          <w:numId w:val="1006"/>
        </w:numPr>
      </w:pPr>
      <w:r>
        <w:t xml:space="preserve">Measure the impact of VCH’s research on policy and industry practices.</w:t>
      </w:r>
    </w:p>
    <w:p>
      <w:pPr>
        <w:pStyle w:val="Compact"/>
        <w:numPr>
          <w:ilvl w:val="0"/>
          <w:numId w:val="1006"/>
        </w:numPr>
      </w:pPr>
      <w:r>
        <w:t xml:space="preserve">Track funding and partnership opportunities.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2025-12-19T14:17:21Z</dcterms:created>
  <dcterms:modified xsi:type="dcterms:W3CDTF">2025-12-19T14:17:21Z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