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Value Chain Hackers Target Audience (from Marketing Strategy):</w:t>
      </w:r>
    </w:p>
    <w:p>
      <w:pPr>
        <w:pStyle w:val="BodyText"/>
      </w:pPr>
      <w:r>
        <w:t xml:space="preserve">Industry partners seeking research and innovation</w:t>
      </w:r>
      <w:r>
        <w:t xml:space="preserve"> </w:t>
      </w:r>
      <w:r>
        <w:t xml:space="preserve">NGOs and advocacy groups working on supply chain issues</w:t>
      </w:r>
      <w:r>
        <w:t xml:space="preserve"> </w:t>
      </w:r>
      <w:r>
        <w:t xml:space="preserve">Government agencies and policymakers</w:t>
      </w:r>
      <w:r>
        <w:t xml:space="preserve"> </w:t>
      </w:r>
      <w:r>
        <w:t xml:space="preserve">Academic researchers</w:t>
      </w:r>
      <w:r>
        <w:t xml:space="preserve"> </w:t>
      </w:r>
      <w:r>
        <w:t xml:space="preserve">Sustainability Managers &amp; Supply Chain Directors in large corporations</w:t>
      </w:r>
      <w:r>
        <w:t xml:space="preserve"> </w:t>
      </w:r>
      <w:r>
        <w:t xml:space="preserve">Informed consumers seeking ethical products</w:t>
      </w:r>
    </w:p>
    <w:p>
      <w:pPr>
        <w:pStyle w:val="BodyText"/>
      </w:pPr>
      <w:r>
        <w:t xml:space="preserve">VCH’s Core Research Focus:</w:t>
      </w:r>
      <w:r>
        <w:t xml:space="preserve"> </w:t>
      </w:r>
      <w:r>
        <w:t xml:space="preserve">Supply chain transparency</w:t>
      </w:r>
      <w:r>
        <w:t xml:space="preserve"> </w:t>
      </w:r>
      <w:r>
        <w:t xml:space="preserve">Supply chain sustainability</w:t>
      </w:r>
      <w:r>
        <w:t xml:space="preserve"> </w:t>
      </w:r>
      <w:r>
        <w:t xml:space="preserve">Supply chain finance (SCF)</w:t>
      </w:r>
      <w:r>
        <w:t xml:space="preserve"> </w:t>
      </w:r>
      <w:r>
        <w:t xml:space="preserve">Ethical sourcing &amp; forced labor</w:t>
      </w:r>
      <w:r>
        <w:t xml:space="preserve"> </w:t>
      </w:r>
      <w:r>
        <w:t xml:space="preserve">Reverse logistics &amp; circular economy</w:t>
      </w:r>
    </w:p>
    <w:p>
      <w:pPr>
        <w:pStyle w:val="BodyText"/>
      </w:pPr>
      <w:r>
        <w:t xml:space="preserve">Costco Joins Retailers Suing Trump Over Emergency Tariffs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2025-12-19T14:14:32Z</dcterms:created>
  <dcterms:modified xsi:type="dcterms:W3CDTF">2025-12-19T14:14:32Z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