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5601459dee77e0e27a904b22861c137e8194a"/>
    <w:p>
      <w:pPr>
        <w:pStyle w:val="Heading1"/>
      </w:pPr>
      <w:r>
        <w:t xml:space="preserve">Value Chain Hackers Social Media Post - Costco Tariff Lawsuit</w:t>
      </w:r>
    </w:p>
    <w:p>
      <w:pPr>
        <w:pStyle w:val="FirstParagraph"/>
      </w:pPr>
      <w:r>
        <w:rPr>
          <w:b/>
          <w:bCs/>
        </w:rPr>
        <w:t xml:space="preserve">Date Created:</w:t>
      </w:r>
      <w:r>
        <w:t xml:space="preserve"> </w:t>
      </w:r>
      <w:r>
        <w:t xml:space="preserve">December 4, 2025</w:t>
      </w:r>
      <w:r>
        <w:t xml:space="preserve"> </w:t>
      </w:r>
      <w:r>
        <w:rPr>
          <w:b/>
          <w:bCs/>
        </w:rPr>
        <w:t xml:space="preserve">Content Pillar:</w:t>
      </w:r>
      <w:r>
        <w:t xml:space="preserve"> </w:t>
      </w:r>
      <w:r>
        <w:t xml:space="preserve">Policy &amp; Thought Leadership</w:t>
      </w:r>
      <w:r>
        <w:t xml:space="preserve"> </w:t>
      </w:r>
      <w:r>
        <w:rPr>
          <w:b/>
          <w:bCs/>
        </w:rPr>
        <w:t xml:space="preserve">Target Audience:</w:t>
      </w:r>
      <w:r>
        <w:t xml:space="preserve"> </w:t>
      </w:r>
      <w:r>
        <w:t xml:space="preserve">Policymakers, Supply Chain Directors, Industry Partners, Academic Researchers</w:t>
      </w:r>
      <w:r>
        <w:t xml:space="preserve"> </w:t>
      </w:r>
      <w:r>
        <w:rPr>
          <w:b/>
          <w:bCs/>
        </w:rPr>
        <w:t xml:space="preserve">Platform:</w:t>
      </w:r>
      <w:r>
        <w:t xml:space="preserve"> </w:t>
      </w:r>
      <w:r>
        <w:t xml:space="preserve">LinkedIn (Primary), Twitter/X (Secondary)</w:t>
      </w:r>
    </w:p>
    <w:p>
      <w:r>
        <w:pict>
          <v:rect style="width:0;height:1.5pt" o:hralign="center" o:hrstd="t" o:hr="t"/>
        </w:pict>
      </w:r>
    </w:p>
    <w:bookmarkStart w:id="30" w:name="X2fe6175bfffe67cd5fc7225c132de288f6a6917"/>
    <w:p>
      <w:pPr>
        <w:pStyle w:val="Heading2"/>
      </w:pPr>
      <w:r>
        <w:t xml:space="preserve">POST: Costco Tariff Lawsuit - Supply Chain Transparency &amp; Policy Impact</w:t>
      </w:r>
    </w:p>
    <w:bookmarkStart w:id="20" w:name="full-post-text"/>
    <w:p>
      <w:pPr>
        <w:pStyle w:val="Heading3"/>
      </w:pPr>
      <w:r>
        <w:t xml:space="preserve">Full Post Text:</w:t>
      </w:r>
    </w:p>
    <w:p>
      <w:pPr>
        <w:pStyle w:val="FirstParagraph"/>
      </w:pPr>
      <w:r>
        <w:t xml:space="preserve">Costco just joined a growing list of companies suing the Trump administration over emergency tariffs. They’re not just seeking refunds—they’re fighting for something supply chains desperately need:</w:t>
      </w:r>
      <w:r>
        <w:t xml:space="preserve"> </w:t>
      </w:r>
      <w:r>
        <w:rPr>
          <w:b/>
          <w:bCs/>
        </w:rPr>
        <w:t xml:space="preserve">predictable rules</w:t>
      </w:r>
      <w:r>
        <w:t xml:space="preserve">.</w:t>
      </w:r>
    </w:p>
    <w:p>
      <w:pPr>
        <w:pStyle w:val="BodyText"/>
      </w:pPr>
      <w:r>
        <w:t xml:space="preserve">Here’s what matters:</w:t>
      </w:r>
    </w:p>
    <w:p>
      <w:pPr>
        <w:pStyle w:val="BodyText"/>
      </w:pPr>
      <w:r>
        <w:rPr>
          <w:b/>
          <w:bCs/>
        </w:rPr>
        <w:t xml:space="preserve">The Legal Fight:</w:t>
      </w:r>
      <w:r>
        <w:t xml:space="preserve"> </w:t>
      </w:r>
      <w:r>
        <w:t xml:space="preserve">Costco argues the emergency tariffs lacked proper authority under IEEPA. With a December 15 liquidation deadline looming, once duties are locked in, refunds become nearly impossible—even if courts rule the tariffs unlawful.</w:t>
      </w:r>
    </w:p>
    <w:p>
      <w:pPr>
        <w:pStyle w:val="BodyText"/>
      </w:pPr>
      <w:r>
        <w:rPr>
          <w:b/>
          <w:bCs/>
        </w:rPr>
        <w:t xml:space="preserve">Who Else Is Pushing Back:</w:t>
      </w:r>
      <w:r>
        <w:t xml:space="preserve"> </w:t>
      </w:r>
      <w:r>
        <w:t xml:space="preserve">Kawasaki Motors, Revlon, EssilorLuxottica, Learning Resources, and V.O.S. Selections are all challenging the same program. This isn’t one company—it’s a pattern.</w:t>
      </w:r>
    </w:p>
    <w:p>
      <w:pPr>
        <w:pStyle w:val="BodyText"/>
      </w:pPr>
      <w:r>
        <w:rPr>
          <w:b/>
          <w:bCs/>
        </w:rPr>
        <w:t xml:space="preserve">The Real Cost:</w:t>
      </w:r>
      <w:r>
        <w:t xml:space="preserve"> </w:t>
      </w:r>
      <w:r>
        <w:t xml:space="preserve">According to a recent report, tariffs changed</w:t>
      </w:r>
      <w:r>
        <w:t xml:space="preserve"> </w:t>
      </w:r>
      <w:r>
        <w:rPr>
          <w:b/>
          <w:bCs/>
        </w:rPr>
        <w:t xml:space="preserve">every four days in 2025</w:t>
      </w:r>
      <w:r>
        <w:t xml:space="preserve">. Retailers with narrow margins and seasonal demand can’t plan around that kind of volatility. The uncertainty doesn’t just add costs—it cascades through entire supply chains.</w:t>
      </w:r>
    </w:p>
    <w:p>
      <w:pPr>
        <w:pStyle w:val="BodyText"/>
      </w:pPr>
      <w:r>
        <w:rPr>
          <w:b/>
          <w:bCs/>
        </w:rPr>
        <w:t xml:space="preserve">The Bigger Picture:</w:t>
      </w:r>
      <w:r>
        <w:t xml:space="preserve"> </w:t>
      </w:r>
      <w:r>
        <w:t xml:space="preserve">A trade court recently invalidated earlier tariff actions using the same emergency powers. This case could reach the Supreme Court in 2026, potentially forcing billions in refunds and reshaping sourcing decisions across retail and manufacturing.</w:t>
      </w:r>
    </w:p>
    <w:p>
      <w:pPr>
        <w:pStyle w:val="BodyText"/>
      </w:pPr>
      <w:r>
        <w:t xml:space="preserve">At</w:t>
      </w:r>
      <w:r>
        <w:t xml:space="preserve"> </w:t>
      </w:r>
      <w:r>
        <w:rPr>
          <w:b/>
          <w:bCs/>
        </w:rPr>
        <w:t xml:space="preserve">Value Chain Hackers</w:t>
      </w:r>
      <w:r>
        <w:t xml:space="preserve">, we research how policy uncertainty impacts supply chain finance, transparency, and resilience. When the rules change every four days, supply chains can’t optimize—they just react.</w:t>
      </w:r>
    </w:p>
    <w:p>
      <w:pPr>
        <w:pStyle w:val="BodyText"/>
      </w:pPr>
      <w:r>
        <w:rPr>
          <w:b/>
          <w:bCs/>
        </w:rPr>
        <w:t xml:space="preserve">The question for 2026:</w:t>
      </w:r>
      <w:r>
        <w:t xml:space="preserve"> </w:t>
      </w:r>
      <w:r>
        <w:t xml:space="preserve">How do we build supply chains that can absorb policy shocks without breaking?</w:t>
      </w:r>
    </w:p>
    <w:p>
      <w:pPr>
        <w:pStyle w:val="BodyText"/>
      </w:pPr>
      <w:r>
        <w:t xml:space="preserve">Read the full story: https://www.supplychain247.com/article/costco-sues-trump-over-tariffs-refund-request</w:t>
      </w:r>
    </w:p>
    <w:p>
      <w:r>
        <w:pict>
          <v:rect style="width:0;height:1.5pt" o:hralign="center" o:hrstd="t" o:hr="t"/>
        </w:pict>
      </w:r>
    </w:p>
    <w:bookmarkEnd w:id="20"/>
    <w:bookmarkStart w:id="21" w:name="hashtags"/>
    <w:p>
      <w:pPr>
        <w:pStyle w:val="Heading3"/>
      </w:pPr>
      <w:r>
        <w:t xml:space="preserve">Hashtags:</w:t>
      </w:r>
    </w:p>
    <w:p>
      <w:pPr>
        <w:pStyle w:val="FirstParagraph"/>
      </w:pPr>
      <w:r>
        <w:t xml:space="preserve">#SupplyChain #Tariffs #Policy #SupplyChainFinance #Transparency #ValueChainHackers #SupplyChainResilience #TradePolicy #Costco #SCF #SupplyChainManagement #Logistics #ImportCompliance #RegulatoryUncertainty #SupplyChainStrategy</w:t>
      </w:r>
    </w:p>
    <w:p>
      <w:r>
        <w:pict>
          <v:rect style="width:0;height:1.5pt" o:hralign="center" o:hrstd="t" o:hr="t"/>
        </w:pict>
      </w:r>
    </w:p>
    <w:bookmarkEnd w:id="21"/>
    <w:bookmarkStart w:id="22" w:name="engagement-hook"/>
    <w:p>
      <w:pPr>
        <w:pStyle w:val="Heading3"/>
      </w:pPr>
      <w:r>
        <w:t xml:space="preserve">Engagement Hook:</w:t>
      </w:r>
    </w:p>
    <w:p>
      <w:pPr>
        <w:pStyle w:val="FirstParagraph"/>
      </w:pPr>
      <w:r>
        <w:rPr>
          <w:b/>
          <w:bCs/>
        </w:rPr>
        <w:t xml:space="preserve">Question to audience:</w:t>
      </w:r>
      <w:r>
        <w:t xml:space="preserve"> </w:t>
      </w:r>
      <w:r>
        <w:t xml:space="preserve">“How is your organization planning for tariff volatility in 2026? Are you diversifying suppliers, absorbing costs, or passing them through?”</w:t>
      </w:r>
    </w:p>
    <w:p>
      <w:r>
        <w:pict>
          <v:rect style="width:0;height:1.5pt" o:hralign="center" o:hrstd="t" o:hr="t"/>
        </w:pict>
      </w:r>
    </w:p>
    <w:bookmarkEnd w:id="22"/>
    <w:bookmarkStart w:id="23" w:name="key-statisticsquotes-to-highlight"/>
    <w:p>
      <w:pPr>
        <w:pStyle w:val="Heading3"/>
      </w:pPr>
      <w:r>
        <w:t xml:space="preserve">Key Statistics/Quotes to Highlight:</w:t>
      </w:r>
    </w:p>
    <w:p>
      <w:pPr>
        <w:pStyle w:val="Compact"/>
        <w:numPr>
          <w:ilvl w:val="0"/>
          <w:numId w:val="1001"/>
        </w:numPr>
      </w:pPr>
      <w:r>
        <w:rPr>
          <w:b/>
          <w:bCs/>
        </w:rPr>
        <w:t xml:space="preserve">“Tariffs changed every four days in 2025”</w:t>
      </w:r>
      <w:r>
        <w:t xml:space="preserve"> </w:t>
      </w:r>
      <w:r>
        <w:t xml:space="preserve">(from related report)</w:t>
      </w:r>
    </w:p>
    <w:p>
      <w:pPr>
        <w:pStyle w:val="Compact"/>
        <w:numPr>
          <w:ilvl w:val="0"/>
          <w:numId w:val="1001"/>
        </w:numPr>
      </w:pPr>
      <w:r>
        <w:rPr>
          <w:b/>
          <w:bCs/>
        </w:rPr>
        <w:t xml:space="preserve">December 15 liquidation deadline</w:t>
      </w:r>
      <w:r>
        <w:t xml:space="preserve"> </w:t>
      </w:r>
      <w:r>
        <w:t xml:space="preserve">= point of no return for refunds</w:t>
      </w:r>
    </w:p>
    <w:p>
      <w:pPr>
        <w:pStyle w:val="Compact"/>
        <w:numPr>
          <w:ilvl w:val="0"/>
          <w:numId w:val="1001"/>
        </w:numPr>
      </w:pPr>
      <w:r>
        <w:rPr>
          <w:b/>
          <w:bCs/>
        </w:rPr>
        <w:t xml:space="preserve">Multiple companies suing</w:t>
      </w:r>
      <w:r>
        <w:t xml:space="preserve"> </w:t>
      </w:r>
      <w:r>
        <w:t xml:space="preserve">(not an isolated case)</w:t>
      </w:r>
    </w:p>
    <w:p>
      <w:pPr>
        <w:pStyle w:val="Compact"/>
        <w:numPr>
          <w:ilvl w:val="0"/>
          <w:numId w:val="1001"/>
        </w:numPr>
      </w:pPr>
      <w:r>
        <w:rPr>
          <w:b/>
          <w:bCs/>
        </w:rPr>
        <w:t xml:space="preserve">Billions in potential refunds</w:t>
      </w:r>
      <w:r>
        <w:t xml:space="preserve"> </w:t>
      </w:r>
      <w:r>
        <w:t xml:space="preserve">if Supreme Court rules against tariffs</w:t>
      </w:r>
    </w:p>
    <w:p>
      <w:r>
        <w:pict>
          <v:rect style="width:0;height:1.5pt" o:hralign="center" o:hrstd="t" o:hr="t"/>
        </w:pict>
      </w:r>
    </w:p>
    <w:bookmarkEnd w:id="23"/>
    <w:bookmarkStart w:id="24" w:name="vch-research-connection"/>
    <w:p>
      <w:pPr>
        <w:pStyle w:val="Heading3"/>
      </w:pPr>
      <w:r>
        <w:t xml:space="preserve">VCH Research Connection:</w:t>
      </w:r>
    </w:p>
    <w:p>
      <w:pPr>
        <w:pStyle w:val="Compact"/>
        <w:numPr>
          <w:ilvl w:val="0"/>
          <w:numId w:val="1002"/>
        </w:numPr>
      </w:pPr>
      <w:r>
        <w:t xml:space="preserve">Supply chain finance impact (working capital, cash flow under tariff pressure)</w:t>
      </w:r>
    </w:p>
    <w:p>
      <w:pPr>
        <w:pStyle w:val="Compact"/>
        <w:numPr>
          <w:ilvl w:val="0"/>
          <w:numId w:val="1002"/>
        </w:numPr>
      </w:pPr>
      <w:r>
        <w:t xml:space="preserve">Policy-driven transparency gaps (unclear legal frameworks)</w:t>
      </w:r>
    </w:p>
    <w:p>
      <w:pPr>
        <w:pStyle w:val="Compact"/>
        <w:numPr>
          <w:ilvl w:val="0"/>
          <w:numId w:val="1002"/>
        </w:numPr>
      </w:pPr>
      <w:r>
        <w:t xml:space="preserve">Supply chain resilience strategies under regulatory uncertainty</w:t>
      </w:r>
    </w:p>
    <w:p>
      <w:pPr>
        <w:pStyle w:val="Compact"/>
        <w:numPr>
          <w:ilvl w:val="0"/>
          <w:numId w:val="1002"/>
        </w:numPr>
      </w:pPr>
      <w:r>
        <w:t xml:space="preserve">Trade compliance and ethical sourcing intersections</w:t>
      </w:r>
    </w:p>
    <w:p>
      <w:r>
        <w:pict>
          <v:rect style="width:0;height:1.5pt" o:hralign="center" o:hrstd="t" o:hr="t"/>
        </w:pict>
      </w:r>
    </w:p>
    <w:bookmarkEnd w:id="24"/>
    <w:bookmarkStart w:id="25" w:name="alternative-shorter-version-for-twitterx"/>
    <w:p>
      <w:pPr>
        <w:pStyle w:val="Heading3"/>
      </w:pPr>
      <w:r>
        <w:t xml:space="preserve">Alternative Shorter Version (for Twitter/X):</w:t>
      </w:r>
    </w:p>
    <w:p>
      <w:pPr>
        <w:pStyle w:val="FirstParagraph"/>
      </w:pPr>
      <w:r>
        <w:t xml:space="preserve">Costco is suing over emergency tariffs—and they’re not alone.</w:t>
      </w:r>
    </w:p>
    <w:p>
      <w:pPr>
        <w:pStyle w:val="BodyText"/>
      </w:pPr>
      <w:r>
        <w:t xml:space="preserve">Tariffs changed every 4 days in 2025. Retailers can’t plan around that.</w:t>
      </w:r>
    </w:p>
    <w:p>
      <w:pPr>
        <w:pStyle w:val="BodyText"/>
      </w:pPr>
      <w:r>
        <w:t xml:space="preserve">At</w:t>
      </w:r>
      <w:r>
        <w:t xml:space="preserve"> </w:t>
      </w:r>
      <w:r>
        <w:t xml:space="preserve">@ValueChainHack</w:t>
      </w:r>
      <w:r>
        <w:t xml:space="preserve">, we research how policy volatility impacts supply chain finance and resilience.</w:t>
      </w:r>
    </w:p>
    <w:p>
      <w:pPr>
        <w:pStyle w:val="BodyText"/>
      </w:pPr>
      <w:r>
        <w:t xml:space="preserve">The question: How do we build chains that absorb shocks without breaking?</w:t>
      </w:r>
    </w:p>
    <w:p>
      <w:pPr>
        <w:pStyle w:val="BodyText"/>
      </w:pPr>
      <w:r>
        <w:t xml:space="preserve">#SupplyChain #Tariffs #SCF</w:t>
      </w:r>
    </w:p>
    <w:p>
      <w:pPr>
        <w:pStyle w:val="BodyText"/>
      </w:pPr>
      <w:r>
        <w:t xml:space="preserve">https://www.supplychain247.com/article/costco-sues-trump-over-tariffs-refund-request</w:t>
      </w:r>
    </w:p>
    <w:p>
      <w:r>
        <w:pict>
          <v:rect style="width:0;height:1.5pt" o:hralign="center" o:hrstd="t" o:hr="t"/>
        </w:pict>
      </w:r>
    </w:p>
    <w:bookmarkEnd w:id="25"/>
    <w:bookmarkStart w:id="26" w:name="post-performance-goals"/>
    <w:p>
      <w:pPr>
        <w:pStyle w:val="Heading3"/>
      </w:pPr>
      <w:r>
        <w:t xml:space="preserve">Post Performance Goals:</w:t>
      </w:r>
    </w:p>
    <w:p>
      <w:pPr>
        <w:pStyle w:val="Compact"/>
        <w:numPr>
          <w:ilvl w:val="0"/>
          <w:numId w:val="1003"/>
        </w:numPr>
      </w:pPr>
      <w:r>
        <w:rPr>
          <w:b/>
          <w:bCs/>
        </w:rPr>
        <w:t xml:space="preserve">Engagement Target:</w:t>
      </w:r>
      <w:r>
        <w:t xml:space="preserve"> </w:t>
      </w:r>
      <w:r>
        <w:t xml:space="preserve">50+ reactions, 10+ comments</w:t>
      </w:r>
    </w:p>
    <w:p>
      <w:pPr>
        <w:pStyle w:val="Compact"/>
        <w:numPr>
          <w:ilvl w:val="0"/>
          <w:numId w:val="1003"/>
        </w:numPr>
      </w:pPr>
      <w:r>
        <w:rPr>
          <w:b/>
          <w:bCs/>
        </w:rPr>
        <w:t xml:space="preserve">Audience Reach:</w:t>
      </w:r>
      <w:r>
        <w:t xml:space="preserve"> </w:t>
      </w:r>
      <w:r>
        <w:t xml:space="preserve">Supply chain directors, policymakers, trade compliance professionals</w:t>
      </w:r>
    </w:p>
    <w:p>
      <w:pPr>
        <w:pStyle w:val="Compact"/>
        <w:numPr>
          <w:ilvl w:val="0"/>
          <w:numId w:val="1003"/>
        </w:numPr>
      </w:pPr>
      <w:r>
        <w:rPr>
          <w:b/>
          <w:bCs/>
        </w:rPr>
        <w:t xml:space="preserve">Call-to-Action:</w:t>
      </w:r>
      <w:r>
        <w:t xml:space="preserve"> </w:t>
      </w:r>
      <w:r>
        <w:t xml:space="preserve">Drive discussion on tariff planning strategies</w:t>
      </w:r>
    </w:p>
    <w:p>
      <w:pPr>
        <w:pStyle w:val="Compact"/>
        <w:numPr>
          <w:ilvl w:val="0"/>
          <w:numId w:val="1003"/>
        </w:numPr>
      </w:pPr>
      <w:r>
        <w:rPr>
          <w:b/>
          <w:bCs/>
        </w:rPr>
        <w:t xml:space="preserve">Link Clicks:</w:t>
      </w:r>
      <w:r>
        <w:t xml:space="preserve"> </w:t>
      </w:r>
      <w:r>
        <w:t xml:space="preserve">25+ to article</w:t>
      </w:r>
    </w:p>
    <w:p>
      <w:r>
        <w:pict>
          <v:rect style="width:0;height:1.5pt" o:hralign="center" o:hrstd="t" o:hr="t"/>
        </w:pict>
      </w:r>
    </w:p>
    <w:bookmarkEnd w:id="26"/>
    <w:bookmarkStart w:id="27" w:name="Xd2be95588b07a2f5f28c5fcbf688a084b8b78f5"/>
    <w:p>
      <w:pPr>
        <w:pStyle w:val="Heading3"/>
      </w:pPr>
      <w:r>
        <w:t xml:space="preserve">Related Content to Share in Comments (Optional):</w:t>
      </w:r>
    </w:p>
    <w:p>
      <w:pPr>
        <w:pStyle w:val="Compact"/>
        <w:numPr>
          <w:ilvl w:val="0"/>
          <w:numId w:val="1004"/>
        </w:numPr>
      </w:pPr>
      <w:r>
        <w:t xml:space="preserve">“How Companies Can Build Tariff-Resilient Supply Chains”</w:t>
      </w:r>
      <w:r>
        <w:t xml:space="preserve"> </w:t>
      </w:r>
      <w:r>
        <w:t xml:space="preserve">article</w:t>
      </w:r>
    </w:p>
    <w:p>
      <w:pPr>
        <w:pStyle w:val="Compact"/>
        <w:numPr>
          <w:ilvl w:val="0"/>
          <w:numId w:val="1004"/>
        </w:numPr>
      </w:pPr>
      <w:r>
        <w:t xml:space="preserve">VCH research on supply chain finance under policy uncertainty</w:t>
      </w:r>
    </w:p>
    <w:p>
      <w:pPr>
        <w:pStyle w:val="Compact"/>
        <w:numPr>
          <w:ilvl w:val="0"/>
          <w:numId w:val="1004"/>
        </w:numPr>
      </w:pPr>
      <w:r>
        <w:t xml:space="preserve">Invitation to connect with VCH researchers working on trade compliance</w:t>
      </w:r>
    </w:p>
    <w:p>
      <w:r>
        <w:pict>
          <v:rect style="width:0;height:1.5pt" o:hralign="center" o:hrstd="t" o:hr="t"/>
        </w:pict>
      </w:r>
    </w:p>
    <w:bookmarkEnd w:id="27"/>
    <w:bookmarkStart w:id="28" w:name="posting-strategy"/>
    <w:p>
      <w:pPr>
        <w:pStyle w:val="Heading3"/>
      </w:pPr>
      <w:r>
        <w:t xml:space="preserve">Posting Strategy:</w:t>
      </w:r>
    </w:p>
    <w:p>
      <w:pPr>
        <w:pStyle w:val="Compact"/>
        <w:numPr>
          <w:ilvl w:val="0"/>
          <w:numId w:val="1005"/>
        </w:numPr>
      </w:pPr>
      <w:r>
        <w:rPr>
          <w:b/>
          <w:bCs/>
        </w:rPr>
        <w:t xml:space="preserve">Best Day:</w:t>
      </w:r>
      <w:r>
        <w:t xml:space="preserve"> </w:t>
      </w:r>
      <w:r>
        <w:t xml:space="preserve">Thursday (Thought Leadership day per LinkedIn strategy)</w:t>
      </w:r>
    </w:p>
    <w:p>
      <w:pPr>
        <w:pStyle w:val="Compact"/>
        <w:numPr>
          <w:ilvl w:val="0"/>
          <w:numId w:val="1005"/>
        </w:numPr>
      </w:pPr>
      <w:r>
        <w:rPr>
          <w:b/>
          <w:bCs/>
        </w:rPr>
        <w:t xml:space="preserve">Best Time:</w:t>
      </w:r>
      <w:r>
        <w:t xml:space="preserve"> </w:t>
      </w:r>
      <w:r>
        <w:t xml:space="preserve">8-10am EST (peak B2B engagement)</w:t>
      </w:r>
    </w:p>
    <w:p>
      <w:pPr>
        <w:pStyle w:val="Compact"/>
        <w:numPr>
          <w:ilvl w:val="0"/>
          <w:numId w:val="1005"/>
        </w:numPr>
      </w:pPr>
      <w:r>
        <w:rPr>
          <w:b/>
          <w:bCs/>
        </w:rPr>
        <w:t xml:space="preserve">Follow-up:</w:t>
      </w:r>
      <w:r>
        <w:t xml:space="preserve"> </w:t>
      </w:r>
      <w:r>
        <w:t xml:space="preserve">Monitor comments and respond within 2 hours</w:t>
      </w:r>
    </w:p>
    <w:p>
      <w:pPr>
        <w:pStyle w:val="Compact"/>
        <w:numPr>
          <w:ilvl w:val="0"/>
          <w:numId w:val="1005"/>
        </w:numPr>
      </w:pPr>
      <w:r>
        <w:rPr>
          <w:b/>
          <w:bCs/>
        </w:rPr>
        <w:t xml:space="preserve">Cross-promotion:</w:t>
      </w:r>
      <w:r>
        <w:t xml:space="preserve"> </w:t>
      </w:r>
      <w:r>
        <w:t xml:space="preserve">Share to Twitter/X 2 hours after LinkedIn post</w:t>
      </w:r>
    </w:p>
    <w:p>
      <w:r>
        <w:pict>
          <v:rect style="width:0;height:1.5pt" o:hralign="center" o:hrstd="t" o:hr="t"/>
        </w:pict>
      </w:r>
    </w:p>
    <w:bookmarkEnd w:id="28"/>
    <w:bookmarkStart w:id="29" w:name="notes"/>
    <w:p>
      <w:pPr>
        <w:pStyle w:val="Heading3"/>
      </w:pPr>
      <w:r>
        <w:t xml:space="preserve">Notes:</w:t>
      </w:r>
    </w:p>
    <w:p>
      <w:pPr>
        <w:pStyle w:val="Compact"/>
        <w:numPr>
          <w:ilvl w:val="0"/>
          <w:numId w:val="1006"/>
        </w:numPr>
      </w:pPr>
      <w:r>
        <w:t xml:space="preserve">This post positions VCH as policy-aware researchers, not advocates</w:t>
      </w:r>
    </w:p>
    <w:p>
      <w:pPr>
        <w:pStyle w:val="Compact"/>
        <w:numPr>
          <w:ilvl w:val="0"/>
          <w:numId w:val="1006"/>
        </w:numPr>
      </w:pPr>
      <w:r>
        <w:t xml:space="preserve">Focuses on</w:t>
      </w:r>
      <w:r>
        <w:t xml:space="preserve"> </w:t>
      </w:r>
      <w:r>
        <w:rPr>
          <w:b/>
          <w:bCs/>
        </w:rPr>
        <w:t xml:space="preserve">transparency</w:t>
      </w:r>
      <w:r>
        <w:t xml:space="preserve"> </w:t>
      </w:r>
      <w:r>
        <w:t xml:space="preserve">and</w:t>
      </w:r>
      <w:r>
        <w:t xml:space="preserve"> </w:t>
      </w:r>
      <w:r>
        <w:rPr>
          <w:b/>
          <w:bCs/>
        </w:rPr>
        <w:t xml:space="preserve">predictability</w:t>
      </w:r>
      <w:r>
        <w:t xml:space="preserve"> </w:t>
      </w:r>
      <w:r>
        <w:t xml:space="preserve">(core VCH values)</w:t>
      </w:r>
    </w:p>
    <w:p>
      <w:pPr>
        <w:pStyle w:val="Compact"/>
        <w:numPr>
          <w:ilvl w:val="0"/>
          <w:numId w:val="1006"/>
        </w:numPr>
      </w:pPr>
      <w:r>
        <w:t xml:space="preserve">Connects tariff volatility to supply chain finance (VCH research area)</w:t>
      </w:r>
    </w:p>
    <w:p>
      <w:pPr>
        <w:pStyle w:val="Compact"/>
        <w:numPr>
          <w:ilvl w:val="0"/>
          <w:numId w:val="1006"/>
        </w:numPr>
      </w:pPr>
      <w:r>
        <w:t xml:space="preserve">Invites discussion rather than taking political stance</w:t>
      </w:r>
    </w:p>
    <w:p>
      <w:pPr>
        <w:pStyle w:val="Compact"/>
        <w:numPr>
          <w:ilvl w:val="0"/>
          <w:numId w:val="1006"/>
        </w:numPr>
      </w:pPr>
      <w:r>
        <w:t xml:space="preserve">Demonstrates VCH’s value: research that helps navigate uncertainty</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2025-12-19T14:16:41Z</dcterms:created>
  <dcterms:modified xsi:type="dcterms:W3CDTF">2025-12-19T14:16:41Z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