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C634C" w14:paraId="6987E101" w14:textId="77777777">
        <w:trPr>
          <w:jc w:val="center"/>
        </w:trPr>
        <w:tc>
          <w:tcPr>
            <w:tcW w:w="0" w:type="auto"/>
            <w:tcBorders>
              <w:top w:val="single" w:sz="12" w:space="0" w:color="1F6F78"/>
              <w:left w:val="single" w:sz="12" w:space="0" w:color="1F6F78"/>
              <w:bottom w:val="single" w:sz="12" w:space="0" w:color="1F6F78"/>
              <w:right w:val="single" w:sz="12" w:space="0" w:color="1F6F78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EB78D8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F6F78"/>
                <w:sz w:val="22"/>
                <w:szCs w:val="22"/>
              </w:rPr>
              <w:t>Dossier d’adressage · Partie Médicale</w:t>
            </w:r>
          </w:p>
        </w:tc>
      </w:tr>
    </w:tbl>
    <w:p w14:paraId="1CCFDF86" w14:textId="77777777" w:rsidR="009C634C" w:rsidRDefault="00000000">
      <w:pPr>
        <w:spacing w:after="100" w:line="276" w:lineRule="auto"/>
        <w:jc w:val="center"/>
      </w:pPr>
      <w:r>
        <w:rPr>
          <w:i/>
          <w:iCs/>
          <w:color w:val="16515A"/>
          <w:sz w:val="19"/>
          <w:szCs w:val="19"/>
        </w:rPr>
        <w:t>(</w:t>
      </w:r>
      <w:proofErr w:type="gramStart"/>
      <w:r>
        <w:rPr>
          <w:i/>
          <w:iCs/>
          <w:color w:val="16515A"/>
          <w:sz w:val="19"/>
          <w:szCs w:val="19"/>
        </w:rPr>
        <w:t>à</w:t>
      </w:r>
      <w:proofErr w:type="gramEnd"/>
      <w:r>
        <w:rPr>
          <w:i/>
          <w:iCs/>
          <w:color w:val="16515A"/>
          <w:sz w:val="19"/>
          <w:szCs w:val="19"/>
        </w:rPr>
        <w:t xml:space="preserve"> remplir par le médecin adressant)</w:t>
      </w:r>
    </w:p>
    <w:p w14:paraId="55065BDD" w14:textId="166E52DE" w:rsidR="00134BCB" w:rsidRDefault="00000000" w:rsidP="00DD5333">
      <w:pPr>
        <w:spacing w:before="120" w:line="276" w:lineRule="auto"/>
        <w:jc w:val="both"/>
      </w:pPr>
      <w:r>
        <w:t xml:space="preserve">Le </w:t>
      </w:r>
      <w:r w:rsidR="00941979" w:rsidRPr="00941979">
        <w:rPr>
          <w:b/>
          <w:bCs/>
        </w:rPr>
        <w:t>DPL TDAH</w:t>
      </w:r>
      <w:r>
        <w:t xml:space="preserve"> des Makaras est </w:t>
      </w:r>
      <w:r w:rsidRPr="00DD5333">
        <w:rPr>
          <w:b/>
          <w:bCs/>
        </w:rPr>
        <w:t>un outil d’appui aux médecins</w:t>
      </w:r>
      <w:r>
        <w:t xml:space="preserve"> : il permet une </w:t>
      </w:r>
      <w:r>
        <w:rPr>
          <w:b/>
          <w:bCs/>
        </w:rPr>
        <w:t>télé-expertise entre le médecin adressant et l’équipe</w:t>
      </w:r>
      <w:r>
        <w:t xml:space="preserve"> sur la question du TDAH de l’adulte. </w:t>
      </w:r>
      <w:r>
        <w:rPr>
          <w:b/>
          <w:bCs/>
        </w:rPr>
        <w:t>Les Makaras ne reçoivent pas les patients en consultation pour le TDAH</w:t>
      </w:r>
      <w:r w:rsidR="00DD5333">
        <w:rPr>
          <w:b/>
          <w:bCs/>
        </w:rPr>
        <w:t> ;</w:t>
      </w:r>
      <w:r w:rsidR="00134BCB">
        <w:rPr>
          <w:b/>
          <w:bCs/>
        </w:rPr>
        <w:t xml:space="preserve"> </w:t>
      </w:r>
      <w:r w:rsidR="00134BCB">
        <w:t>pour une évaluation spécialisée, le Centre Ressource TDAH de Marseille peut être sollicité.</w:t>
      </w:r>
      <w:r w:rsidR="00134BCB">
        <w:rPr>
          <w:b/>
          <w:bCs/>
        </w:rPr>
        <w:t xml:space="preserve"> </w:t>
      </w:r>
      <w:r w:rsidR="00134BCB">
        <w:t xml:space="preserve">Ce dossier recueille les éléments nécessaires à l’étude de votre demande. Il comporte </w:t>
      </w:r>
      <w:r w:rsidR="00134BCB">
        <w:rPr>
          <w:b/>
          <w:bCs/>
        </w:rPr>
        <w:t>deux volets</w:t>
      </w:r>
      <w:r w:rsidR="00134BCB">
        <w:t xml:space="preserve"> :</w:t>
      </w:r>
    </w:p>
    <w:p w14:paraId="2A658AEE" w14:textId="43FA1353" w:rsidR="00134BCB" w:rsidRDefault="00000000" w:rsidP="00DD5333">
      <w:pPr>
        <w:spacing w:before="12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4BCB">
            <w:rPr>
              <w:rFonts w:ascii="MS Gothic" w:eastAsia="MS Gothic" w:hAnsi="MS Gothic" w:hint="eastAsia"/>
            </w:rPr>
            <w:t>☐</w:t>
          </w:r>
        </w:sdtContent>
      </w:sdt>
      <w:r w:rsidR="00134BCB">
        <w:t xml:space="preserve"> La présente Partie Patient, à compléter par le patient lui même</w:t>
      </w:r>
    </w:p>
    <w:p w14:paraId="5C873E40" w14:textId="77777777" w:rsidR="00134BCB" w:rsidRDefault="00000000" w:rsidP="00DD5333">
      <w:pPr>
        <w:spacing w:before="12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0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4BCB">
            <w:rPr>
              <w:rFonts w:ascii="MS Gothic" w:eastAsia="MS Gothic" w:hAnsi="MS Gothic" w:hint="eastAsia"/>
            </w:rPr>
            <w:t>☐</w:t>
          </w:r>
        </w:sdtContent>
      </w:sdt>
      <w:r w:rsidR="00134BCB">
        <w:t xml:space="preserve"> Une Partie Médicale, à compléter par le médecin </w:t>
      </w:r>
      <w:proofErr w:type="spellStart"/>
      <w:r w:rsidR="00134BCB">
        <w:t>adresseur</w:t>
      </w:r>
      <w:proofErr w:type="spellEnd"/>
      <w:r w:rsidR="00134BCB">
        <w:t>. Cette partie est à transmettre directement aux Makaras (courrier ou courriel</w:t>
      </w:r>
      <w:r w:rsidR="00941979">
        <w:t xml:space="preserve"> à </w:t>
      </w:r>
      <w:r w:rsidR="00941979" w:rsidRPr="00941979">
        <w:rPr>
          <w:b/>
          <w:bCs/>
          <w:color w:val="1F6F78"/>
        </w:rPr>
        <w:t>UMAA@ch-valvert.fr</w:t>
      </w:r>
      <w:r w:rsidR="00134BCB">
        <w:t xml:space="preserve">), sans </w:t>
      </w:r>
      <w:r w:rsidR="00941979">
        <w:t xml:space="preserve">forcément </w:t>
      </w:r>
      <w:r w:rsidR="00134BCB">
        <w:t>transiter par le patient</w:t>
      </w:r>
    </w:p>
    <w:p w14:paraId="6DBECA54" w14:textId="066B46C9" w:rsidR="009C634C" w:rsidRDefault="00000000" w:rsidP="00DD5333">
      <w:pPr>
        <w:spacing w:before="120" w:line="276" w:lineRule="auto"/>
        <w:jc w:val="both"/>
      </w:pPr>
      <w:r>
        <w:t>Les deux volets sont étudiés conjointement afin de proposer une télé-expertise avec le médecin adressant, ou une orientation vers une évaluation spécialisée.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C634C" w14:paraId="384C9903" w14:textId="77777777">
        <w:tc>
          <w:tcPr>
            <w:tcW w:w="0" w:type="auto"/>
            <w:tcBorders>
              <w:top w:val="single" w:sz="4" w:space="0" w:color="1F6F78"/>
              <w:left w:val="single" w:sz="28" w:space="0" w:color="1F6F78"/>
              <w:bottom w:val="single" w:sz="4" w:space="0" w:color="1F6F78"/>
              <w:right w:val="single" w:sz="4" w:space="0" w:color="1F6F78"/>
            </w:tcBorders>
            <w:shd w:val="clear" w:color="auto" w:fill="F4EF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64F0A0" w14:textId="77777777" w:rsidR="009C634C" w:rsidRDefault="00000000">
            <w:pPr>
              <w:spacing w:before="20" w:after="10" w:line="276" w:lineRule="auto"/>
            </w:pPr>
            <w:sdt>
              <w:sdtPr>
                <w:rPr>
                  <w:rFonts w:ascii="MS Gothic" w:eastAsia="MS Gothic" w:hAnsi="MS Gothic" w:hint="eastAsia"/>
                </w:rPr>
                <w:id w:val="8000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Un suivi médical régulier du patient est nécessaire pour l’étude de la demande.</w:t>
            </w:r>
          </w:p>
          <w:p w14:paraId="7A700A8E" w14:textId="77777777" w:rsidR="009C634C" w:rsidRDefault="00000000">
            <w:pPr>
              <w:spacing w:before="20" w:after="10" w:line="276" w:lineRule="auto"/>
            </w:pPr>
            <w:sdt>
              <w:sdtPr>
                <w:rPr>
                  <w:rFonts w:ascii="MS Gothic" w:eastAsia="MS Gothic" w:hAnsi="MS Gothic" w:hint="eastAsia"/>
                </w:rPr>
                <w:id w:val="8000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Le dossier n’est étudié qu’après réception des deux volets, complétés de façon exhaustive.</w:t>
            </w:r>
          </w:p>
          <w:p w14:paraId="5B326B56" w14:textId="03419380" w:rsidR="009C634C" w:rsidRDefault="00000000" w:rsidP="00134BCB">
            <w:pPr>
              <w:spacing w:before="20" w:after="10" w:line="276" w:lineRule="auto"/>
            </w:pPr>
            <w:sdt>
              <w:sdtPr>
                <w:rPr>
                  <w:rFonts w:ascii="MS Gothic" w:eastAsia="MS Gothic" w:hAnsi="MS Gothic" w:hint="eastAsia"/>
                </w:rPr>
                <w:id w:val="8000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Dispositif réservé aux patients résidant en région PACA.</w:t>
            </w:r>
          </w:p>
        </w:tc>
      </w:tr>
    </w:tbl>
    <w:p w14:paraId="6D96C89A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Identification</w:t>
      </w:r>
    </w:p>
    <w:p w14:paraId="4C9AA4D8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Patient(e)</w:t>
      </w:r>
    </w:p>
    <w:p w14:paraId="63B2D7B2" w14:textId="77777777" w:rsidR="009C634C" w:rsidRDefault="00000000">
      <w:pPr>
        <w:tabs>
          <w:tab w:val="right" w:leader="dot" w:pos="4750"/>
          <w:tab w:val="left" w:pos="5000"/>
          <w:tab w:val="right" w:leader="dot" w:pos="9638"/>
        </w:tabs>
        <w:spacing w:after="80" w:line="276" w:lineRule="auto"/>
      </w:pPr>
      <w:r>
        <w:rPr>
          <w:b/>
          <w:bCs/>
        </w:rPr>
        <w:t xml:space="preserve">Nom : </w:t>
      </w:r>
      <w:r>
        <w:tab/>
      </w:r>
      <w:r>
        <w:tab/>
      </w:r>
      <w:r>
        <w:rPr>
          <w:b/>
          <w:bCs/>
        </w:rPr>
        <w:t xml:space="preserve">Prénom : </w:t>
      </w:r>
      <w:r>
        <w:tab/>
      </w:r>
    </w:p>
    <w:p w14:paraId="5F09B0B6" w14:textId="77777777" w:rsidR="009C634C" w:rsidRDefault="00000000">
      <w:pPr>
        <w:tabs>
          <w:tab w:val="right" w:leader="dot" w:pos="4750"/>
          <w:tab w:val="left" w:pos="5000"/>
          <w:tab w:val="right" w:leader="dot" w:pos="9638"/>
        </w:tabs>
        <w:spacing w:after="80" w:line="276" w:lineRule="auto"/>
      </w:pPr>
      <w:r>
        <w:rPr>
          <w:b/>
          <w:bCs/>
        </w:rPr>
        <w:t xml:space="preserve">Date de naissance : </w:t>
      </w:r>
      <w:r>
        <w:tab/>
      </w:r>
      <w:r>
        <w:tab/>
      </w:r>
      <w:r>
        <w:rPr>
          <w:b/>
          <w:bCs/>
        </w:rPr>
        <w:t xml:space="preserve">Sexe : </w:t>
      </w:r>
      <w:r>
        <w:tab/>
      </w:r>
    </w:p>
    <w:p w14:paraId="11CD2949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Médecin adressant</w:t>
      </w:r>
    </w:p>
    <w:p w14:paraId="06B58FF8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Nom et prénom : </w:t>
      </w:r>
      <w:r>
        <w:tab/>
      </w:r>
    </w:p>
    <w:p w14:paraId="7E60C447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Adresse </w:t>
      </w:r>
      <w:r>
        <w:rPr>
          <w:i/>
          <w:iCs/>
          <w:sz w:val="16"/>
          <w:szCs w:val="16"/>
        </w:rPr>
        <w:t>(obligatoire)</w:t>
      </w:r>
      <w:r>
        <w:rPr>
          <w:b/>
          <w:bCs/>
        </w:rPr>
        <w:t xml:space="preserve"> : </w:t>
      </w:r>
      <w:r>
        <w:tab/>
      </w:r>
    </w:p>
    <w:p w14:paraId="6156D7EB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Téléphone </w:t>
      </w:r>
      <w:r>
        <w:rPr>
          <w:i/>
          <w:iCs/>
          <w:sz w:val="16"/>
          <w:szCs w:val="16"/>
        </w:rPr>
        <w:t>(obligatoire)</w:t>
      </w:r>
      <w:r>
        <w:rPr>
          <w:b/>
          <w:bCs/>
        </w:rPr>
        <w:t xml:space="preserve"> : </w:t>
      </w:r>
      <w:r>
        <w:tab/>
      </w:r>
    </w:p>
    <w:p w14:paraId="5BA64396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Courriel </w:t>
      </w:r>
      <w:r>
        <w:rPr>
          <w:i/>
          <w:iCs/>
          <w:sz w:val="16"/>
          <w:szCs w:val="16"/>
        </w:rPr>
        <w:t>(obligatoire)</w:t>
      </w:r>
      <w:r>
        <w:rPr>
          <w:b/>
          <w:bCs/>
        </w:rPr>
        <w:t xml:space="preserve"> : </w:t>
      </w:r>
      <w:r>
        <w:tab/>
      </w:r>
    </w:p>
    <w:p w14:paraId="147BBCF1" w14:textId="77777777" w:rsidR="009C634C" w:rsidRDefault="00000000">
      <w:pPr>
        <w:tabs>
          <w:tab w:val="right" w:leader="dot" w:pos="4950"/>
          <w:tab w:val="left" w:pos="5200"/>
          <w:tab w:val="right" w:leader="dot" w:pos="9638"/>
        </w:tabs>
        <w:spacing w:after="80" w:line="276" w:lineRule="auto"/>
      </w:pPr>
      <w:r>
        <w:rPr>
          <w:b/>
          <w:bCs/>
        </w:rPr>
        <w:t xml:space="preserve">Date de début du suivi : </w:t>
      </w:r>
      <w:r>
        <w:tab/>
      </w:r>
      <w:r>
        <w:tab/>
      </w:r>
      <w:r>
        <w:rPr>
          <w:b/>
          <w:bCs/>
        </w:rPr>
        <w:t xml:space="preserve">Fréquence des consultations : </w:t>
      </w:r>
      <w:r>
        <w:tab/>
      </w:r>
    </w:p>
    <w:p w14:paraId="6A0C2F28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1. Motif de la demande</w:t>
      </w:r>
    </w:p>
    <w:p w14:paraId="707A07EA" w14:textId="77777777" w:rsidR="009C634C" w:rsidRDefault="00000000">
      <w:pPr>
        <w:spacing w:before="20" w:after="60" w:line="276" w:lineRule="auto"/>
      </w:pPr>
      <w:sdt>
        <w:sdtPr>
          <w:rPr>
            <w:rFonts w:ascii="MS Gothic" w:eastAsia="MS Gothic" w:hAnsi="MS Gothic" w:hint="eastAsia"/>
          </w:rPr>
          <w:id w:val="8000000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Avis diagnostique      </w:t>
      </w:r>
      <w:sdt>
        <w:sdtPr>
          <w:rPr>
            <w:rFonts w:ascii="MS Gothic" w:eastAsia="MS Gothic" w:hAnsi="MS Gothic" w:hint="eastAsia"/>
          </w:rPr>
          <w:id w:val="8000000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Avis thérapeutique (échec ou </w:t>
      </w:r>
      <w:proofErr w:type="gramStart"/>
      <w:r>
        <w:t xml:space="preserve">intolérance)   </w:t>
      </w:r>
      <w:proofErr w:type="gramEnd"/>
      <w:r>
        <w:t xml:space="preserve">   </w:t>
      </w:r>
      <w:sdt>
        <w:sdtPr>
          <w:rPr>
            <w:rFonts w:ascii="MS Gothic" w:eastAsia="MS Gothic" w:hAnsi="MS Gothic" w:hint="eastAsia"/>
          </w:rPr>
          <w:id w:val="8000000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</w:t>
      </w:r>
    </w:p>
    <w:p w14:paraId="148E9BEA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Précisez (le cas échéant) : </w:t>
      </w:r>
      <w:r>
        <w:tab/>
      </w:r>
    </w:p>
    <w:p w14:paraId="3E0015E2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2. Observations cliniques</w:t>
      </w:r>
    </w:p>
    <w:p w14:paraId="24544995" w14:textId="77777777" w:rsidR="009C634C" w:rsidRDefault="00000000">
      <w:pPr>
        <w:spacing w:after="40" w:line="276" w:lineRule="auto"/>
        <w:jc w:val="both"/>
      </w:pPr>
      <w:r>
        <w:rPr>
          <w:i/>
          <w:iCs/>
          <w:sz w:val="18"/>
          <w:szCs w:val="18"/>
        </w:rPr>
        <w:t>Décrivez, dans la mesure du possible, les éléments observés (exemples concrets, contextes, ancienneté).</w:t>
      </w:r>
    </w:p>
    <w:p w14:paraId="5097A1BC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Inattention (distractibilité, oublis, étourderies, finalisation des tâches)</w:t>
      </w:r>
    </w:p>
    <w:p w14:paraId="64248382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67D606BD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18CD6BCF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Organisation / fonctions exécutives (planification, priorisation, gestion du temps, procrastination)</w:t>
      </w:r>
    </w:p>
    <w:p w14:paraId="1BADB44D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71EAA81D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52405EF0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Mémoire de travail</w:t>
      </w:r>
    </w:p>
    <w:p w14:paraId="0A870784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lastRenderedPageBreak/>
        <w:tab/>
      </w:r>
    </w:p>
    <w:p w14:paraId="7937FCC3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Hyperactivité (motrice et/ou psychique)</w:t>
      </w:r>
    </w:p>
    <w:p w14:paraId="73E8AC50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027736C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483C18A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Impulsivité (verbale, comportementale, prise de décision, achats)</w:t>
      </w:r>
    </w:p>
    <w:p w14:paraId="0DA493AB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7DC1B400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0B235CA3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Labilité émotionnelle / retentissement fonctionnel</w:t>
      </w:r>
    </w:p>
    <w:p w14:paraId="66A59DC6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7AA2967C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A73FFEB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Ancienneté et caractère envahissant des symptômes</w:t>
      </w:r>
    </w:p>
    <w:p w14:paraId="5F2DB15C" w14:textId="77777777" w:rsidR="009C634C" w:rsidRDefault="00000000">
      <w:pPr>
        <w:spacing w:after="40" w:line="276" w:lineRule="auto"/>
      </w:pPr>
      <w:r>
        <w:t xml:space="preserve">Plusieurs symptômes présents avant l’âge de 12 ans ?  </w:t>
      </w:r>
      <w:sdt>
        <w:sdtPr>
          <w:rPr>
            <w:rFonts w:ascii="MS Gothic" w:eastAsia="MS Gothic" w:hAnsi="MS Gothic" w:hint="eastAsia"/>
          </w:rPr>
          <w:id w:val="8000000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</w:t>
      </w:r>
      <w:sdt>
        <w:sdtPr>
          <w:rPr>
            <w:rFonts w:ascii="MS Gothic" w:eastAsia="MS Gothic" w:hAnsi="MS Gothic" w:hint="eastAsia"/>
          </w:rPr>
          <w:id w:val="8000000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Incertain</w:t>
      </w:r>
    </w:p>
    <w:p w14:paraId="76FA1233" w14:textId="77777777" w:rsidR="009C634C" w:rsidRDefault="00000000">
      <w:pPr>
        <w:spacing w:after="40" w:line="276" w:lineRule="auto"/>
      </w:pPr>
      <w:r>
        <w:t xml:space="preserve">Symptômes présents dans au moins 2 contextes (ex. travail, domicile, social) ?  </w:t>
      </w:r>
      <w:sdt>
        <w:sdtPr>
          <w:rPr>
            <w:rFonts w:ascii="MS Gothic" w:eastAsia="MS Gothic" w:hAnsi="MS Gothic" w:hint="eastAsia"/>
          </w:rPr>
          <w:id w:val="8000000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</w:t>
      </w:r>
      <w:sdt>
        <w:sdtPr>
          <w:rPr>
            <w:rFonts w:ascii="MS Gothic" w:eastAsia="MS Gothic" w:hAnsi="MS Gothic" w:hint="eastAsia"/>
          </w:rPr>
          <w:id w:val="800000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Incertain</w:t>
      </w:r>
    </w:p>
    <w:p w14:paraId="7299316D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État clinique actuel</w:t>
      </w:r>
    </w:p>
    <w:p w14:paraId="7A0A0905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6E0910B4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6CD2CE63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Diagnostics différentiels envisagés / comorbidités repérées</w:t>
      </w:r>
    </w:p>
    <w:p w14:paraId="6E4495B0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582F662A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2D6F4262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En cas de diagnostic déjà posé : anamnèse et évolution depuis le diagnostic</w:t>
      </w:r>
    </w:p>
    <w:p w14:paraId="20527D60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17A08233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03AFAC75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3. Antécédents</w:t>
      </w:r>
    </w:p>
    <w:p w14:paraId="0577B463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Personnels — somatiques / chirurgicaux</w:t>
      </w:r>
    </w:p>
    <w:p w14:paraId="5C4FF010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01B97533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2D1E1C5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Personnels — psychiatriques</w:t>
      </w:r>
    </w:p>
    <w:p w14:paraId="08CF1DE9" w14:textId="77777777" w:rsidR="009C634C" w:rsidRDefault="00000000">
      <w:pPr>
        <w:spacing w:before="20" w:after="60" w:line="276" w:lineRule="auto"/>
      </w:pPr>
      <w:sdt>
        <w:sdtPr>
          <w:rPr>
            <w:rFonts w:ascii="MS Gothic" w:eastAsia="MS Gothic" w:hAnsi="MS Gothic" w:hint="eastAsia"/>
          </w:rPr>
          <w:id w:val="8000000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 trouble du neurodéveloppement      </w:t>
      </w:r>
      <w:sdt>
        <w:sdtPr>
          <w:rPr>
            <w:rFonts w:ascii="MS Gothic" w:eastAsia="MS Gothic" w:hAnsi="MS Gothic" w:hint="eastAsia"/>
          </w:rPr>
          <w:id w:val="8000000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Trouble bipolaire      </w:t>
      </w:r>
      <w:sdt>
        <w:sdtPr>
          <w:rPr>
            <w:rFonts w:ascii="MS Gothic" w:eastAsia="MS Gothic" w:hAnsi="MS Gothic" w:hint="eastAsia"/>
          </w:rPr>
          <w:id w:val="8000000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Dépression      </w:t>
      </w:r>
      <w:sdt>
        <w:sdtPr>
          <w:rPr>
            <w:rFonts w:ascii="MS Gothic" w:eastAsia="MS Gothic" w:hAnsi="MS Gothic" w:hint="eastAsia"/>
          </w:rPr>
          <w:id w:val="8000000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Trouble anxieux</w:t>
      </w:r>
    </w:p>
    <w:p w14:paraId="0CBB27DF" w14:textId="77777777" w:rsidR="009C634C" w:rsidRDefault="00000000">
      <w:pPr>
        <w:spacing w:before="20" w:after="60" w:line="276" w:lineRule="auto"/>
      </w:pPr>
      <w:sdt>
        <w:sdtPr>
          <w:rPr>
            <w:rFonts w:ascii="MS Gothic" w:eastAsia="MS Gothic" w:hAnsi="MS Gothic" w:hint="eastAsia"/>
          </w:rPr>
          <w:id w:val="8000000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Addictions / TCA      </w:t>
      </w:r>
      <w:sdt>
        <w:sdtPr>
          <w:rPr>
            <w:rFonts w:ascii="MS Gothic" w:eastAsia="MS Gothic" w:hAnsi="MS Gothic" w:hint="eastAsia"/>
          </w:rPr>
          <w:id w:val="8000000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t>Psychotraumatisme</w:t>
      </w:r>
      <w:proofErr w:type="spellEnd"/>
      <w:r>
        <w:t xml:space="preserve">      </w:t>
      </w:r>
      <w:sdt>
        <w:sdtPr>
          <w:rPr>
            <w:rFonts w:ascii="MS Gothic" w:eastAsia="MS Gothic" w:hAnsi="MS Gothic" w:hint="eastAsia"/>
          </w:rPr>
          <w:id w:val="8000000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Trouble de la personnalité      </w:t>
      </w:r>
      <w:sdt>
        <w:sdtPr>
          <w:rPr>
            <w:rFonts w:ascii="MS Gothic" w:eastAsia="MS Gothic" w:hAnsi="MS Gothic" w:hint="eastAsia"/>
          </w:rPr>
          <w:id w:val="800000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TS / automutilations</w:t>
      </w:r>
    </w:p>
    <w:p w14:paraId="02F560A5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Hospitalisation(s) — dates, lieux, motifs : </w:t>
      </w:r>
      <w:r>
        <w:tab/>
      </w:r>
    </w:p>
    <w:p w14:paraId="1A894A1F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1FED593D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Familiaux — psychiatriques / neurologiques</w:t>
      </w:r>
    </w:p>
    <w:p w14:paraId="6F8538B2" w14:textId="77777777" w:rsidR="009C634C" w:rsidRDefault="00000000">
      <w:pPr>
        <w:spacing w:before="20" w:after="60" w:line="276" w:lineRule="auto"/>
      </w:pPr>
      <w:sdt>
        <w:sdtPr>
          <w:rPr>
            <w:rFonts w:ascii="MS Gothic" w:eastAsia="MS Gothic" w:hAnsi="MS Gothic" w:hint="eastAsia"/>
          </w:rPr>
          <w:id w:val="8000000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TDAH      </w:t>
      </w:r>
      <w:sdt>
        <w:sdtPr>
          <w:rPr>
            <w:rFonts w:ascii="MS Gothic" w:eastAsia="MS Gothic" w:hAnsi="MS Gothic" w:hint="eastAsia"/>
          </w:rPr>
          <w:id w:val="800000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 TND      </w:t>
      </w:r>
      <w:sdt>
        <w:sdtPr>
          <w:rPr>
            <w:rFonts w:ascii="MS Gothic" w:eastAsia="MS Gothic" w:hAnsi="MS Gothic" w:hint="eastAsia"/>
          </w:rPr>
          <w:id w:val="8000000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Trouble bipolaire      </w:t>
      </w:r>
      <w:sdt>
        <w:sdtPr>
          <w:rPr>
            <w:rFonts w:ascii="MS Gothic" w:eastAsia="MS Gothic" w:hAnsi="MS Gothic" w:hint="eastAsia"/>
          </w:rPr>
          <w:id w:val="8000000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Dépression récurrente</w:t>
      </w:r>
    </w:p>
    <w:p w14:paraId="64DD0610" w14:textId="77777777" w:rsidR="009C634C" w:rsidRDefault="00000000">
      <w:pPr>
        <w:spacing w:before="20" w:after="60" w:line="276" w:lineRule="auto"/>
      </w:pPr>
      <w:sdt>
        <w:sdtPr>
          <w:rPr>
            <w:rFonts w:ascii="MS Gothic" w:eastAsia="MS Gothic" w:hAnsi="MS Gothic" w:hint="eastAsia"/>
          </w:rPr>
          <w:id w:val="8000000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Suicide      </w:t>
      </w:r>
      <w:sdt>
        <w:sdtPr>
          <w:rPr>
            <w:rFonts w:ascii="MS Gothic" w:eastAsia="MS Gothic" w:hAnsi="MS Gothic" w:hint="eastAsia"/>
          </w:rPr>
          <w:id w:val="8000000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Addictions      </w:t>
      </w:r>
      <w:sdt>
        <w:sdtPr>
          <w:rPr>
            <w:rFonts w:ascii="MS Gothic" w:eastAsia="MS Gothic" w:hAnsi="MS Gothic" w:hint="eastAsia"/>
          </w:rPr>
          <w:id w:val="8000000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Épilepsie      </w:t>
      </w:r>
      <w:sdt>
        <w:sdtPr>
          <w:rPr>
            <w:rFonts w:ascii="MS Gothic" w:eastAsia="MS Gothic" w:hAnsi="MS Gothic" w:hint="eastAsia"/>
          </w:rPr>
          <w:id w:val="800000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Troubles du sommeil</w:t>
      </w:r>
    </w:p>
    <w:p w14:paraId="0E3E8854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Précisez (qui ?) : </w:t>
      </w:r>
      <w:r>
        <w:tab/>
      </w:r>
    </w:p>
    <w:p w14:paraId="1000C34E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4. Mode de vie actuel</w:t>
      </w:r>
    </w:p>
    <w:p w14:paraId="08513113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2DD4600C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7758466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lastRenderedPageBreak/>
        <w:tab/>
      </w:r>
    </w:p>
    <w:p w14:paraId="0265274F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5. Comorbidités</w:t>
      </w:r>
    </w:p>
    <w:p w14:paraId="7DA1A48A" w14:textId="77777777" w:rsidR="009C634C" w:rsidRDefault="00000000">
      <w:pPr>
        <w:spacing w:after="40" w:line="276" w:lineRule="auto"/>
        <w:jc w:val="both"/>
      </w:pPr>
      <w:r>
        <w:rPr>
          <w:i/>
          <w:iCs/>
          <w:sz w:val="18"/>
          <w:szCs w:val="18"/>
        </w:rPr>
        <w:t>Cochez et précisez si besoin sur la ligne « Détails » de chaque item.</w:t>
      </w:r>
    </w:p>
    <w:p w14:paraId="3D322DBC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Sommeil :  </w:t>
      </w:r>
      <w:sdt>
        <w:sdtPr>
          <w:rPr>
            <w:rFonts w:ascii="MS Gothic" w:eastAsia="MS Gothic" w:hAnsi="MS Gothic" w:hint="eastAsia"/>
          </w:rPr>
          <w:id w:val="8000000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SAOS   </w:t>
      </w:r>
      <w:sdt>
        <w:sdtPr>
          <w:rPr>
            <w:rFonts w:ascii="MS Gothic" w:eastAsia="MS Gothic" w:hAnsi="MS Gothic" w:hint="eastAsia"/>
          </w:rPr>
          <w:id w:val="8000000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Narcolepsie   </w:t>
      </w:r>
      <w:sdt>
        <w:sdtPr>
          <w:rPr>
            <w:rFonts w:ascii="MS Gothic" w:eastAsia="MS Gothic" w:hAnsi="MS Gothic" w:hint="eastAsia"/>
          </w:rPr>
          <w:id w:val="800000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t>Hypersomnolence</w:t>
      </w:r>
      <w:proofErr w:type="spellEnd"/>
      <w:r>
        <w:t xml:space="preserve">   </w:t>
      </w:r>
      <w:sdt>
        <w:sdtPr>
          <w:rPr>
            <w:rFonts w:ascii="MS Gothic" w:eastAsia="MS Gothic" w:hAnsi="MS Gothic" w:hint="eastAsia"/>
          </w:rPr>
          <w:id w:val="8000000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SJSR   </w:t>
      </w:r>
      <w:sdt>
        <w:sdtPr>
          <w:rPr>
            <w:rFonts w:ascii="MS Gothic" w:eastAsia="MS Gothic" w:hAnsi="MS Gothic" w:hint="eastAsia"/>
          </w:rPr>
          <w:id w:val="8000000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recherché</w:t>
      </w:r>
    </w:p>
    <w:p w14:paraId="4911498E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373FB8A2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Dysthyroïdie :  </w:t>
      </w:r>
      <w:sdt>
        <w:sdtPr>
          <w:rPr>
            <w:rFonts w:ascii="MS Gothic" w:eastAsia="MS Gothic" w:hAnsi="MS Gothic" w:hint="eastAsia"/>
          </w:rPr>
          <w:id w:val="8000000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</w:t>
      </w:r>
      <w:sdt>
        <w:sdtPr>
          <w:rPr>
            <w:rFonts w:ascii="MS Gothic" w:eastAsia="MS Gothic" w:hAnsi="MS Gothic" w:hint="eastAsia"/>
          </w:rPr>
          <w:id w:val="8000000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recherché</w:t>
      </w:r>
    </w:p>
    <w:p w14:paraId="229AF5D8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2DD634E3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Anémie / carence martiale :  </w:t>
      </w:r>
      <w:sdt>
        <w:sdtPr>
          <w:rPr>
            <w:rFonts w:ascii="MS Gothic" w:eastAsia="MS Gothic" w:hAnsi="MS Gothic" w:hint="eastAsia"/>
          </w:rPr>
          <w:id w:val="8000000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</w:t>
      </w:r>
      <w:sdt>
        <w:sdtPr>
          <w:rPr>
            <w:rFonts w:ascii="MS Gothic" w:eastAsia="MS Gothic" w:hAnsi="MS Gothic" w:hint="eastAsia"/>
          </w:rPr>
          <w:id w:val="8000000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recherché</w:t>
      </w:r>
    </w:p>
    <w:p w14:paraId="0DB7C501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5E0D775A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Épilepsie :  </w:t>
      </w:r>
      <w:sdt>
        <w:sdtPr>
          <w:rPr>
            <w:rFonts w:ascii="MS Gothic" w:eastAsia="MS Gothic" w:hAnsi="MS Gothic" w:hint="eastAsia"/>
          </w:rPr>
          <w:id w:val="8000000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45A8962E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6F963E6C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Traumatisme crânien / accidents :  </w:t>
      </w:r>
      <w:sdt>
        <w:sdtPr>
          <w:rPr>
            <w:rFonts w:ascii="MS Gothic" w:eastAsia="MS Gothic" w:hAnsi="MS Gothic" w:hint="eastAsia"/>
          </w:rPr>
          <w:id w:val="8000000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71E59BA9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109187ED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Douleurs chroniques :  </w:t>
      </w:r>
      <w:sdt>
        <w:sdtPr>
          <w:rPr>
            <w:rFonts w:ascii="MS Gothic" w:eastAsia="MS Gothic" w:hAnsi="MS Gothic" w:hint="eastAsia"/>
          </w:rPr>
          <w:id w:val="8000000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3A18475F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5076CACC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Surpoids / obésité :  </w:t>
      </w:r>
      <w:sdt>
        <w:sdtPr>
          <w:rPr>
            <w:rFonts w:ascii="MS Gothic" w:eastAsia="MS Gothic" w:hAnsi="MS Gothic" w:hint="eastAsia"/>
          </w:rPr>
          <w:id w:val="800000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784ED24B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02E66D74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Comorbidité neurologique / génétique :  </w:t>
      </w:r>
      <w:sdt>
        <w:sdtPr>
          <w:rPr>
            <w:rFonts w:ascii="MS Gothic" w:eastAsia="MS Gothic" w:hAnsi="MS Gothic" w:hint="eastAsia"/>
          </w:rPr>
          <w:id w:val="800000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5D01A553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2330451C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Addictologiques :  </w:t>
      </w:r>
      <w:sdt>
        <w:sdtPr>
          <w:rPr>
            <w:rFonts w:ascii="MS Gothic" w:eastAsia="MS Gothic" w:hAnsi="MS Gothic" w:hint="eastAsia"/>
          </w:rPr>
          <w:id w:val="8000000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0DD8197E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3656B3D7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Psychiatriques diagnostiquées :  </w:t>
      </w:r>
      <w:sdt>
        <w:sdtPr>
          <w:rPr>
            <w:rFonts w:ascii="MS Gothic" w:eastAsia="MS Gothic" w:hAnsi="MS Gothic" w:hint="eastAsia"/>
          </w:rPr>
          <w:id w:val="8000000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Trouble anxieux   </w:t>
      </w:r>
      <w:sdt>
        <w:sdtPr>
          <w:rPr>
            <w:rFonts w:ascii="MS Gothic" w:eastAsia="MS Gothic" w:hAnsi="MS Gothic" w:hint="eastAsia"/>
          </w:rPr>
          <w:id w:val="8000000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Dépressif   </w:t>
      </w:r>
      <w:sdt>
        <w:sdtPr>
          <w:rPr>
            <w:rFonts w:ascii="MS Gothic" w:eastAsia="MS Gothic" w:hAnsi="MS Gothic" w:hint="eastAsia"/>
          </w:rPr>
          <w:id w:val="8000000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Bipolaire   </w:t>
      </w:r>
      <w:sdt>
        <w:sdtPr>
          <w:rPr>
            <w:rFonts w:ascii="MS Gothic" w:eastAsia="MS Gothic" w:hAnsi="MS Gothic" w:hint="eastAsia"/>
          </w:rPr>
          <w:id w:val="8000000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TSA   </w:t>
      </w:r>
      <w:sdt>
        <w:sdtPr>
          <w:rPr>
            <w:rFonts w:ascii="MS Gothic" w:eastAsia="MS Gothic" w:hAnsi="MS Gothic" w:hint="eastAsia"/>
          </w:rPr>
          <w:id w:val="8000000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TCA   </w:t>
      </w:r>
      <w:sdt>
        <w:sdtPr>
          <w:rPr>
            <w:rFonts w:ascii="MS Gothic" w:eastAsia="MS Gothic" w:hAnsi="MS Gothic" w:hint="eastAsia"/>
          </w:rPr>
          <w:id w:val="8000000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Borderline   </w:t>
      </w:r>
      <w:sdt>
        <w:sdtPr>
          <w:rPr>
            <w:rFonts w:ascii="MS Gothic" w:eastAsia="MS Gothic" w:hAnsi="MS Gothic" w:hint="eastAsia"/>
          </w:rPr>
          <w:id w:val="8000000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Traumatique   </w:t>
      </w:r>
      <w:sdt>
        <w:sdtPr>
          <w:rPr>
            <w:rFonts w:ascii="MS Gothic" w:eastAsia="MS Gothic" w:hAnsi="MS Gothic" w:hint="eastAsia"/>
          </w:rPr>
          <w:id w:val="8000000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</w:t>
      </w:r>
    </w:p>
    <w:p w14:paraId="373E1A5E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64866B20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Trouble de la personnalité suspecté :  </w:t>
      </w:r>
    </w:p>
    <w:p w14:paraId="13C8A8CF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Préciser : </w:t>
      </w:r>
      <w:r>
        <w:tab/>
      </w:r>
    </w:p>
    <w:p w14:paraId="1400BC2F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6. Historique thérapeutique</w:t>
      </w:r>
    </w:p>
    <w:p w14:paraId="7B400647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Traitement actuel (complet, y compris somatique)</w:t>
      </w:r>
    </w:p>
    <w:p w14:paraId="623DBC44" w14:textId="77777777" w:rsidR="009C634C" w:rsidRDefault="00000000">
      <w:pPr>
        <w:spacing w:after="40" w:line="276" w:lineRule="auto"/>
        <w:jc w:val="both"/>
      </w:pPr>
      <w:r>
        <w:rPr>
          <w:i/>
          <w:iCs/>
          <w:sz w:val="18"/>
          <w:szCs w:val="18"/>
        </w:rPr>
        <w:t>Indiquez l’ensemble des traitements en cours (psychotropes, TDAH et somatiques), avec posologies.</w:t>
      </w:r>
    </w:p>
    <w:p w14:paraId="756C5AE3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58E79CAA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8721CAB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3E7E0BDC" w14:textId="0499DA81" w:rsidR="00A87B02" w:rsidRDefault="00A87B02">
      <w:pPr>
        <w:tabs>
          <w:tab w:val="right" w:leader="dot" w:pos="9638"/>
        </w:tabs>
        <w:spacing w:after="80" w:line="276" w:lineRule="auto"/>
      </w:pPr>
      <w:r>
        <w:tab/>
      </w:r>
    </w:p>
    <w:p w14:paraId="11F832C5" w14:textId="79C061C4" w:rsidR="00A87B02" w:rsidRDefault="00A87B02">
      <w:pPr>
        <w:tabs>
          <w:tab w:val="right" w:leader="dot" w:pos="9638"/>
        </w:tabs>
        <w:spacing w:after="80" w:line="276" w:lineRule="auto"/>
      </w:pPr>
      <w:r>
        <w:tab/>
      </w:r>
    </w:p>
    <w:p w14:paraId="5CC2B013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Historique des traitements du TDAH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300"/>
        <w:gridCol w:w="1150"/>
        <w:gridCol w:w="1450"/>
        <w:gridCol w:w="1450"/>
        <w:gridCol w:w="1988"/>
      </w:tblGrid>
      <w:tr w:rsidR="009C634C" w14:paraId="7D65C512" w14:textId="77777777">
        <w:trPr>
          <w:tblHeader/>
        </w:trPr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E9AE95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Molécule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DB5043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Posologie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A2F4C7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Durée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955958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Efficacité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918A1E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Tolérance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6C7233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Motif d’arrêt</w:t>
            </w:r>
          </w:p>
        </w:tc>
      </w:tr>
      <w:tr w:rsidR="009C634C" w14:paraId="01905B3F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4464CBC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7FA9240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2C985CE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81F0089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864534C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BDC680B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575A2ACC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A092D12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D12D352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641D695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6D1CFA6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A17CBA6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DEC8FEC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0EE14B63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928BAB0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A8EBEF6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140D915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FD4BBD1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F361BD1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9D5EC91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72F4FE7C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415C27B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1D2E302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25B7867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A26D57F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ED93DF5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F2AAB29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6A1BF78A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BD3DCE6" w14:textId="77777777" w:rsidR="009C634C" w:rsidRDefault="00000000">
            <w:pPr>
              <w:spacing w:line="276" w:lineRule="auto"/>
            </w:pPr>
            <w:r>
              <w:lastRenderedPageBreak/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9CE3527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6D9EB98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12FD233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29FE045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A6B86B7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</w:tbl>
    <w:p w14:paraId="4DF459E6" w14:textId="72524F3C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Historique des autres traitements psychotropes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300"/>
        <w:gridCol w:w="1150"/>
        <w:gridCol w:w="1450"/>
        <w:gridCol w:w="1450"/>
        <w:gridCol w:w="1988"/>
      </w:tblGrid>
      <w:tr w:rsidR="009C634C" w14:paraId="379A7173" w14:textId="77777777">
        <w:trPr>
          <w:tblHeader/>
        </w:trPr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29B48E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Molécule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0089ED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Posologie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B7F084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Durée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9299E6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Efficacité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26CAE6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Tolérance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429D55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Motif d’arrêt</w:t>
            </w:r>
          </w:p>
        </w:tc>
      </w:tr>
      <w:tr w:rsidR="009C634C" w14:paraId="4ACC94F0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AFF2760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99660E5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91014EC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8FF7283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AD8B7B9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70D0D85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77D131B0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57A8B23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9389049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A0420CE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B6B41F9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CCEBDB4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25090D6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43B467AB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F6C25E0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2F5BC71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84B327D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7DCAD6B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7F5AAB3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6A28426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0DAE20CA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AF9D7FF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DE03969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E076102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C219132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ECC1497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63EAE35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167366DA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C2CB0AF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9831879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54E86D8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097B861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78925A6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37624EC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</w:tbl>
    <w:p w14:paraId="643D6913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Approches non médicamenteuses</w:t>
      </w:r>
    </w:p>
    <w:p w14:paraId="22F4DA5E" w14:textId="77777777" w:rsidR="009C634C" w:rsidRDefault="00000000">
      <w:pPr>
        <w:spacing w:after="40" w:line="276" w:lineRule="auto"/>
      </w:pPr>
      <w:sdt>
        <w:sdtPr>
          <w:rPr>
            <w:rFonts w:ascii="MS Gothic" w:eastAsia="MS Gothic" w:hAnsi="MS Gothic" w:hint="eastAsia"/>
          </w:rPr>
          <w:id w:val="8000000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Règles hygiéno-diététiques / psychoéducation   </w:t>
      </w:r>
      <w:sdt>
        <w:sdtPr>
          <w:rPr>
            <w:rFonts w:ascii="MS Gothic" w:eastAsia="MS Gothic" w:hAnsi="MS Gothic" w:hint="eastAsia"/>
          </w:rPr>
          <w:id w:val="8000000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TCC   </w:t>
      </w:r>
      <w:sdt>
        <w:sdtPr>
          <w:rPr>
            <w:rFonts w:ascii="MS Gothic" w:eastAsia="MS Gothic" w:hAnsi="MS Gothic" w:hint="eastAsia"/>
          </w:rPr>
          <w:id w:val="8000000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Remédiation cognitive   </w:t>
      </w:r>
      <w:sdt>
        <w:sdtPr>
          <w:rPr>
            <w:rFonts w:ascii="MS Gothic" w:eastAsia="MS Gothic" w:hAnsi="MS Gothic" w:hint="eastAsia"/>
          </w:rPr>
          <w:id w:val="8000000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Groupes thérapeutiques   </w:t>
      </w:r>
      <w:sdt>
        <w:sdtPr>
          <w:rPr>
            <w:rFonts w:ascii="MS Gothic" w:eastAsia="MS Gothic" w:hAnsi="MS Gothic" w:hint="eastAsia"/>
          </w:rPr>
          <w:id w:val="8000000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</w:t>
      </w:r>
    </w:p>
    <w:p w14:paraId="266A012C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Détails : </w:t>
      </w:r>
      <w:r>
        <w:tab/>
      </w:r>
    </w:p>
    <w:p w14:paraId="4BBBB13A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7. Examens complémentaires réalisés</w:t>
      </w:r>
    </w:p>
    <w:p w14:paraId="7A8AD968" w14:textId="77777777" w:rsidR="009C634C" w:rsidRDefault="00000000">
      <w:pPr>
        <w:spacing w:after="40" w:line="276" w:lineRule="auto"/>
      </w:pPr>
      <w:sdt>
        <w:sdtPr>
          <w:rPr>
            <w:rFonts w:ascii="MS Gothic" w:eastAsia="MS Gothic" w:hAnsi="MS Gothic" w:hint="eastAsia"/>
          </w:rPr>
          <w:id w:val="8000000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Bilan biologique récent (thyroïde, NFS, ionogramme, bilan hépatique/rénal, ferritine…)   —   </w:t>
      </w:r>
      <w:sdt>
        <w:sdtPr>
          <w:rPr>
            <w:rFonts w:ascii="MS Gothic" w:eastAsia="MS Gothic" w:hAnsi="MS Gothic" w:hint="eastAsia"/>
          </w:rPr>
          <w:id w:val="8000000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Normal   </w:t>
      </w:r>
      <w:sdt>
        <w:sdtPr>
          <w:rPr>
            <w:rFonts w:ascii="MS Gothic" w:eastAsia="MS Gothic" w:hAnsi="MS Gothic" w:hint="eastAsia"/>
          </w:rPr>
          <w:id w:val="8000000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Anormal</w:t>
      </w:r>
    </w:p>
    <w:p w14:paraId="3BC354BB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Si anormal, précisez : </w:t>
      </w:r>
      <w:r>
        <w:tab/>
      </w:r>
    </w:p>
    <w:p w14:paraId="4F965DC7" w14:textId="77777777" w:rsidR="009C634C" w:rsidRDefault="00000000">
      <w:pPr>
        <w:spacing w:after="40" w:line="276" w:lineRule="auto"/>
      </w:pPr>
      <w:sdt>
        <w:sdtPr>
          <w:rPr>
            <w:rFonts w:ascii="MS Gothic" w:eastAsia="MS Gothic" w:hAnsi="MS Gothic" w:hint="eastAsia"/>
          </w:rPr>
          <w:id w:val="8000000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IRM cérébrale     </w:t>
      </w:r>
      <w:r>
        <w:rPr>
          <w:b/>
          <w:bCs/>
        </w:rPr>
        <w:t xml:space="preserve">Date : </w:t>
      </w:r>
      <w:r>
        <w:t xml:space="preserve">. . . . . . . . . . . . </w:t>
      </w:r>
      <w:proofErr w:type="gramStart"/>
      <w:r>
        <w:t>. . . .</w:t>
      </w:r>
      <w:proofErr w:type="gramEnd"/>
      <w:r>
        <w:t xml:space="preserve">     </w:t>
      </w:r>
      <w:r>
        <w:rPr>
          <w:b/>
          <w:bCs/>
        </w:rPr>
        <w:t xml:space="preserve">Conclusions : </w:t>
      </w:r>
      <w:r>
        <w:t>. . . . . . . . . . . . . . . . . . . . . . . . . . . . . .</w:t>
      </w:r>
    </w:p>
    <w:p w14:paraId="56987EF2" w14:textId="77777777" w:rsidR="009C634C" w:rsidRDefault="00000000">
      <w:pPr>
        <w:spacing w:after="40" w:line="276" w:lineRule="auto"/>
      </w:pPr>
      <w:sdt>
        <w:sdtPr>
          <w:rPr>
            <w:rFonts w:ascii="MS Gothic" w:eastAsia="MS Gothic" w:hAnsi="MS Gothic" w:hint="eastAsia"/>
          </w:rPr>
          <w:id w:val="8000000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Scanner cérébral     </w:t>
      </w:r>
      <w:r>
        <w:rPr>
          <w:b/>
          <w:bCs/>
        </w:rPr>
        <w:t xml:space="preserve">Date : </w:t>
      </w:r>
      <w:r>
        <w:t xml:space="preserve">. . . . . . . . . . . . </w:t>
      </w:r>
      <w:proofErr w:type="gramStart"/>
      <w:r>
        <w:t>. . . .</w:t>
      </w:r>
      <w:proofErr w:type="gramEnd"/>
      <w:r>
        <w:t xml:space="preserve">     </w:t>
      </w:r>
      <w:r>
        <w:rPr>
          <w:b/>
          <w:bCs/>
        </w:rPr>
        <w:t xml:space="preserve">Conclusions : </w:t>
      </w:r>
      <w:r>
        <w:t>. . . . . . . . . . . . . . . . . . . . . . . . . . .</w:t>
      </w:r>
    </w:p>
    <w:p w14:paraId="334AFA15" w14:textId="77777777" w:rsidR="009C634C" w:rsidRDefault="00000000">
      <w:pPr>
        <w:spacing w:after="40" w:line="276" w:lineRule="auto"/>
      </w:pPr>
      <w:sdt>
        <w:sdtPr>
          <w:rPr>
            <w:rFonts w:ascii="MS Gothic" w:eastAsia="MS Gothic" w:hAnsi="MS Gothic" w:hint="eastAsia"/>
          </w:rPr>
          <w:id w:val="8000000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EEG     </w:t>
      </w:r>
      <w:r>
        <w:rPr>
          <w:b/>
          <w:bCs/>
        </w:rPr>
        <w:t xml:space="preserve">Date : </w:t>
      </w:r>
      <w:r>
        <w:t xml:space="preserve">. . . . . . . . . . . . </w:t>
      </w:r>
      <w:proofErr w:type="gramStart"/>
      <w:r>
        <w:t>. . . .</w:t>
      </w:r>
      <w:proofErr w:type="gramEnd"/>
      <w:r>
        <w:t xml:space="preserve">     </w:t>
      </w:r>
      <w:r>
        <w:rPr>
          <w:b/>
          <w:bCs/>
        </w:rPr>
        <w:t xml:space="preserve">Conclusions : </w:t>
      </w:r>
      <w:r>
        <w:t xml:space="preserve">. . . . . . . . . . . . . . . . . . . . . . . . . . . . . . . . . </w:t>
      </w:r>
      <w:proofErr w:type="gramStart"/>
      <w:r>
        <w:t>. . . .</w:t>
      </w:r>
      <w:proofErr w:type="gramEnd"/>
      <w:r>
        <w:t xml:space="preserve"> .</w:t>
      </w:r>
    </w:p>
    <w:p w14:paraId="5E68CE3F" w14:textId="77777777" w:rsidR="009C634C" w:rsidRDefault="00000000">
      <w:pPr>
        <w:spacing w:after="40" w:line="276" w:lineRule="auto"/>
      </w:pPr>
      <w:sdt>
        <w:sdtPr>
          <w:rPr>
            <w:rFonts w:ascii="MS Gothic" w:eastAsia="MS Gothic" w:hAnsi="MS Gothic" w:hint="eastAsia"/>
          </w:rPr>
          <w:id w:val="8000000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Bilan neuropsychologique     </w:t>
      </w:r>
      <w:r>
        <w:rPr>
          <w:b/>
          <w:bCs/>
        </w:rPr>
        <w:t xml:space="preserve">Conclusions : </w:t>
      </w:r>
      <w:r>
        <w:t>. . . . . . . . . . . . . . . . . . . . . . . . . . . . . . . . . . . . . . . . . . . . .</w:t>
      </w:r>
    </w:p>
    <w:p w14:paraId="75BD1FD3" w14:textId="77777777" w:rsidR="009C634C" w:rsidRDefault="00000000">
      <w:pPr>
        <w:spacing w:after="40" w:line="276" w:lineRule="auto"/>
      </w:pPr>
      <w:sdt>
        <w:sdtPr>
          <w:rPr>
            <w:rFonts w:ascii="MS Gothic" w:eastAsia="MS Gothic" w:hAnsi="MS Gothic" w:hint="eastAsia"/>
          </w:rPr>
          <w:id w:val="8000000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ECG   —   </w:t>
      </w:r>
      <w:sdt>
        <w:sdtPr>
          <w:rPr>
            <w:rFonts w:ascii="MS Gothic" w:eastAsia="MS Gothic" w:hAnsi="MS Gothic" w:hint="eastAsia"/>
          </w:rPr>
          <w:id w:val="8000000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Normal   </w:t>
      </w:r>
      <w:sdt>
        <w:sdtPr>
          <w:rPr>
            <w:rFonts w:ascii="MS Gothic" w:eastAsia="MS Gothic" w:hAnsi="MS Gothic" w:hint="eastAsia"/>
          </w:rPr>
          <w:id w:val="800000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Anormal  </w:t>
      </w:r>
      <w:proofErr w:type="gramStart"/>
      <w:r>
        <w:t xml:space="preserve">   </w:t>
      </w:r>
      <w:r>
        <w:rPr>
          <w:i/>
          <w:iCs/>
          <w:sz w:val="16"/>
          <w:szCs w:val="16"/>
        </w:rPr>
        <w:t>(</w:t>
      </w:r>
      <w:proofErr w:type="gramEnd"/>
      <w:r>
        <w:rPr>
          <w:i/>
          <w:iCs/>
          <w:sz w:val="16"/>
          <w:szCs w:val="16"/>
        </w:rPr>
        <w:t>utile avant l’introduction d’un traitement psychostimulant)</w:t>
      </w:r>
    </w:p>
    <w:p w14:paraId="737AD2CB" w14:textId="77777777" w:rsidR="009C634C" w:rsidRDefault="00000000">
      <w:pPr>
        <w:tabs>
          <w:tab w:val="right" w:leader="dot" w:pos="9638"/>
        </w:tabs>
        <w:spacing w:after="80" w:line="276" w:lineRule="auto"/>
      </w:pPr>
      <w:sdt>
        <w:sdtPr>
          <w:rPr>
            <w:rFonts w:ascii="MS Gothic" w:eastAsia="MS Gothic" w:hAnsi="MS Gothic" w:hint="eastAsia"/>
          </w:rPr>
          <w:id w:val="8000000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/>
          <w:bCs/>
        </w:rPr>
        <w:t xml:space="preserve"> Autres : </w:t>
      </w:r>
      <w:r>
        <w:tab/>
      </w:r>
    </w:p>
    <w:p w14:paraId="49F59A60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8. Remarque / information complémentaire (facultatif)</w:t>
      </w:r>
    </w:p>
    <w:p w14:paraId="6E302C9D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92C77C6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9FBC0C5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5A1F173D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730F98EE" w14:textId="77777777" w:rsidR="00A87B02" w:rsidRDefault="00A87B02">
      <w:pPr>
        <w:spacing w:before="200" w:line="276" w:lineRule="auto"/>
        <w:rPr>
          <w:b/>
          <w:bCs/>
        </w:rPr>
      </w:pPr>
    </w:p>
    <w:p w14:paraId="75CB588C" w14:textId="2E2F990F" w:rsidR="009C634C" w:rsidRDefault="00000000">
      <w:pPr>
        <w:spacing w:before="200" w:line="276" w:lineRule="auto"/>
      </w:pPr>
      <w:r>
        <w:rPr>
          <w:b/>
          <w:bCs/>
        </w:rPr>
        <w:t xml:space="preserve">Date : </w:t>
      </w:r>
      <w:r>
        <w:t xml:space="preserve">. . . . . . . . . . . . . . . . . . </w:t>
      </w:r>
      <w:proofErr w:type="gramStart"/>
      <w:r>
        <w:t>. . . .</w:t>
      </w:r>
      <w:proofErr w:type="gramEnd"/>
    </w:p>
    <w:p w14:paraId="77A32435" w14:textId="77777777" w:rsidR="00A87B02" w:rsidRDefault="00A87B02">
      <w:pPr>
        <w:spacing w:before="120" w:line="276" w:lineRule="auto"/>
        <w:rPr>
          <w:b/>
          <w:bCs/>
        </w:rPr>
      </w:pPr>
    </w:p>
    <w:p w14:paraId="1510E773" w14:textId="386AE36A" w:rsidR="009C634C" w:rsidRDefault="00000000">
      <w:pPr>
        <w:spacing w:before="120" w:line="276" w:lineRule="auto"/>
      </w:pPr>
      <w:r>
        <w:rPr>
          <w:b/>
          <w:bCs/>
        </w:rPr>
        <w:t>Signature et cachet du médecin adressant :</w:t>
      </w:r>
    </w:p>
    <w:sectPr w:rsidR="009C634C" w:rsidSect="00C141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500" w:right="1134" w:bottom="1080" w:left="1134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F22D7" w14:textId="77777777" w:rsidR="006A4ED3" w:rsidRDefault="006A4ED3">
      <w:r>
        <w:separator/>
      </w:r>
    </w:p>
  </w:endnote>
  <w:endnote w:type="continuationSeparator" w:id="0">
    <w:p w14:paraId="19CC200B" w14:textId="77777777" w:rsidR="006A4ED3" w:rsidRDefault="006A4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2C121" w14:textId="77777777" w:rsidR="00097387" w:rsidRDefault="0009738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E8AFE" w14:textId="77777777" w:rsidR="009C634C" w:rsidRDefault="00000000">
    <w:pPr>
      <w:pBdr>
        <w:top w:val="single" w:sz="4" w:space="4" w:color="1F6F78"/>
      </w:pBdr>
      <w:tabs>
        <w:tab w:val="right" w:pos="9638"/>
      </w:tabs>
    </w:pPr>
    <w:r>
      <w:rPr>
        <w:color w:val="16515A"/>
        <w:sz w:val="14"/>
        <w:szCs w:val="14"/>
      </w:rPr>
      <w:t>DPL TDAH · Dossier d’adressage — Partie Médicale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87B02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A87B02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7869" w14:textId="77777777" w:rsidR="00097387" w:rsidRDefault="00097387" w:rsidP="00097387">
    <w:pPr>
      <w:pBdr>
        <w:top w:val="single" w:sz="4" w:space="4" w:color="1F6F78"/>
      </w:pBdr>
      <w:tabs>
        <w:tab w:val="right" w:pos="9638"/>
      </w:tabs>
    </w:pPr>
    <w:r>
      <w:rPr>
        <w:color w:val="16515A"/>
        <w:sz w:val="14"/>
        <w:szCs w:val="14"/>
      </w:rPr>
      <w:t>DPL TDAH · Dossier d’adressage — Partie Médicale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4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DF6FC" w14:textId="77777777" w:rsidR="006A4ED3" w:rsidRDefault="006A4ED3">
      <w:r>
        <w:separator/>
      </w:r>
    </w:p>
  </w:footnote>
  <w:footnote w:type="continuationSeparator" w:id="0">
    <w:p w14:paraId="2A239126" w14:textId="77777777" w:rsidR="006A4ED3" w:rsidRDefault="006A4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5DC6B" w14:textId="77777777" w:rsidR="00097387" w:rsidRDefault="0009738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DA09E" w14:textId="77777777" w:rsidR="009C634C" w:rsidRDefault="00000000">
    <w:pPr>
      <w:spacing w:after="60"/>
      <w:jc w:val="center"/>
    </w:pPr>
    <w:r>
      <w:rPr>
        <w:noProof/>
      </w:rPr>
      <w:drawing>
        <wp:inline distT="0" distB="0" distL="0" distR="0" wp14:anchorId="549B205B" wp14:editId="5E3520B8">
          <wp:extent cx="4114800" cy="742950"/>
          <wp:effectExtent l="0" t="0" r="0" b="0"/>
          <wp:docPr id="1" name="header" descr="Unite Mobile Autisme Adultes - CH Valvert" title="En-tete Makar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742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6ABD0" w14:textId="1E810087" w:rsidR="00C1418E" w:rsidRDefault="00C1418E">
    <w:pPr>
      <w:pStyle w:val="En-tte"/>
    </w:pPr>
    <w:r w:rsidRPr="001762AD">
      <w:rPr>
        <w:noProof/>
      </w:rPr>
      <w:drawing>
        <wp:anchor distT="0" distB="0" distL="114300" distR="114300" simplePos="0" relativeHeight="251659264" behindDoc="0" locked="0" layoutInCell="1" allowOverlap="1" wp14:anchorId="55FE0A04" wp14:editId="177EB869">
          <wp:simplePos x="0" y="0"/>
          <wp:positionH relativeFrom="margin">
            <wp:align>center</wp:align>
          </wp:positionH>
          <wp:positionV relativeFrom="paragraph">
            <wp:posOffset>-80645</wp:posOffset>
          </wp:positionV>
          <wp:extent cx="5553986" cy="923743"/>
          <wp:effectExtent l="0" t="0" r="0" b="0"/>
          <wp:wrapTopAndBottom/>
          <wp:docPr id="63347368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47368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53986" cy="923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54994"/>
    <w:multiLevelType w:val="hybridMultilevel"/>
    <w:tmpl w:val="D2DAB676"/>
    <w:lvl w:ilvl="0" w:tplc="6E2ABE12">
      <w:start w:val="1"/>
      <w:numFmt w:val="bullet"/>
      <w:lvlText w:val="●"/>
      <w:lvlJc w:val="left"/>
      <w:pPr>
        <w:ind w:left="720" w:hanging="360"/>
      </w:pPr>
    </w:lvl>
    <w:lvl w:ilvl="1" w:tplc="6C7A27A0">
      <w:start w:val="1"/>
      <w:numFmt w:val="bullet"/>
      <w:lvlText w:val="○"/>
      <w:lvlJc w:val="left"/>
      <w:pPr>
        <w:ind w:left="1440" w:hanging="360"/>
      </w:pPr>
    </w:lvl>
    <w:lvl w:ilvl="2" w:tplc="72382B6C">
      <w:start w:val="1"/>
      <w:numFmt w:val="bullet"/>
      <w:lvlText w:val="■"/>
      <w:lvlJc w:val="left"/>
      <w:pPr>
        <w:ind w:left="2160" w:hanging="360"/>
      </w:pPr>
    </w:lvl>
    <w:lvl w:ilvl="3" w:tplc="34CE2B54">
      <w:start w:val="1"/>
      <w:numFmt w:val="bullet"/>
      <w:lvlText w:val="●"/>
      <w:lvlJc w:val="left"/>
      <w:pPr>
        <w:ind w:left="2880" w:hanging="360"/>
      </w:pPr>
    </w:lvl>
    <w:lvl w:ilvl="4" w:tplc="9DD09F82">
      <w:start w:val="1"/>
      <w:numFmt w:val="bullet"/>
      <w:lvlText w:val="○"/>
      <w:lvlJc w:val="left"/>
      <w:pPr>
        <w:ind w:left="3600" w:hanging="360"/>
      </w:pPr>
    </w:lvl>
    <w:lvl w:ilvl="5" w:tplc="B9B01B3A">
      <w:start w:val="1"/>
      <w:numFmt w:val="bullet"/>
      <w:lvlText w:val="■"/>
      <w:lvlJc w:val="left"/>
      <w:pPr>
        <w:ind w:left="4320" w:hanging="360"/>
      </w:pPr>
    </w:lvl>
    <w:lvl w:ilvl="6" w:tplc="C368F548">
      <w:start w:val="1"/>
      <w:numFmt w:val="bullet"/>
      <w:lvlText w:val="●"/>
      <w:lvlJc w:val="left"/>
      <w:pPr>
        <w:ind w:left="5040" w:hanging="360"/>
      </w:pPr>
    </w:lvl>
    <w:lvl w:ilvl="7" w:tplc="6E6E04D6">
      <w:start w:val="1"/>
      <w:numFmt w:val="bullet"/>
      <w:lvlText w:val="●"/>
      <w:lvlJc w:val="left"/>
      <w:pPr>
        <w:ind w:left="5760" w:hanging="360"/>
      </w:pPr>
    </w:lvl>
    <w:lvl w:ilvl="8" w:tplc="F2E29248">
      <w:start w:val="1"/>
      <w:numFmt w:val="bullet"/>
      <w:lvlText w:val="●"/>
      <w:lvlJc w:val="left"/>
      <w:pPr>
        <w:ind w:left="6480" w:hanging="360"/>
      </w:pPr>
    </w:lvl>
  </w:abstractNum>
  <w:num w:numId="1" w16cid:durableId="5228619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34C"/>
    <w:rsid w:val="00097387"/>
    <w:rsid w:val="00134BCB"/>
    <w:rsid w:val="001E24F9"/>
    <w:rsid w:val="006A4ED3"/>
    <w:rsid w:val="007C0D64"/>
    <w:rsid w:val="00941979"/>
    <w:rsid w:val="009C634C"/>
    <w:rsid w:val="00A87B02"/>
    <w:rsid w:val="00B03327"/>
    <w:rsid w:val="00C1418E"/>
    <w:rsid w:val="00CB701B"/>
    <w:rsid w:val="00CD147F"/>
    <w:rsid w:val="00D7288F"/>
    <w:rsid w:val="00DD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7F23E3"/>
  <w15:docId w15:val="{BFFB4444-BBD9-477E-9BFE-289FFC2B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1418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1418E"/>
  </w:style>
  <w:style w:type="paragraph" w:styleId="Pieddepage">
    <w:name w:val="footer"/>
    <w:basedOn w:val="Normal"/>
    <w:link w:val="PieddepageCar"/>
    <w:uiPriority w:val="99"/>
    <w:unhideWhenUsed/>
    <w:rsid w:val="00C1418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141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880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clémentine doussy</cp:lastModifiedBy>
  <cp:revision>7</cp:revision>
  <dcterms:created xsi:type="dcterms:W3CDTF">2026-06-21T07:50:00Z</dcterms:created>
  <dcterms:modified xsi:type="dcterms:W3CDTF">2026-06-22T05:48:00Z</dcterms:modified>
</cp:coreProperties>
</file>