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F02C9" w14:textId="3336F093" w:rsidR="00E93C25" w:rsidRDefault="004E76DD">
      <w:pPr>
        <w:rPr>
          <w:sz w:val="28"/>
          <w:szCs w:val="28"/>
          <w:lang w:val="fr-CA"/>
        </w:rPr>
      </w:pPr>
      <w:r>
        <w:rPr>
          <w:sz w:val="28"/>
          <w:szCs w:val="28"/>
          <w:lang w:val="fr-CA"/>
        </w:rPr>
        <w:t>Analyse clustering :</w:t>
      </w:r>
    </w:p>
    <w:p w14:paraId="30A25229" w14:textId="40C783D6" w:rsidR="00FC3762" w:rsidRPr="00FC3762" w:rsidRDefault="00FC3762">
      <w:pPr>
        <w:rPr>
          <w:sz w:val="24"/>
          <w:szCs w:val="24"/>
          <w:lang w:val="fr-CA"/>
        </w:rPr>
      </w:pPr>
      <w:r w:rsidRPr="00FC3762">
        <w:rPr>
          <w:sz w:val="24"/>
          <w:szCs w:val="24"/>
          <w:lang w:val="fr-CA"/>
        </w:rPr>
        <w:t xml:space="preserve">Nous avons analysé les résultats en comparant la nature du groupe majoritaire des mots d’un cluster. Une valeur de 0.1 est attribuée à chaque mot faisant partie du groupe majoritaire. </w:t>
      </w:r>
      <w:r w:rsidR="006D00AE">
        <w:rPr>
          <w:sz w:val="24"/>
          <w:szCs w:val="24"/>
          <w:lang w:val="fr-CA"/>
        </w:rPr>
        <w:t>Les</w:t>
      </w:r>
      <w:r w:rsidR="004C708B">
        <w:rPr>
          <w:sz w:val="24"/>
          <w:szCs w:val="24"/>
          <w:lang w:val="fr-CA"/>
        </w:rPr>
        <w:t xml:space="preserve"> mots</w:t>
      </w:r>
      <w:r w:rsidR="006D00AE">
        <w:rPr>
          <w:sz w:val="24"/>
          <w:szCs w:val="24"/>
          <w:lang w:val="fr-CA"/>
        </w:rPr>
        <w:t xml:space="preserve"> pouvant appartenir a plus d’une nature</w:t>
      </w:r>
      <w:r w:rsidR="00F12862">
        <w:rPr>
          <w:sz w:val="24"/>
          <w:szCs w:val="24"/>
          <w:lang w:val="fr-CA"/>
        </w:rPr>
        <w:t xml:space="preserve"> dont au groupe majoritaire</w:t>
      </w:r>
      <w:r w:rsidR="006D00AE">
        <w:rPr>
          <w:sz w:val="24"/>
          <w:szCs w:val="24"/>
          <w:lang w:val="fr-CA"/>
        </w:rPr>
        <w:t xml:space="preserve"> se sont vu assigner </w:t>
      </w:r>
      <w:proofErr w:type="spellStart"/>
      <w:r w:rsidR="006D00AE">
        <w:rPr>
          <w:sz w:val="24"/>
          <w:szCs w:val="24"/>
          <w:lang w:val="fr-CA"/>
        </w:rPr>
        <w:t>a</w:t>
      </w:r>
      <w:proofErr w:type="spellEnd"/>
      <w:r w:rsidR="00F12862">
        <w:rPr>
          <w:sz w:val="24"/>
          <w:szCs w:val="24"/>
          <w:lang w:val="fr-CA"/>
        </w:rPr>
        <w:t xml:space="preserve"> celui-ci</w:t>
      </w:r>
      <w:r w:rsidR="004C708B">
        <w:rPr>
          <w:sz w:val="24"/>
          <w:szCs w:val="24"/>
          <w:lang w:val="fr-CA"/>
        </w:rPr>
        <w:t>.</w:t>
      </w:r>
      <w:r w:rsidR="006D00AE">
        <w:rPr>
          <w:sz w:val="24"/>
          <w:szCs w:val="24"/>
          <w:lang w:val="fr-CA"/>
        </w:rPr>
        <w:t xml:space="preserve"> </w:t>
      </w:r>
      <w:r w:rsidRPr="00FC3762">
        <w:rPr>
          <w:sz w:val="24"/>
          <w:szCs w:val="24"/>
          <w:lang w:val="fr-CA"/>
        </w:rPr>
        <w:t>Cette méthode nous a permis d’évaluer la pertinence du tirage d’un clustering.</w:t>
      </w:r>
    </w:p>
    <w:p w14:paraId="5DB807CD" w14:textId="421B6945" w:rsidR="00D22174" w:rsidRDefault="00D22174">
      <w:pPr>
        <w:rPr>
          <w:sz w:val="28"/>
          <w:szCs w:val="28"/>
          <w:lang w:val="fr-CA"/>
        </w:rPr>
      </w:pPr>
      <w:r>
        <w:rPr>
          <w:sz w:val="28"/>
          <w:szCs w:val="28"/>
          <w:lang w:val="fr-CA"/>
        </w:rPr>
        <w:t>Résultat obtenu via le clustering vs la matrice de cooccurrence</w:t>
      </w:r>
    </w:p>
    <w:p w14:paraId="72E688C4" w14:textId="046FD32F" w:rsidR="00D22174" w:rsidRPr="00D22174" w:rsidRDefault="00D22174" w:rsidP="00D22174">
      <w:pPr>
        <w:jc w:val="both"/>
        <w:rPr>
          <w:sz w:val="24"/>
          <w:szCs w:val="24"/>
          <w:lang w:val="fr-CA"/>
        </w:rPr>
      </w:pPr>
      <w:r>
        <w:rPr>
          <w:sz w:val="28"/>
          <w:szCs w:val="28"/>
          <w:lang w:val="fr-CA"/>
        </w:rPr>
        <w:softHyphen/>
      </w:r>
      <w:r>
        <w:rPr>
          <w:sz w:val="24"/>
          <w:szCs w:val="24"/>
          <w:lang w:val="fr-CA"/>
        </w:rPr>
        <w:t xml:space="preserve">Les groupes de mots obtenus grâce à l’algorithme nous offre une facette très différente des synonymes de la matrice de cooccurrence. En effet, chaque cluster retourne une série de points lui étant spatialement proche. Ces mots ne sont pas des synonymes, mais ils sont liés grâce à leur classe ou fonction grammaticale, ce qui veut dire qu’un cluster représente un élément linguistique unique si on le met en relation avec les autres clusters originaires de la même exécution de l’algorithme. </w:t>
      </w:r>
      <w:r w:rsidR="009C5EC1">
        <w:rPr>
          <w:sz w:val="24"/>
          <w:szCs w:val="24"/>
          <w:lang w:val="fr-CA"/>
        </w:rPr>
        <w:t xml:space="preserve">Par exemple, un cluster représente généralement une classe grammaticale, c’est-à-dire, les noms communs, les verbes, les adjectifs, etc. Cependant, il est possible qu’il représente une caractéristique commune comme des mots au pluriel ou au féminin. </w:t>
      </w:r>
    </w:p>
    <w:p w14:paraId="67D1AB22" w14:textId="77777777" w:rsidR="004E76DD" w:rsidRDefault="004E76DD">
      <w:pPr>
        <w:rPr>
          <w:sz w:val="28"/>
          <w:szCs w:val="28"/>
          <w:lang w:val="fr-CA"/>
        </w:rPr>
      </w:pPr>
      <w:r>
        <w:rPr>
          <w:sz w:val="28"/>
          <w:szCs w:val="28"/>
          <w:lang w:val="fr-CA"/>
        </w:rPr>
        <w:t>Impact de taille de fenêtre sur la précision des clusters et la variété des clusters :</w:t>
      </w:r>
    </w:p>
    <w:p w14:paraId="6D6C1620" w14:textId="2CFE4ED5" w:rsidR="004E76DD" w:rsidRDefault="004E76DD" w:rsidP="009C5EC1">
      <w:pPr>
        <w:jc w:val="both"/>
        <w:rPr>
          <w:sz w:val="24"/>
          <w:szCs w:val="24"/>
          <w:lang w:val="fr-CA"/>
        </w:rPr>
      </w:pPr>
      <w:r>
        <w:rPr>
          <w:sz w:val="24"/>
          <w:szCs w:val="24"/>
          <w:lang w:val="fr-CA"/>
        </w:rPr>
        <w:t xml:space="preserve">La production d’une série de test par bond de 5 de 5 à 20 de taille de fenêtre inclusivement permet d’obtenir un aperçu de l’impact de la taille de fenêtre sur la précision des clusters et </w:t>
      </w:r>
      <w:r w:rsidR="00D22174">
        <w:rPr>
          <w:sz w:val="24"/>
          <w:szCs w:val="24"/>
          <w:lang w:val="fr-CA"/>
        </w:rPr>
        <w:t>sur leur variété.</w:t>
      </w:r>
      <w:r w:rsidR="009C5EC1">
        <w:rPr>
          <w:sz w:val="24"/>
          <w:szCs w:val="24"/>
          <w:lang w:val="fr-CA"/>
        </w:rPr>
        <w:t xml:space="preserve"> À l’aide des graphiques ci-dessus, on peut déterminer que la taille de fenêtre semble diminuer graduellement la précision de l’algorithme. Cependant, un moins grand lot de </w:t>
      </w:r>
      <w:r w:rsidR="00130F9B">
        <w:rPr>
          <w:sz w:val="24"/>
          <w:szCs w:val="24"/>
          <w:lang w:val="fr-CA"/>
        </w:rPr>
        <w:t>donnée est nécessaire pour détecter une plus grande variété de classe grammaticale. C’est résultat contraste avec ceux obtenu dans la précédente itération de ce travail où la taille de fenêtre obtenant les meilleurs synonymes était 15, dans le cas du clustering, il est préférable de maintenir la taille de fenêtre vers 5.</w:t>
      </w:r>
    </w:p>
    <w:p w14:paraId="350F3A96" w14:textId="7126561B" w:rsidR="00FC3762" w:rsidRPr="004E76DD" w:rsidRDefault="00FC3762" w:rsidP="009C5EC1">
      <w:pPr>
        <w:jc w:val="both"/>
        <w:rPr>
          <w:sz w:val="24"/>
          <w:szCs w:val="24"/>
          <w:lang w:val="fr-CA"/>
        </w:rPr>
      </w:pPr>
      <w:r>
        <w:rPr>
          <w:noProof/>
        </w:rPr>
        <w:lastRenderedPageBreak/>
        <w:drawing>
          <wp:inline distT="0" distB="0" distL="0" distR="0" wp14:anchorId="4C9C85D3" wp14:editId="0CEAC173">
            <wp:extent cx="4953000" cy="2998887"/>
            <wp:effectExtent l="0" t="0" r="0" b="11430"/>
            <wp:docPr id="1" name="Chart 1">
              <a:extLst xmlns:a="http://schemas.openxmlformats.org/drawingml/2006/main">
                <a:ext uri="{FF2B5EF4-FFF2-40B4-BE49-F238E27FC236}">
                  <a16:creationId xmlns:a16="http://schemas.microsoft.com/office/drawing/2014/main" id="{818920C3-E56A-4218-AB9E-65AC99E38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C4E52A2" w14:textId="3C4F9E6F" w:rsidR="004E76DD" w:rsidRDefault="004E76DD">
      <w:pPr>
        <w:rPr>
          <w:sz w:val="28"/>
          <w:szCs w:val="28"/>
          <w:lang w:val="fr-CA"/>
        </w:rPr>
      </w:pPr>
      <w:r>
        <w:rPr>
          <w:sz w:val="28"/>
          <w:szCs w:val="28"/>
          <w:lang w:val="fr-CA"/>
        </w:rPr>
        <w:t>Impact du nombre de clusters sur la précision des clusters et la variété des clusters :</w:t>
      </w:r>
    </w:p>
    <w:p w14:paraId="30A22504" w14:textId="250C1433" w:rsidR="00A31B14" w:rsidRDefault="00130F9B" w:rsidP="00A31B14">
      <w:pPr>
        <w:jc w:val="both"/>
        <w:rPr>
          <w:sz w:val="28"/>
          <w:szCs w:val="28"/>
          <w:lang w:val="fr-CA"/>
        </w:rPr>
      </w:pPr>
      <w:r>
        <w:rPr>
          <w:sz w:val="24"/>
          <w:szCs w:val="24"/>
          <w:lang w:val="fr-CA"/>
        </w:rPr>
        <w:t>Le concept même de clustering défini qu’un nombre plus élevé de cluster permettra de découvrir plus de minimum</w:t>
      </w:r>
      <w:r w:rsidR="00FC3762">
        <w:rPr>
          <w:sz w:val="24"/>
          <w:szCs w:val="24"/>
          <w:lang w:val="fr-CA"/>
        </w:rPr>
        <w:t>s</w:t>
      </w:r>
      <w:r>
        <w:rPr>
          <w:sz w:val="24"/>
          <w:szCs w:val="24"/>
          <w:lang w:val="fr-CA"/>
        </w:rPr>
        <w:t xml:space="preserve"> locaux, ou en d’autres mots, plus de zone de densité d’information. Cette caractéristique se maintient dans notre contexte, mais son impact n’est pas seulement souhaitable. L’augmentation du nombre de cluster dans l’algorithme provoque une augmentation </w:t>
      </w:r>
      <w:r w:rsidR="00B20E1D">
        <w:rPr>
          <w:sz w:val="24"/>
          <w:szCs w:val="24"/>
          <w:lang w:val="fr-CA"/>
        </w:rPr>
        <w:t>plus marquée du nombre de cluster indésirable, ceux retournant des mots incohérents ou un nombre trop peu nombreux. En effet, un trop grand nombre de cluster subdivisera des classes grammaticales sous plusieurs clusters permettant d’isoler leur fonction, leur genre ou leur nombre linguistique, malheureusement au risque de diminuer la précision de chacun.</w:t>
      </w:r>
      <w:r w:rsidR="00A31B14" w:rsidRPr="00A31B14">
        <w:rPr>
          <w:sz w:val="28"/>
          <w:szCs w:val="28"/>
          <w:lang w:val="fr-CA"/>
        </w:rPr>
        <w:t xml:space="preserve"> </w:t>
      </w:r>
    </w:p>
    <w:p w14:paraId="71E911DE" w14:textId="410E28A1" w:rsidR="00A31B14" w:rsidRPr="004E76DD" w:rsidRDefault="00FC3762" w:rsidP="006D00AE">
      <w:pPr>
        <w:jc w:val="both"/>
        <w:rPr>
          <w:sz w:val="28"/>
          <w:szCs w:val="28"/>
          <w:lang w:val="fr-CA"/>
        </w:rPr>
      </w:pPr>
      <w:r>
        <w:rPr>
          <w:noProof/>
        </w:rPr>
        <w:lastRenderedPageBreak/>
        <w:drawing>
          <wp:inline distT="0" distB="0" distL="0" distR="0" wp14:anchorId="7A2E6739" wp14:editId="4615C552">
            <wp:extent cx="5943600" cy="3603625"/>
            <wp:effectExtent l="0" t="0" r="0" b="15875"/>
            <wp:docPr id="2" name="Chart 2">
              <a:extLst xmlns:a="http://schemas.openxmlformats.org/drawingml/2006/main">
                <a:ext uri="{FF2B5EF4-FFF2-40B4-BE49-F238E27FC236}">
                  <a16:creationId xmlns:a16="http://schemas.microsoft.com/office/drawing/2014/main" id="{374F42DC-E905-4594-9C9C-8302FA03B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31B14">
        <w:rPr>
          <w:sz w:val="28"/>
          <w:szCs w:val="28"/>
          <w:lang w:val="fr-CA"/>
        </w:rPr>
        <w:t>Information extrapolée par le nombre de points dans un cluster :</w:t>
      </w:r>
    </w:p>
    <w:p w14:paraId="557DEBC1" w14:textId="57398C5E" w:rsidR="00130F9B" w:rsidRDefault="00A31B14" w:rsidP="00130F9B">
      <w:pPr>
        <w:jc w:val="both"/>
        <w:rPr>
          <w:sz w:val="24"/>
          <w:szCs w:val="24"/>
          <w:lang w:val="fr-CA"/>
        </w:rPr>
      </w:pPr>
      <w:r>
        <w:rPr>
          <w:sz w:val="24"/>
          <w:szCs w:val="24"/>
          <w:lang w:val="fr-CA"/>
        </w:rPr>
        <w:t xml:space="preserve">Les clusters indésirables représente soit des données aberrantes ou démontre une imprécision </w:t>
      </w:r>
      <w:proofErr w:type="gramStart"/>
      <w:r>
        <w:rPr>
          <w:sz w:val="24"/>
          <w:szCs w:val="24"/>
          <w:lang w:val="fr-CA"/>
        </w:rPr>
        <w:t>dans</w:t>
      </w:r>
      <w:proofErr w:type="gramEnd"/>
      <w:r>
        <w:rPr>
          <w:sz w:val="24"/>
          <w:szCs w:val="24"/>
          <w:lang w:val="fr-CA"/>
        </w:rPr>
        <w:t xml:space="preserve"> le lot de mots initial. Il est important d’écarter ces clusters pour augmenter la qualité des informations produite par l’algorithme. Pour identifier un cluster indésirable, il faut identifier les clusters de basse qualité. Les </w:t>
      </w:r>
      <w:r w:rsidR="00FC3762">
        <w:rPr>
          <w:sz w:val="24"/>
          <w:szCs w:val="24"/>
          <w:lang w:val="fr-CA"/>
        </w:rPr>
        <w:t>tests</w:t>
      </w:r>
      <w:r>
        <w:rPr>
          <w:sz w:val="24"/>
          <w:szCs w:val="24"/>
          <w:lang w:val="fr-CA"/>
        </w:rPr>
        <w:t xml:space="preserve"> démontrent qu’un cluster ayant un nombre de mots très bas, soit en dessous de 10 mots, ou une distance moyenne très haute, dans notre contexte en haut d’un million sont rarement précis dans les informations qu’ils contiennent.</w:t>
      </w:r>
    </w:p>
    <w:p w14:paraId="55CAD0DB" w14:textId="77777777" w:rsidR="006D00AE" w:rsidRPr="00130F9B" w:rsidRDefault="006D00AE" w:rsidP="00130F9B">
      <w:pPr>
        <w:jc w:val="both"/>
        <w:rPr>
          <w:sz w:val="24"/>
          <w:szCs w:val="24"/>
          <w:lang w:val="fr-CA"/>
        </w:rPr>
      </w:pPr>
    </w:p>
    <w:p w14:paraId="069972FF" w14:textId="2F096880" w:rsidR="004E76DD" w:rsidRDefault="004E76DD">
      <w:pPr>
        <w:rPr>
          <w:sz w:val="28"/>
          <w:szCs w:val="28"/>
          <w:lang w:val="fr-CA"/>
        </w:rPr>
      </w:pPr>
      <w:r>
        <w:rPr>
          <w:sz w:val="28"/>
          <w:szCs w:val="28"/>
          <w:lang w:val="fr-CA"/>
        </w:rPr>
        <w:t>Hypothèse d’une constante selon la qualité du texte et la classification des résultats :</w:t>
      </w:r>
    </w:p>
    <w:p w14:paraId="16FACD45" w14:textId="44E76DFD" w:rsidR="00B20E1D" w:rsidRDefault="00B20E1D" w:rsidP="00B20E1D">
      <w:pPr>
        <w:jc w:val="both"/>
        <w:rPr>
          <w:sz w:val="24"/>
          <w:szCs w:val="24"/>
          <w:lang w:val="fr-CA"/>
        </w:rPr>
      </w:pPr>
      <w:r>
        <w:rPr>
          <w:sz w:val="24"/>
          <w:szCs w:val="24"/>
          <w:lang w:val="fr-CA"/>
        </w:rPr>
        <w:t xml:space="preserve">Les résultats de notre échantillon de données offre en moyenne une précision </w:t>
      </w:r>
      <w:proofErr w:type="spellStart"/>
      <w:r>
        <w:rPr>
          <w:sz w:val="24"/>
          <w:szCs w:val="24"/>
          <w:lang w:val="fr-CA"/>
        </w:rPr>
        <w:t>au</w:t>
      </w:r>
      <w:proofErr w:type="spellEnd"/>
      <w:r>
        <w:rPr>
          <w:sz w:val="24"/>
          <w:szCs w:val="24"/>
          <w:lang w:val="fr-CA"/>
        </w:rPr>
        <w:t xml:space="preserve"> alentours de 60%, ce qui est relativement insatisfaisant. Cette tendance autour du 60% reste spécifique aux textes analysés et à la classification manuelle des données dans leur classe grammaticale. Ces deux aspects mettent la moyenne de précision sous le risque d’être affecté par un nombre insuffisant de donnée et par des erreurs cléricales. Il est fort probable</w:t>
      </w:r>
      <w:r w:rsidR="00A31B14">
        <w:rPr>
          <w:sz w:val="24"/>
          <w:szCs w:val="24"/>
          <w:lang w:val="fr-CA"/>
        </w:rPr>
        <w:t xml:space="preserve"> qu’un plus grand échantillon de données et une classification automatique offre une moyenne plus proche des 75% comme le démontre le nom commun qui est la classe grammaticale la plus facile à isoler.</w:t>
      </w:r>
    </w:p>
    <w:p w14:paraId="6DAB6B13" w14:textId="77777777" w:rsidR="00F12862" w:rsidRDefault="006D00AE" w:rsidP="00B20E1D">
      <w:pPr>
        <w:jc w:val="both"/>
        <w:rPr>
          <w:sz w:val="28"/>
          <w:szCs w:val="28"/>
          <w:lang w:val="fr-CA"/>
        </w:rPr>
      </w:pPr>
      <w:r>
        <w:rPr>
          <w:sz w:val="28"/>
          <w:szCs w:val="28"/>
          <w:lang w:val="fr-CA"/>
        </w:rPr>
        <w:t>I</w:t>
      </w:r>
    </w:p>
    <w:p w14:paraId="4811DBF8" w14:textId="77777777" w:rsidR="00F12862" w:rsidRDefault="00F12862" w:rsidP="00B20E1D">
      <w:pPr>
        <w:jc w:val="both"/>
        <w:rPr>
          <w:sz w:val="28"/>
          <w:szCs w:val="28"/>
          <w:lang w:val="fr-CA"/>
        </w:rPr>
      </w:pPr>
    </w:p>
    <w:p w14:paraId="7D7368A9" w14:textId="3793E124" w:rsidR="006D00AE" w:rsidRDefault="00F12862" w:rsidP="00B20E1D">
      <w:pPr>
        <w:jc w:val="both"/>
        <w:rPr>
          <w:sz w:val="28"/>
          <w:szCs w:val="28"/>
          <w:lang w:val="fr-CA"/>
        </w:rPr>
      </w:pPr>
      <w:r>
        <w:rPr>
          <w:sz w:val="28"/>
          <w:szCs w:val="28"/>
          <w:lang w:val="fr-CA"/>
        </w:rPr>
        <w:lastRenderedPageBreak/>
        <w:t>I</w:t>
      </w:r>
      <w:r w:rsidR="006D00AE">
        <w:rPr>
          <w:sz w:val="28"/>
          <w:szCs w:val="28"/>
          <w:lang w:val="fr-CA"/>
        </w:rPr>
        <w:t xml:space="preserve">nformation extrapolée par la moyenne de pertinence des </w:t>
      </w:r>
      <w:r>
        <w:rPr>
          <w:sz w:val="28"/>
          <w:szCs w:val="28"/>
          <w:lang w:val="fr-CA"/>
        </w:rPr>
        <w:t>natures</w:t>
      </w:r>
      <w:r w:rsidR="006D00AE">
        <w:rPr>
          <w:sz w:val="28"/>
          <w:szCs w:val="28"/>
          <w:lang w:val="fr-CA"/>
        </w:rPr>
        <w:t xml:space="preserve"> majoritaire :</w:t>
      </w:r>
    </w:p>
    <w:p w14:paraId="54FB1B04" w14:textId="2E6B62B7" w:rsidR="00F12862" w:rsidRDefault="006D00AE" w:rsidP="00F12862">
      <w:pPr>
        <w:rPr>
          <w:sz w:val="24"/>
          <w:szCs w:val="24"/>
          <w:lang w:val="fr-CA"/>
        </w:rPr>
      </w:pPr>
      <w:r>
        <w:rPr>
          <w:sz w:val="24"/>
          <w:szCs w:val="24"/>
          <w:lang w:val="fr-CA"/>
        </w:rPr>
        <w:t xml:space="preserve">Les résultats de notre </w:t>
      </w:r>
      <w:r w:rsidR="00F12862">
        <w:rPr>
          <w:sz w:val="24"/>
          <w:szCs w:val="24"/>
          <w:lang w:val="fr-CA"/>
        </w:rPr>
        <w:t>échantillon</w:t>
      </w:r>
      <w:r>
        <w:rPr>
          <w:sz w:val="24"/>
          <w:szCs w:val="24"/>
          <w:lang w:val="fr-CA"/>
        </w:rPr>
        <w:t xml:space="preserve"> se sont avérer avoir des scores de pertinence dramatiquement plus important pour </w:t>
      </w:r>
      <w:r w:rsidR="00F12862">
        <w:rPr>
          <w:sz w:val="24"/>
          <w:szCs w:val="24"/>
          <w:lang w:val="fr-CA"/>
        </w:rPr>
        <w:t>certaines natures</w:t>
      </w:r>
      <w:r>
        <w:rPr>
          <w:sz w:val="24"/>
          <w:szCs w:val="24"/>
          <w:lang w:val="fr-CA"/>
        </w:rPr>
        <w:t xml:space="preserve"> de mots. En effet, les score </w:t>
      </w:r>
      <w:r w:rsidR="00F12862">
        <w:rPr>
          <w:sz w:val="24"/>
          <w:szCs w:val="24"/>
          <w:lang w:val="fr-CA"/>
        </w:rPr>
        <w:t>des centroïde</w:t>
      </w:r>
      <w:r>
        <w:rPr>
          <w:sz w:val="24"/>
          <w:szCs w:val="24"/>
          <w:lang w:val="fr-CA"/>
        </w:rPr>
        <w:t xml:space="preserve"> majoritairement composé de noms ou de déterminant se sont avérer dégager </w:t>
      </w:r>
      <w:r w:rsidR="00F12862">
        <w:rPr>
          <w:sz w:val="24"/>
          <w:szCs w:val="24"/>
          <w:lang w:val="fr-CA"/>
        </w:rPr>
        <w:t>des scores moyens</w:t>
      </w:r>
      <w:r>
        <w:rPr>
          <w:sz w:val="24"/>
          <w:szCs w:val="24"/>
          <w:lang w:val="fr-CA"/>
        </w:rPr>
        <w:t xml:space="preserve"> dans les 70 à 80% là ou les verbes et conjonctions ne récoltes qu’un maigre 40%. Nous expliquons </w:t>
      </w:r>
      <w:r w:rsidR="00F12862">
        <w:rPr>
          <w:sz w:val="24"/>
          <w:szCs w:val="24"/>
          <w:lang w:val="fr-CA"/>
        </w:rPr>
        <w:t>ces différences marquées</w:t>
      </w:r>
      <w:r>
        <w:rPr>
          <w:sz w:val="24"/>
          <w:szCs w:val="24"/>
          <w:lang w:val="fr-CA"/>
        </w:rPr>
        <w:t xml:space="preserve"> par l’aspect polymorphe de certains mots par rapport </w:t>
      </w:r>
      <w:r w:rsidR="00F12862">
        <w:rPr>
          <w:sz w:val="24"/>
          <w:szCs w:val="24"/>
          <w:lang w:val="fr-CA"/>
        </w:rPr>
        <w:t>à</w:t>
      </w:r>
      <w:r>
        <w:rPr>
          <w:sz w:val="24"/>
          <w:szCs w:val="24"/>
          <w:lang w:val="fr-CA"/>
        </w:rPr>
        <w:t xml:space="preserve"> leur nature. </w:t>
      </w:r>
      <w:r w:rsidR="00F12862">
        <w:rPr>
          <w:sz w:val="24"/>
          <w:szCs w:val="24"/>
          <w:lang w:val="fr-CA"/>
        </w:rPr>
        <w:t>Prenons</w:t>
      </w:r>
      <w:r>
        <w:rPr>
          <w:sz w:val="24"/>
          <w:szCs w:val="24"/>
          <w:lang w:val="fr-CA"/>
        </w:rPr>
        <w:t xml:space="preserve"> en exemple le mot</w:t>
      </w:r>
      <w:r w:rsidR="00F12862">
        <w:rPr>
          <w:sz w:val="24"/>
          <w:szCs w:val="24"/>
          <w:lang w:val="fr-CA"/>
        </w:rPr>
        <w:t xml:space="preserve"> « Tout », pouvant être utiliser comme adjectif, comme adverbe, comme pronom et nom; un centroïde balancer autour de « tout » risquerait alors de retourner des mots de toute ces natures. </w:t>
      </w:r>
      <w:proofErr w:type="gramStart"/>
      <w:r w:rsidR="00F12862">
        <w:rPr>
          <w:sz w:val="24"/>
          <w:szCs w:val="24"/>
          <w:lang w:val="fr-CA"/>
        </w:rPr>
        <w:t>Les nom</w:t>
      </w:r>
      <w:proofErr w:type="gramEnd"/>
      <w:r w:rsidR="00F12862">
        <w:rPr>
          <w:sz w:val="24"/>
          <w:szCs w:val="24"/>
          <w:lang w:val="fr-CA"/>
        </w:rPr>
        <w:t xml:space="preserve"> ont eu une tendance à retourner des valeurs de pertinence plus importante considérant qu’ils ont moins fréquemment tendance à pouvoir faire partie de plus d’une nature. Les centroïde ayant tendance </w:t>
      </w:r>
      <w:proofErr w:type="gramStart"/>
      <w:r w:rsidR="00F12862">
        <w:rPr>
          <w:sz w:val="24"/>
          <w:szCs w:val="24"/>
          <w:lang w:val="fr-CA"/>
        </w:rPr>
        <w:t>a</w:t>
      </w:r>
      <w:proofErr w:type="gramEnd"/>
      <w:r w:rsidR="00F12862">
        <w:rPr>
          <w:sz w:val="24"/>
          <w:szCs w:val="24"/>
          <w:lang w:val="fr-CA"/>
        </w:rPr>
        <w:t xml:space="preserve"> ce diriger vers les maximum locaux, nous avons donc déduis que les retour plus fréquent de noms comme groupe majoritaire </w:t>
      </w:r>
      <w:r w:rsidR="00CE2BD2">
        <w:rPr>
          <w:sz w:val="24"/>
          <w:szCs w:val="24"/>
          <w:lang w:val="fr-CA"/>
        </w:rPr>
        <w:t xml:space="preserve">était attribuable </w:t>
      </w:r>
      <w:proofErr w:type="spellStart"/>
      <w:r w:rsidR="00CE2BD2">
        <w:rPr>
          <w:sz w:val="24"/>
          <w:szCs w:val="24"/>
          <w:lang w:val="fr-CA"/>
        </w:rPr>
        <w:t>a</w:t>
      </w:r>
      <w:proofErr w:type="spellEnd"/>
      <w:r w:rsidR="00CE2BD2">
        <w:rPr>
          <w:sz w:val="24"/>
          <w:szCs w:val="24"/>
          <w:lang w:val="fr-CA"/>
        </w:rPr>
        <w:t xml:space="preserve"> cette tendance.</w:t>
      </w:r>
    </w:p>
    <w:p w14:paraId="68B6C724" w14:textId="77777777" w:rsidR="00CE2BD2" w:rsidRDefault="00CE2BD2" w:rsidP="00F12862">
      <w:pPr>
        <w:rPr>
          <w:sz w:val="24"/>
          <w:szCs w:val="24"/>
          <w:lang w:val="fr-CA"/>
        </w:rPr>
      </w:pPr>
    </w:p>
    <w:p w14:paraId="6E234C62" w14:textId="3F30FA32" w:rsidR="006D00AE" w:rsidRPr="006D00AE" w:rsidRDefault="00F12862" w:rsidP="00F12862">
      <w:pPr>
        <w:rPr>
          <w:sz w:val="24"/>
          <w:szCs w:val="24"/>
          <w:lang w:val="fr-CA"/>
        </w:rPr>
      </w:pPr>
      <w:r>
        <w:rPr>
          <w:noProof/>
        </w:rPr>
        <w:drawing>
          <wp:inline distT="0" distB="0" distL="0" distR="0" wp14:anchorId="323FF697" wp14:editId="5AE3D47F">
            <wp:extent cx="5427216" cy="3293043"/>
            <wp:effectExtent l="0" t="0" r="2540" b="3175"/>
            <wp:docPr id="3" name="Chart 3">
              <a:extLst xmlns:a="http://schemas.openxmlformats.org/drawingml/2006/main">
                <a:ext uri="{FF2B5EF4-FFF2-40B4-BE49-F238E27FC236}">
                  <a16:creationId xmlns:a16="http://schemas.microsoft.com/office/drawing/2014/main" id="{3754CA3F-5FF5-47FB-97BB-3813F2EFE3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9A3414" w14:textId="60BB522D" w:rsidR="00FC3762" w:rsidRDefault="00FC3762" w:rsidP="00FC3762">
      <w:pPr>
        <w:rPr>
          <w:sz w:val="28"/>
          <w:szCs w:val="28"/>
          <w:lang w:val="fr-CA"/>
        </w:rPr>
      </w:pPr>
    </w:p>
    <w:p w14:paraId="325A972B" w14:textId="1762D08D" w:rsidR="006D00AE" w:rsidRDefault="006D00AE" w:rsidP="00FC3762">
      <w:pPr>
        <w:rPr>
          <w:sz w:val="28"/>
          <w:szCs w:val="28"/>
          <w:lang w:val="fr-CA"/>
        </w:rPr>
      </w:pPr>
    </w:p>
    <w:p w14:paraId="441EFB70" w14:textId="1CE0CBF5" w:rsidR="00FC3762" w:rsidRDefault="006D1FD0" w:rsidP="00FC3762">
      <w:pPr>
        <w:rPr>
          <w:sz w:val="28"/>
          <w:szCs w:val="28"/>
          <w:lang w:val="fr-CA"/>
        </w:rPr>
      </w:pPr>
      <w:r>
        <w:rPr>
          <w:noProof/>
        </w:rPr>
        <w:lastRenderedPageBreak/>
        <w:drawing>
          <wp:inline distT="0" distB="0" distL="0" distR="0" wp14:anchorId="281E1A35" wp14:editId="6451BA77">
            <wp:extent cx="5377677" cy="3255056"/>
            <wp:effectExtent l="0" t="0" r="13970" b="2540"/>
            <wp:docPr id="4" name="Chart 4">
              <a:extLst xmlns:a="http://schemas.openxmlformats.org/drawingml/2006/main">
                <a:ext uri="{FF2B5EF4-FFF2-40B4-BE49-F238E27FC236}">
                  <a16:creationId xmlns:a16="http://schemas.microsoft.com/office/drawing/2014/main" id="{358E8290-8CA4-49F2-98FA-200A6FF3B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1FA2B4" w14:textId="7CB1D8E9" w:rsidR="00FC3762" w:rsidRDefault="00FC3762" w:rsidP="00B20E1D">
      <w:pPr>
        <w:jc w:val="both"/>
        <w:rPr>
          <w:sz w:val="24"/>
          <w:szCs w:val="24"/>
          <w:lang w:val="fr-CA"/>
        </w:rPr>
      </w:pPr>
    </w:p>
    <w:p w14:paraId="4DDB56DC" w14:textId="77777777" w:rsidR="00FC3762" w:rsidRDefault="00FC3762" w:rsidP="00B20E1D">
      <w:pPr>
        <w:jc w:val="both"/>
        <w:rPr>
          <w:sz w:val="24"/>
          <w:szCs w:val="24"/>
          <w:lang w:val="fr-CA"/>
        </w:rPr>
      </w:pPr>
    </w:p>
    <w:p w14:paraId="25E9BB3D" w14:textId="77777777" w:rsidR="00FC3762" w:rsidRPr="00B20E1D" w:rsidRDefault="00FC3762" w:rsidP="00B20E1D">
      <w:pPr>
        <w:jc w:val="both"/>
        <w:rPr>
          <w:sz w:val="24"/>
          <w:szCs w:val="24"/>
          <w:lang w:val="fr-CA"/>
        </w:rPr>
      </w:pPr>
    </w:p>
    <w:sectPr w:rsidR="00FC3762" w:rsidRPr="00B20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DD"/>
    <w:rsid w:val="00130F9B"/>
    <w:rsid w:val="004C708B"/>
    <w:rsid w:val="004E76DD"/>
    <w:rsid w:val="006D00AE"/>
    <w:rsid w:val="006D1FD0"/>
    <w:rsid w:val="009C5EC1"/>
    <w:rsid w:val="00A31B14"/>
    <w:rsid w:val="00B20E1D"/>
    <w:rsid w:val="00CE2BD2"/>
    <w:rsid w:val="00D22174"/>
    <w:rsid w:val="00E93C25"/>
    <w:rsid w:val="00F12862"/>
    <w:rsid w:val="00FC37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5B06"/>
  <w15:chartTrackingRefBased/>
  <w15:docId w15:val="{A9AD1505-54B4-4AC6-9A29-11D1A9D8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Copy%20of%20CLUSTER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Copy%20of%20CLUSTER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Desktop\Copy%20of%20CLUSTER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m\Desktop\Copy%20of%20CLUSTER_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effectLst/>
              </a:rPr>
              <a:t>comparaison</a:t>
            </a:r>
            <a:r>
              <a:rPr lang="en-CA" baseline="0">
                <a:effectLst/>
              </a:rPr>
              <a:t>  de cohérence des mots d'un cluster en fonction de la taille de fenêtre de coocurence</a:t>
            </a:r>
            <a:endParaRPr lang="en-CA">
              <a:effectLst/>
            </a:endParaRPr>
          </a:p>
        </c:rich>
      </c:tx>
      <c:layout>
        <c:manualLayout>
          <c:xMode val="edge"/>
          <c:yMode val="edge"/>
          <c:x val="0.11991398108789807"/>
          <c:y val="3.201459394928375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Sheet1!$M$33</c:f>
              <c:strCache>
                <c:ptCount val="1"/>
                <c:pt idx="0">
                  <c:v>1er tirage</c:v>
                </c:pt>
              </c:strCache>
            </c:strRef>
          </c:tx>
          <c:spPr>
            <a:solidFill>
              <a:schemeClr val="accent1"/>
            </a:solidFill>
            <a:ln>
              <a:noFill/>
            </a:ln>
            <a:effectLst/>
            <a:sp3d/>
          </c:spPr>
          <c:invertIfNegative val="0"/>
          <c:cat>
            <c:strRef>
              <c:f>Sheet1!$N$32:$Q$32</c:f>
              <c:strCache>
                <c:ptCount val="4"/>
                <c:pt idx="0">
                  <c:v>f 5</c:v>
                </c:pt>
                <c:pt idx="1">
                  <c:v>f 10</c:v>
                </c:pt>
                <c:pt idx="2">
                  <c:v>f 15</c:v>
                </c:pt>
                <c:pt idx="3">
                  <c:v>f 20</c:v>
                </c:pt>
              </c:strCache>
            </c:strRef>
          </c:cat>
          <c:val>
            <c:numRef>
              <c:f>Sheet1!$N$33:$Q$33</c:f>
              <c:numCache>
                <c:formatCode>General</c:formatCode>
                <c:ptCount val="4"/>
                <c:pt idx="0">
                  <c:v>0.62</c:v>
                </c:pt>
                <c:pt idx="1">
                  <c:v>0.51999999999999991</c:v>
                </c:pt>
                <c:pt idx="2">
                  <c:v>0.6</c:v>
                </c:pt>
                <c:pt idx="3">
                  <c:v>0.48</c:v>
                </c:pt>
              </c:numCache>
            </c:numRef>
          </c:val>
          <c:extLst>
            <c:ext xmlns:c16="http://schemas.microsoft.com/office/drawing/2014/chart" uri="{C3380CC4-5D6E-409C-BE32-E72D297353CC}">
              <c16:uniqueId val="{00000000-443D-40C2-A531-4460C1F72C1D}"/>
            </c:ext>
          </c:extLst>
        </c:ser>
        <c:ser>
          <c:idx val="1"/>
          <c:order val="1"/>
          <c:tx>
            <c:strRef>
              <c:f>Sheet1!$M$34</c:f>
              <c:strCache>
                <c:ptCount val="1"/>
                <c:pt idx="0">
                  <c:v>2eme tirage</c:v>
                </c:pt>
              </c:strCache>
            </c:strRef>
          </c:tx>
          <c:spPr>
            <a:solidFill>
              <a:schemeClr val="accent2"/>
            </a:solidFill>
            <a:ln>
              <a:noFill/>
            </a:ln>
            <a:effectLst/>
            <a:sp3d/>
          </c:spPr>
          <c:invertIfNegative val="0"/>
          <c:cat>
            <c:strRef>
              <c:f>Sheet1!$N$32:$Q$32</c:f>
              <c:strCache>
                <c:ptCount val="4"/>
                <c:pt idx="0">
                  <c:v>f 5</c:v>
                </c:pt>
                <c:pt idx="1">
                  <c:v>f 10</c:v>
                </c:pt>
                <c:pt idx="2">
                  <c:v>f 15</c:v>
                </c:pt>
                <c:pt idx="3">
                  <c:v>f 20</c:v>
                </c:pt>
              </c:strCache>
            </c:strRef>
          </c:cat>
          <c:val>
            <c:numRef>
              <c:f>Sheet1!$N$34:$Q$34</c:f>
              <c:numCache>
                <c:formatCode>General</c:formatCode>
                <c:ptCount val="4"/>
                <c:pt idx="0">
                  <c:v>0.68</c:v>
                </c:pt>
                <c:pt idx="1">
                  <c:v>0.57999999999999996</c:v>
                </c:pt>
                <c:pt idx="2">
                  <c:v>0.48</c:v>
                </c:pt>
                <c:pt idx="3">
                  <c:v>0.34</c:v>
                </c:pt>
              </c:numCache>
            </c:numRef>
          </c:val>
          <c:extLst>
            <c:ext xmlns:c16="http://schemas.microsoft.com/office/drawing/2014/chart" uri="{C3380CC4-5D6E-409C-BE32-E72D297353CC}">
              <c16:uniqueId val="{00000001-443D-40C2-A531-4460C1F72C1D}"/>
            </c:ext>
          </c:extLst>
        </c:ser>
        <c:ser>
          <c:idx val="2"/>
          <c:order val="2"/>
          <c:tx>
            <c:strRef>
              <c:f>Sheet1!$M$35</c:f>
              <c:strCache>
                <c:ptCount val="1"/>
                <c:pt idx="0">
                  <c:v>3eme tirage</c:v>
                </c:pt>
              </c:strCache>
            </c:strRef>
          </c:tx>
          <c:spPr>
            <a:solidFill>
              <a:schemeClr val="accent3"/>
            </a:solidFill>
            <a:ln>
              <a:noFill/>
            </a:ln>
            <a:effectLst/>
            <a:sp3d/>
          </c:spPr>
          <c:invertIfNegative val="0"/>
          <c:cat>
            <c:strRef>
              <c:f>Sheet1!$N$32:$Q$32</c:f>
              <c:strCache>
                <c:ptCount val="4"/>
                <c:pt idx="0">
                  <c:v>f 5</c:v>
                </c:pt>
                <c:pt idx="1">
                  <c:v>f 10</c:v>
                </c:pt>
                <c:pt idx="2">
                  <c:v>f 15</c:v>
                </c:pt>
                <c:pt idx="3">
                  <c:v>f 20</c:v>
                </c:pt>
              </c:strCache>
            </c:strRef>
          </c:cat>
          <c:val>
            <c:numRef>
              <c:f>Sheet1!$N$35:$Q$35</c:f>
              <c:numCache>
                <c:formatCode>General</c:formatCode>
                <c:ptCount val="4"/>
                <c:pt idx="0">
                  <c:v>0.64000000000000012</c:v>
                </c:pt>
                <c:pt idx="1">
                  <c:v>0.54</c:v>
                </c:pt>
                <c:pt idx="2">
                  <c:v>0.64</c:v>
                </c:pt>
                <c:pt idx="3">
                  <c:v>0.54</c:v>
                </c:pt>
              </c:numCache>
            </c:numRef>
          </c:val>
          <c:extLst>
            <c:ext xmlns:c16="http://schemas.microsoft.com/office/drawing/2014/chart" uri="{C3380CC4-5D6E-409C-BE32-E72D297353CC}">
              <c16:uniqueId val="{00000002-443D-40C2-A531-4460C1F72C1D}"/>
            </c:ext>
          </c:extLst>
        </c:ser>
        <c:ser>
          <c:idx val="3"/>
          <c:order val="3"/>
          <c:tx>
            <c:strRef>
              <c:f>Sheet1!$M$36</c:f>
              <c:strCache>
                <c:ptCount val="1"/>
                <c:pt idx="0">
                  <c:v>moyenne</c:v>
                </c:pt>
              </c:strCache>
            </c:strRef>
          </c:tx>
          <c:spPr>
            <a:solidFill>
              <a:schemeClr val="accent4"/>
            </a:solidFill>
            <a:ln>
              <a:noFill/>
            </a:ln>
            <a:effectLst/>
            <a:sp3d/>
          </c:spPr>
          <c:invertIfNegative val="0"/>
          <c:cat>
            <c:strRef>
              <c:f>Sheet1!$N$32:$Q$32</c:f>
              <c:strCache>
                <c:ptCount val="4"/>
                <c:pt idx="0">
                  <c:v>f 5</c:v>
                </c:pt>
                <c:pt idx="1">
                  <c:v>f 10</c:v>
                </c:pt>
                <c:pt idx="2">
                  <c:v>f 15</c:v>
                </c:pt>
                <c:pt idx="3">
                  <c:v>f 20</c:v>
                </c:pt>
              </c:strCache>
            </c:strRef>
          </c:cat>
          <c:val>
            <c:numRef>
              <c:f>Sheet1!$N$36:$Q$36</c:f>
              <c:numCache>
                <c:formatCode>General</c:formatCode>
                <c:ptCount val="4"/>
                <c:pt idx="0">
                  <c:v>0.64666666666666672</c:v>
                </c:pt>
                <c:pt idx="1">
                  <c:v>0.54666666666666663</c:v>
                </c:pt>
                <c:pt idx="2">
                  <c:v>0.57333333333333336</c:v>
                </c:pt>
                <c:pt idx="3">
                  <c:v>0.45333333333333337</c:v>
                </c:pt>
              </c:numCache>
            </c:numRef>
          </c:val>
          <c:extLst>
            <c:ext xmlns:c16="http://schemas.microsoft.com/office/drawing/2014/chart" uri="{C3380CC4-5D6E-409C-BE32-E72D297353CC}">
              <c16:uniqueId val="{00000003-443D-40C2-A531-4460C1F72C1D}"/>
            </c:ext>
          </c:extLst>
        </c:ser>
        <c:dLbls>
          <c:showLegendKey val="0"/>
          <c:showVal val="0"/>
          <c:showCatName val="0"/>
          <c:showSerName val="0"/>
          <c:showPercent val="0"/>
          <c:showBubbleSize val="0"/>
        </c:dLbls>
        <c:gapWidth val="150"/>
        <c:shape val="box"/>
        <c:axId val="346651712"/>
        <c:axId val="346670848"/>
        <c:axId val="0"/>
      </c:bar3DChart>
      <c:catAx>
        <c:axId val="346651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pertinence moyenne par taille de fenêtre pour le même nombre de tirage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670848"/>
        <c:crosses val="autoZero"/>
        <c:auto val="1"/>
        <c:lblAlgn val="ctr"/>
        <c:lblOffset val="100"/>
        <c:noMultiLvlLbl val="0"/>
      </c:catAx>
      <c:valAx>
        <c:axId val="34667084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pertinence moyenne des cluster en %</a:t>
                </a:r>
                <a:endParaRPr lang="en-CA" sz="1000">
                  <a:effectLst/>
                </a:endParaRPr>
              </a:p>
            </c:rich>
          </c:tx>
          <c:layout>
            <c:manualLayout>
              <c:xMode val="edge"/>
              <c:yMode val="edge"/>
              <c:x val="2.3581869573995554E-2"/>
              <c:y val="0.1987533642157500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651712"/>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pertinence</a:t>
            </a:r>
            <a:r>
              <a:rPr lang="en-US" baseline="0"/>
              <a:t> moyenne des resultat </a:t>
            </a:r>
            <a:r>
              <a:rPr lang="en-US"/>
              <a:t>en</a:t>
            </a:r>
            <a:r>
              <a:rPr lang="en-US" baseline="0"/>
              <a:t> fonctions du nombre de centroïdes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Sheet1!$O$64</c:f>
              <c:strCache>
                <c:ptCount val="1"/>
                <c:pt idx="0">
                  <c:v>moyenne des cohérences par clusters </c:v>
                </c:pt>
              </c:strCache>
            </c:strRef>
          </c:tx>
          <c:spPr>
            <a:solidFill>
              <a:schemeClr val="accent2"/>
            </a:solidFill>
            <a:ln>
              <a:noFill/>
            </a:ln>
            <a:effectLst/>
            <a:sp3d/>
          </c:spPr>
          <c:invertIfNegative val="0"/>
          <c:cat>
            <c:strRef>
              <c:f>Sheet1!$P$63:$Y$63</c:f>
              <c:strCache>
                <c:ptCount val="10"/>
                <c:pt idx="0">
                  <c:v>k2</c:v>
                </c:pt>
                <c:pt idx="1">
                  <c:v>k3</c:v>
                </c:pt>
                <c:pt idx="2">
                  <c:v>k4</c:v>
                </c:pt>
                <c:pt idx="3">
                  <c:v>k5</c:v>
                </c:pt>
                <c:pt idx="4">
                  <c:v>k6</c:v>
                </c:pt>
                <c:pt idx="5">
                  <c:v>k7</c:v>
                </c:pt>
                <c:pt idx="6">
                  <c:v>k8</c:v>
                </c:pt>
                <c:pt idx="7">
                  <c:v>k9</c:v>
                </c:pt>
                <c:pt idx="8">
                  <c:v>k10</c:v>
                </c:pt>
                <c:pt idx="9">
                  <c:v>k30</c:v>
                </c:pt>
              </c:strCache>
            </c:strRef>
          </c:cat>
          <c:val>
            <c:numRef>
              <c:f>Sheet1!$P$64:$Y$64</c:f>
              <c:numCache>
                <c:formatCode>General</c:formatCode>
                <c:ptCount val="10"/>
                <c:pt idx="0">
                  <c:v>0.69999999999999984</c:v>
                </c:pt>
                <c:pt idx="1">
                  <c:v>0.72222222222222221</c:v>
                </c:pt>
                <c:pt idx="2">
                  <c:v>0.59583333333333333</c:v>
                </c:pt>
                <c:pt idx="3">
                  <c:v>0.55999999999999994</c:v>
                </c:pt>
                <c:pt idx="4">
                  <c:v>0.49999999999999994</c:v>
                </c:pt>
                <c:pt idx="5">
                  <c:v>0.55714285714285716</c:v>
                </c:pt>
                <c:pt idx="6">
                  <c:v>0.6</c:v>
                </c:pt>
                <c:pt idx="7">
                  <c:v>0.58888888888888902</c:v>
                </c:pt>
                <c:pt idx="8">
                  <c:v>0.61999999999999988</c:v>
                </c:pt>
                <c:pt idx="9">
                  <c:v>0.6735714285714286</c:v>
                </c:pt>
              </c:numCache>
            </c:numRef>
          </c:val>
          <c:extLst>
            <c:ext xmlns:c16="http://schemas.microsoft.com/office/drawing/2014/chart" uri="{C3380CC4-5D6E-409C-BE32-E72D297353CC}">
              <c16:uniqueId val="{00000000-6804-491C-8883-0D8853AD9E4B}"/>
            </c:ext>
          </c:extLst>
        </c:ser>
        <c:dLbls>
          <c:showLegendKey val="0"/>
          <c:showVal val="0"/>
          <c:showCatName val="0"/>
          <c:showSerName val="0"/>
          <c:showPercent val="0"/>
          <c:showBubbleSize val="0"/>
        </c:dLbls>
        <c:gapWidth val="150"/>
        <c:shape val="box"/>
        <c:axId val="2076265504"/>
        <c:axId val="2076256768"/>
        <c:axId val="0"/>
      </c:bar3DChart>
      <c:catAx>
        <c:axId val="207626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aseline="0"/>
                  <a:t>nombres de centroïdes en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56768"/>
        <c:crosses val="autoZero"/>
        <c:auto val="1"/>
        <c:lblAlgn val="ctr"/>
        <c:lblOffset val="100"/>
        <c:noMultiLvlLbl val="0"/>
      </c:catAx>
      <c:valAx>
        <c:axId val="20762567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pertinence moyenne</a:t>
                </a:r>
                <a:r>
                  <a:rPr lang="en-CA" baseline="0"/>
                  <a:t> par centroïdes en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65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pertinence moyenne en fonciton de la nature majoritaire par centroïde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2"/>
            </a:solidFill>
            <a:ln>
              <a:noFill/>
            </a:ln>
            <a:effectLst/>
            <a:sp3d/>
          </c:spPr>
          <c:invertIfNegative val="0"/>
          <c:cat>
            <c:strRef>
              <c:f>Sheet1!$G$53:$G$59</c:f>
              <c:strCache>
                <c:ptCount val="7"/>
                <c:pt idx="0">
                  <c:v>noms:</c:v>
                </c:pt>
                <c:pt idx="1">
                  <c:v>Pronoms:</c:v>
                </c:pt>
                <c:pt idx="2">
                  <c:v>adverbe</c:v>
                </c:pt>
                <c:pt idx="3">
                  <c:v>verbe</c:v>
                </c:pt>
                <c:pt idx="4">
                  <c:v>articles</c:v>
                </c:pt>
                <c:pt idx="5">
                  <c:v>preposition:</c:v>
                </c:pt>
                <c:pt idx="6">
                  <c:v>conjonctions</c:v>
                </c:pt>
              </c:strCache>
            </c:strRef>
          </c:cat>
          <c:val>
            <c:numRef>
              <c:f>Sheet1!$H$53:$H$59</c:f>
              <c:numCache>
                <c:formatCode>General</c:formatCode>
                <c:ptCount val="7"/>
                <c:pt idx="0">
                  <c:v>0.77466666666666661</c:v>
                </c:pt>
                <c:pt idx="1">
                  <c:v>0.51764705882352946</c:v>
                </c:pt>
                <c:pt idx="2">
                  <c:v>0.45714285714285718</c:v>
                </c:pt>
                <c:pt idx="3">
                  <c:v>0.42000000000000004</c:v>
                </c:pt>
                <c:pt idx="4">
                  <c:v>0.65999999999999992</c:v>
                </c:pt>
                <c:pt idx="5">
                  <c:v>0.54</c:v>
                </c:pt>
                <c:pt idx="6">
                  <c:v>0.3</c:v>
                </c:pt>
              </c:numCache>
            </c:numRef>
          </c:val>
          <c:extLst>
            <c:ext xmlns:c16="http://schemas.microsoft.com/office/drawing/2014/chart" uri="{C3380CC4-5D6E-409C-BE32-E72D297353CC}">
              <c16:uniqueId val="{00000000-BECE-4B40-A46A-BDB22864F389}"/>
            </c:ext>
          </c:extLst>
        </c:ser>
        <c:dLbls>
          <c:showLegendKey val="0"/>
          <c:showVal val="0"/>
          <c:showCatName val="0"/>
          <c:showSerName val="0"/>
          <c:showPercent val="0"/>
          <c:showBubbleSize val="0"/>
        </c:dLbls>
        <c:gapWidth val="150"/>
        <c:shape val="box"/>
        <c:axId val="2076289216"/>
        <c:axId val="2076273408"/>
        <c:axId val="0"/>
      </c:bar3DChart>
      <c:catAx>
        <c:axId val="20762892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73408"/>
        <c:crosses val="autoZero"/>
        <c:auto val="1"/>
        <c:lblAlgn val="ctr"/>
        <c:lblOffset val="100"/>
        <c:noMultiLvlLbl val="0"/>
      </c:catAx>
      <c:valAx>
        <c:axId val="20762734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89216"/>
        <c:crosses val="autoZero"/>
        <c:crossBetween val="between"/>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nombre</a:t>
            </a:r>
            <a:r>
              <a:rPr lang="en-CA" baseline="0"/>
              <a:t> de clusters occupés par types de nature majoritaires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2"/>
            </a:solidFill>
            <a:ln>
              <a:noFill/>
            </a:ln>
            <a:effectLst/>
            <a:sp3d/>
          </c:spPr>
          <c:invertIfNegative val="0"/>
          <c:cat>
            <c:strRef>
              <c:f>Sheet1!$G$62:$G$68</c:f>
              <c:strCache>
                <c:ptCount val="7"/>
                <c:pt idx="0">
                  <c:v>noms:</c:v>
                </c:pt>
                <c:pt idx="1">
                  <c:v>Pronoms:</c:v>
                </c:pt>
                <c:pt idx="2">
                  <c:v>adverbe</c:v>
                </c:pt>
                <c:pt idx="3">
                  <c:v>verbe</c:v>
                </c:pt>
                <c:pt idx="4">
                  <c:v>articles</c:v>
                </c:pt>
                <c:pt idx="5">
                  <c:v>preposition:</c:v>
                </c:pt>
                <c:pt idx="6">
                  <c:v>conjonctions</c:v>
                </c:pt>
              </c:strCache>
            </c:strRef>
          </c:cat>
          <c:val>
            <c:numRef>
              <c:f>Sheet1!$H$62:$H$68</c:f>
              <c:numCache>
                <c:formatCode>General</c:formatCode>
                <c:ptCount val="7"/>
                <c:pt idx="0">
                  <c:v>49</c:v>
                </c:pt>
                <c:pt idx="1">
                  <c:v>17</c:v>
                </c:pt>
                <c:pt idx="2">
                  <c:v>14</c:v>
                </c:pt>
                <c:pt idx="3">
                  <c:v>11</c:v>
                </c:pt>
                <c:pt idx="4">
                  <c:v>5</c:v>
                </c:pt>
                <c:pt idx="5">
                  <c:v>5</c:v>
                </c:pt>
                <c:pt idx="6">
                  <c:v>2</c:v>
                </c:pt>
              </c:numCache>
            </c:numRef>
          </c:val>
          <c:extLst>
            <c:ext xmlns:c16="http://schemas.microsoft.com/office/drawing/2014/chart" uri="{C3380CC4-5D6E-409C-BE32-E72D297353CC}">
              <c16:uniqueId val="{00000000-6514-4408-AEE2-203C21200E7C}"/>
            </c:ext>
          </c:extLst>
        </c:ser>
        <c:dLbls>
          <c:showLegendKey val="0"/>
          <c:showVal val="0"/>
          <c:showCatName val="0"/>
          <c:showSerName val="0"/>
          <c:showPercent val="0"/>
          <c:showBubbleSize val="0"/>
        </c:dLbls>
        <c:gapWidth val="150"/>
        <c:shape val="box"/>
        <c:axId val="2076279232"/>
        <c:axId val="2076286720"/>
        <c:axId val="0"/>
      </c:bar3DChart>
      <c:catAx>
        <c:axId val="2076279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86720"/>
        <c:crosses val="autoZero"/>
        <c:auto val="1"/>
        <c:lblAlgn val="ctr"/>
        <c:lblOffset val="100"/>
        <c:noMultiLvlLbl val="0"/>
      </c:catAx>
      <c:valAx>
        <c:axId val="2076286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79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Quevillon Patrick</dc:creator>
  <cp:keywords/>
  <dc:description/>
  <cp:lastModifiedBy>Olivier Mercier</cp:lastModifiedBy>
  <cp:revision>4</cp:revision>
  <dcterms:created xsi:type="dcterms:W3CDTF">2020-12-15T04:02:00Z</dcterms:created>
  <dcterms:modified xsi:type="dcterms:W3CDTF">2020-12-15T04:46:00Z</dcterms:modified>
</cp:coreProperties>
</file>