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0.png" ContentType="image/png"/>
  <Override PartName="/word/media/rId27.png" ContentType="image/png"/>
  <Override PartName="/word/media/rId104.png" ContentType="image/png"/>
  <Override PartName="/word/media/rId61.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5732e3b9b971f9e3d87933898571f1ca9267e9"/>
    <w:p>
      <w:pPr>
        <w:pStyle w:val="Heading1"/>
      </w:pPr>
      <w:r>
        <w:t xml:space="preserve">From Value Trees to Cloud: A Digital SaaS Workflow for Multi-Criteria Decision Analysis</w:t>
      </w:r>
    </w:p>
    <w:p>
      <w:pPr>
        <w:pStyle w:val="FirstParagraph"/>
      </w:pPr>
      <w:r>
        <w:rPr>
          <w:bCs/>
          <w:b/>
        </w:rPr>
        <w:t xml:space="preserve">A Whitepaper on Translating Value Tree Analysis into a Modern Enterprise Decision Intelligence Platform</w:t>
      </w:r>
    </w:p>
    <w:p>
      <w:r>
        <w:pict>
          <v:rect style="width:0;height:1.5pt" o:hralign="center" o:hrstd="t" o:hr="t"/>
        </w:pict>
      </w:r>
    </w:p>
    <w:p>
      <w:pPr>
        <w:pStyle w:val="FirstParagraph"/>
      </w:pPr>
      <w:r>
        <w:rPr>
          <w:iCs/>
          <w:i/>
        </w:rPr>
        <w:t xml:space="preserve">April 2025</w:t>
      </w:r>
    </w:p>
    <w:bookmarkEnd w:id="20"/>
    <w:bookmarkStart w:id="22" w:name="executive-summary"/>
    <w:p>
      <w:pPr>
        <w:pStyle w:val="Heading1"/>
      </w:pPr>
      <w:r>
        <w:t xml:space="preserve">Executive Summary</w:t>
      </w:r>
    </w:p>
    <w:bookmarkStart w:id="21" w:name="the-transformation-imperative"/>
    <w:p>
      <w:pPr>
        <w:pStyle w:val="Heading2"/>
      </w:pPr>
      <w:r>
        <w:t xml:space="preserve">The Transformation Imperative</w:t>
      </w:r>
    </w:p>
    <w:p>
      <w:pPr>
        <w:pStyle w:val="FirstParagraph"/>
      </w:pPr>
      <w:r>
        <w:t xml:space="preserve">Enterprise decision-making stands at an inflection point. The global Decision Intelligence market, valued at $14–18 billion in 2024, is projected to reach $54–92 billion by 2033, growing at 15–26% compound annual rates</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 Gartner predicts that by 2027, half of all business decisions will be augmented or automated by AI agents using decision intelligence</w:t>
      </w:r>
      <w:r>
        <w:rPr>
          <w:vertAlign w:val="superscript"/>
        </w:rPr>
        <w:t xml:space="preserve">6</w:t>
      </w:r>
      <w:r>
        <w:t xml:space="preserve">. Yet a structural gap persists beneath these headline numbers: organizations possess abundant data infrastructure and analytics tooling, but lack a platform that combines academic-grade decision methodology with enterprise SaaS delivery</w:t>
      </w:r>
      <w:r>
        <w:rPr>
          <w:vertAlign w:val="superscript"/>
        </w:rPr>
        <w:t xml:space="preserve">7</w:t>
      </w:r>
      <w:r>
        <w:t xml:space="preserve">. Business Intelligence platforms visualize what has happened but offer no structured framework for choosing what to do next. Multi-Criteria Decision Analysis tools provide rigor but remain trapped in desktop-bound, single-user applications beyond the reach of most teams</w:t>
      </w:r>
      <w:r>
        <w:rPr>
          <w:vertAlign w:val="superscript"/>
        </w:rPr>
        <w:t xml:space="preserve">8</w:t>
      </w:r>
      <w:r>
        <w:t xml:space="preserve">. This whitepaper closes that gap by translating Value Tree Analysis—a methodology validated by decades of academic research—into a cloud-native, AI-assisted SaaS workflow.</w:t>
      </w:r>
    </w:p>
    <w:p>
      <w:pPr>
        <w:pStyle w:val="BodyText"/>
      </w:pPr>
      <w:r>
        <w:t xml:space="preserve">Value Tree Analysis (VTA) traces its intellectual lineage to von Neumann–Morgenstern utility theory, through Keeney and Raiffa’s foundational work on multi-attribute preference modeling, to a 2002 academic document published by the Helsinki University of Technology that codifies the complete methodological framework</w:t>
      </w:r>
      <w:r>
        <w:rPr>
          <w:vertAlign w:val="superscript"/>
        </w:rPr>
        <w:t xml:space="preserve">3</w:t>
      </w:r>
      <w:r>
        <w:t xml:space="preserve">. That 71-page document specifies how to structure complex decisions into hierarchical objective trees, elicit preference functions through validated techniques, analyze sensitivity to assumption changes, detect cognitive biases, and aggregate stakeholder inputs into defensible recommendations. It also reveals why VTA never achieved mainstream adoption: every step assumes a trained decision analyst as the central orchestrator, making the methodology prohibitively expensive and slow for most organizations</w:t>
      </w:r>
      <w:r>
        <w:rPr>
          <w:vertAlign w:val="superscript"/>
        </w:rPr>
        <w:t xml:space="preserve">3</w:t>
      </w:r>
      <w:r>
        <w:t xml:space="preserve">.</w:t>
      </w:r>
    </w:p>
    <w:p>
      <w:pPr>
        <w:pStyle w:val="BodyText"/>
      </w:pPr>
      <w:r>
        <w:t xml:space="preserve">Three enabling forces now converge to remove those barriers. Cloud-native SaaS architecture provides scalable, collaborative, multi-tenant infrastructure with enterprise security and API-first integration</w:t>
      </w:r>
      <w:r>
        <w:rPr>
          <w:vertAlign w:val="superscript"/>
        </w:rPr>
        <w:t xml:space="preserve">9</w:t>
      </w:r>
      <w:r>
        <w:t xml:space="preserve"> </w:t>
      </w:r>
      <w:r>
        <w:rPr>
          <w:vertAlign w:val="superscript"/>
        </w:rPr>
        <w:t xml:space="preserve">10</w:t>
      </w:r>
      <w:r>
        <w:t xml:space="preserve">. Real-time collaboration technologies—Conflict-free Replicated Data Types (CRDTs) proven at scale by Figma and Notion—enable simultaneous editing of decision models by distributed stakeholders</w:t>
      </w:r>
      <w:r>
        <w:rPr>
          <w:vertAlign w:val="superscript"/>
        </w:rPr>
        <w:t xml:space="preserve">11</w:t>
      </w:r>
      <w:r>
        <w:t xml:space="preserve"> </w:t>
      </w:r>
      <w:r>
        <w:rPr>
          <w:vertAlign w:val="superscript"/>
        </w:rPr>
        <w:t xml:space="preserve">12</w:t>
      </w:r>
      <w:r>
        <w:t xml:space="preserve">. Most significantly, generative AI can now fulfill the analyst functions that made VTA inaccessible: generating objectives from documents, constructing value trees, detecting behavioral biases, and explaining sensitivity results in natural language</w:t>
      </w:r>
      <w:r>
        <w:rPr>
          <w:vertAlign w:val="superscript"/>
        </w:rPr>
        <w:t xml:space="preserve">13</w:t>
      </w:r>
      <w:r>
        <w:t xml:space="preserve"> </w:t>
      </w:r>
      <w:r>
        <w:rPr>
          <w:vertAlign w:val="superscript"/>
        </w:rPr>
        <w:t xml:space="preserve">8</w:t>
      </w:r>
      <w:r>
        <w:t xml:space="preserve">. The result is a paradigm shift—from consultant-led engagements measured in weeks to self-service decision cycles measured in hours.</w:t>
      </w:r>
    </w:p>
    <w:p>
      <w:pPr>
        <w:pStyle w:val="BodyText"/>
      </w:pPr>
      <w:r>
        <w:t xml:space="preserve">This whitepaper presents that transformation through the</w:t>
      </w:r>
      <w:r>
        <w:t xml:space="preserve"> </w:t>
      </w:r>
      <w:r>
        <w:rPr>
          <w:bCs/>
          <w:b/>
        </w:rPr>
        <w:t xml:space="preserve">Decision Stack</w:t>
      </w:r>
      <w:r>
        <w:t xml:space="preserve">, a five-layer architecture:</w:t>
      </w:r>
      <w:r>
        <w:t xml:space="preserve"> </w:t>
      </w:r>
      <w:r>
        <w:rPr>
          <w:bCs/>
          <w:b/>
        </w:rPr>
        <w:t xml:space="preserve">Context</w:t>
      </w:r>
      <w:r>
        <w:t xml:space="preserve"> </w:t>
      </w:r>
      <w:r>
        <w:t xml:space="preserve">→</w:t>
      </w:r>
      <w:r>
        <w:t xml:space="preserve"> </w:t>
      </w:r>
      <w:r>
        <w:rPr>
          <w:bCs/>
          <w:b/>
        </w:rPr>
        <w:t xml:space="preserve">Hierarchy</w:t>
      </w:r>
      <w:r>
        <w:t xml:space="preserve"> </w:t>
      </w:r>
      <w:r>
        <w:t xml:space="preserve">→</w:t>
      </w:r>
      <w:r>
        <w:t xml:space="preserve"> </w:t>
      </w:r>
      <w:r>
        <w:rPr>
          <w:bCs/>
          <w:b/>
        </w:rPr>
        <w:t xml:space="preserve">Elicitation</w:t>
      </w:r>
      <w:r>
        <w:t xml:space="preserve"> </w:t>
      </w:r>
      <w:r>
        <w:t xml:space="preserve">→</w:t>
      </w:r>
      <w:r>
        <w:t xml:space="preserve"> </w:t>
      </w:r>
      <w:r>
        <w:rPr>
          <w:bCs/>
          <w:b/>
        </w:rPr>
        <w:t xml:space="preserve">Analysis</w:t>
      </w:r>
      <w:r>
        <w:t xml:space="preserve"> </w:t>
      </w:r>
      <w:r>
        <w:t xml:space="preserve">→</w:t>
      </w:r>
      <w:r>
        <w:t xml:space="preserve"> </w:t>
      </w:r>
      <w:r>
        <w:rPr>
          <w:bCs/>
          <w:b/>
        </w:rPr>
        <w:t xml:space="preserve">Collaboration</w:t>
      </w:r>
      <w:r>
        <w:t xml:space="preserve">. Just as the data stack emerged from combining separate ETL, warehouse, and BI tools, the Decision Stack represents the convergence of decision canvases, survey tools, BI dashboards, and voting applications into a vertically integrated platform. No existing product occupies this position. Current point solutions create precisely the integration fatigue that a unified stack is designed to resolve.</w:t>
      </w:r>
    </w:p>
    <w:p>
      <w:pPr>
        <w:pStyle w:val="BodyText"/>
      </w:pPr>
      <w:r>
        <w:t xml:space="preserve">Each layer translates a chapter of the 2002 VTA document into a digital capability module. The Context Layer transforms facilitated workshops into AI-assisted decision canvases. The Hierarchy Layer converts manual tree drawing into interactive builders with automated validation. The Elicitation Layer digitizes the full methodological repertoire—SMART, SWING, AHP, direct rating, curve drawing—through guided interfaces with real-time visual feedback. The Analysis Layer delivers interactive tornado diagrams, scenario management, and Monte Carlo simulation through reactive parameter binding. The Collaboration Layer enables asynchronous multi-stakeholder participation, anonymous preference input, weighted aggregation, and imprecise group preference handling</w:t>
      </w:r>
      <w:r>
        <w:rPr>
          <w:vertAlign w:val="superscript"/>
        </w:rPr>
        <w:t xml:space="preserve">14</w:t>
      </w:r>
      <w:r>
        <w:t xml:space="preserve"> </w:t>
      </w:r>
      <w:r>
        <w:rPr>
          <w:vertAlign w:val="superscript"/>
        </w:rPr>
        <w:t xml:space="preserve">15</w:t>
      </w:r>
      <w:r>
        <w:t xml:space="preserve">.</w:t>
      </w:r>
    </w:p>
    <w:p>
      <w:pPr>
        <w:pStyle w:val="BodyText"/>
      </w:pPr>
      <w:r>
        <w:t xml:space="preserve">The latter capability deserves particular emphasis. PRIME (Preference Ratio In Multi-attribute Evaluation), the interval-based preference method from the 2002 document, captures stakeholder disagreement as structured data rather than treating it as a procedural failure. In enterprise contexts—procurement committees, capital allocation boards, hiring panels—exact consensus is rarely achievable. PRIME’s ability to model uncertainty, identify dominance relationships despite disagreement, and progressively refine preferences represents a capability no major cloud platform currently offers. It is the feature that differentiates a VTA SaaS platform from simple voting tools and transforms how organizations navigate contested decisions.</w:t>
      </w:r>
    </w:p>
    <w:p>
      <w:pPr>
        <w:pStyle w:val="BodyText"/>
      </w:pPr>
      <w:r>
        <w:t xml:space="preserve">The behavioral layer extends this differentiation further. Automated detection of splitting bias, range effects, hierarchy effects, and reference point anomalies transforms the platform from passive calculator to active decision coach</w:t>
      </w:r>
      <w:r>
        <w:rPr>
          <w:vertAlign w:val="superscript"/>
        </w:rPr>
        <w:t xml:space="preserve">6</w:t>
      </w:r>
      <w:r>
        <w:t xml:space="preserve">. When a committee’s weights shift unpredictably after restructuring an objective, the platform surfaces the alert. When a narrow attribute range receives disproportionate weight, the system flags the distortion. These are not cosmetic enhancements; they address cognitive threats to decision validity that remain entirely unaddressed in contemporary tooling.</w:t>
      </w:r>
    </w:p>
    <w:p>
      <w:pPr>
        <w:pStyle w:val="BodyText"/>
      </w:pPr>
      <w:r>
        <w:t xml:space="preserve">The architectural blueprint specifies microservices decomposition, CRDT-based real-time collaboration, API-first design, SOC 2 Type II and GDPR compliance, and ERP/CRM/BI integration</w:t>
      </w:r>
      <w:r>
        <w:rPr>
          <w:vertAlign w:val="superscript"/>
        </w:rPr>
        <w:t xml:space="preserve">16</w:t>
      </w:r>
      <w:r>
        <w:t xml:space="preserve"> </w:t>
      </w:r>
      <w:r>
        <w:rPr>
          <w:vertAlign w:val="superscript"/>
        </w:rPr>
        <w:t xml:space="preserve">17</w:t>
      </w:r>
      <w:r>
        <w:t xml:space="preserve"> </w:t>
      </w:r>
      <w:r>
        <w:rPr>
          <w:vertAlign w:val="superscript"/>
        </w:rPr>
        <w:t xml:space="preserve">18</w:t>
      </w:r>
      <w:r>
        <w:t xml:space="preserve">. A four-phase implementation roadmap—MVP through Enterprise—translates the 2002 document’s chapter structure into a product development sequence, confirming a remarkable insight: that academic treatise functions not merely as theoretical background but as a detailed product specification written twenty years ahead of its technical implementation window</w:t>
      </w:r>
      <w:r>
        <w:rPr>
          <w:vertAlign w:val="superscript"/>
        </w:rPr>
        <w:t xml:space="preserve">8</w:t>
      </w:r>
      <w:r>
        <w:t xml:space="preserve">.</w:t>
      </w:r>
    </w:p>
    <w:p>
      <w:pPr>
        <w:pStyle w:val="BodyText"/>
      </w:pPr>
      <w:r>
        <w:t xml:space="preserve">The strategic opportunity is both clear and time-bound. No purpose-built cloud-native VTA platform exists today. The Decision Intelligence market is expanding at 15–26% annually. The academic methodology is complete, validated, and waiting for the infrastructure that can deliver it at scale. The vision is decision infrastructure as a service: structured, auditable, collaborative decision-making embedded into every enterprise workflow where trade-offs matter. This whitepaper is the blueprint for building it.</w:t>
      </w:r>
    </w:p>
    <w:p>
      <w:r>
        <w:pict>
          <v:rect style="width:0;height:1.5pt" o:hralign="center" o:hrstd="t" o:hr="t"/>
        </w:pict>
      </w:r>
    </w:p>
    <w:bookmarkEnd w:id="21"/>
    <w:bookmarkEnd w:id="22"/>
    <w:bookmarkStart w:id="138" w:name="Xd6f593ab1c26bce09aa93154b0b889db3504662"/>
    <w:p>
      <w:pPr>
        <w:pStyle w:val="Heading1"/>
      </w:pPr>
      <w:r>
        <w:t xml:space="preserve">1. Introduction: The Decision Analysis Revolution</w:t>
      </w:r>
    </w:p>
    <w:p>
      <w:pPr>
        <w:pStyle w:val="FirstParagraph"/>
      </w:pPr>
      <w:r>
        <w:t xml:space="preserve">Every day, enterprise leaders face choices that resist simple answers. A pharmaceutical executive must select which drug candidates to advance, weighing clinical efficacy, regulatory risk, manufacturing cost, time-to-market, and portfolio balance simultaneously. A municipal government must choose between transit infrastructure investments, trading off ridership projections, environmental impact, land use, equity across neighborhoods, and long-term maintenance liability. A technology product committee must prioritize features for the next release, reconciling customer demand signals, engineering capacity, competitive positioning, technical debt, and revenue potential. These decisions share a defining characteristic: they are multi-criteria, multi-stakeholder, and high-consequence. They are precisely the class of problems that Value Tree Analysis (VTA) was designed to address—and they are increasingly the decisions that modern enterprise software has failed to serve well.</w:t>
      </w:r>
    </w:p>
    <w:p>
      <w:pPr>
        <w:pStyle w:val="BodyText"/>
      </w:pPr>
      <w:r>
        <w:t xml:space="preserve">This whitepaper presents a comprehensive translation of VTA from its academic, analyst-driven origins into a modern, cloud-native, AI-assisted SaaS workflow. The foundational text for this translation is a 2002 academic document on Value Tree Analysis published by the Helsinki University of Technology—a 71-page treatise that codifies the methodological state of the art at the turn of the millennium</w:t>
      </w:r>
      <w:r>
        <w:rPr>
          <w:vertAlign w:val="superscript"/>
        </w:rPr>
        <w:t xml:space="preserve">3</w:t>
      </w:r>
      <w:r>
        <w:t xml:space="preserve">. That document, like the broader decision analysis tradition from which it emerges, offers a rigorous, validated framework for structuring complex decisions. It also reveals, in retrospect, why VTA never achieved enterprise-scale adoption: it was designed as a consultant-led, manually executed, desktop-bound process requiring trained analysts to guide every step. The infrastructure simply did not exist to make structured multi-criteria decision analysis accessible to the teams who needed it most.</w:t>
      </w:r>
    </w:p>
    <w:p>
      <w:pPr>
        <w:pStyle w:val="BodyText"/>
      </w:pPr>
      <w:r>
        <w:t xml:space="preserve">The situation has changed fundamentally. Cloud computing, real-time collaboration, interactive visualization, and—most significantly—generative AI have created the conditions for a paradigm shift. Where the 2002 VTA document assumed a trained decision analyst as the</w:t>
      </w:r>
      <w:r>
        <w:t xml:space="preserve"> </w:t>
      </w:r>
      <w:r>
        <w:t xml:space="preserve">“</w:t>
      </w:r>
      <w:r>
        <w:t xml:space="preserve">operating system</w:t>
      </w:r>
      <w:r>
        <w:t xml:space="preserve">”</w:t>
      </w:r>
      <w:r>
        <w:t xml:space="preserve"> </w:t>
      </w:r>
      <w:r>
        <w:t xml:space="preserve">prompting, validating, and structuring each phase, AI agents can now fulfill that role, making VTA accessible to any team with a SaaS subscription</w:t>
      </w:r>
      <w:r>
        <w:rPr>
          <w:vertAlign w:val="superscript"/>
        </w:rPr>
        <w:t xml:space="preserve">8</w:t>
      </w:r>
      <w:r>
        <w:t xml:space="preserve">. The result is not a marginal improvement in usability but a categorical transformation in who can apply rigorous decision methodology and when.</w:t>
      </w:r>
    </w:p>
    <w:bookmarkStart w:id="26" w:name="the-legacy-of-value-tree-analysis"/>
    <w:p>
      <w:pPr>
        <w:pStyle w:val="Heading2"/>
      </w:pPr>
      <w:r>
        <w:t xml:space="preserve">1.1 The Legacy of Value Tree Analysis</w:t>
      </w:r>
    </w:p>
    <w:bookmarkStart w:id="23" w:name="Xa6569c482cf1e44fc9d1f964cf06a25e6ec25ee"/>
    <w:p>
      <w:pPr>
        <w:pStyle w:val="Heading3"/>
      </w:pPr>
      <w:r>
        <w:t xml:space="preserve">1.1.1 Origins in von Neumann–Morgenstern Utility Theory and Keeney–Raiffa Decision Analysis</w:t>
      </w:r>
    </w:p>
    <w:p>
      <w:pPr>
        <w:pStyle w:val="FirstParagraph"/>
      </w:pPr>
      <w:r>
        <w:t xml:space="preserve">The intellectual lineage of Value Tree Analysis traces to the foundational work in expected utility theory. In 1944, John von Neumann and Oskar Morgenstern published</w:t>
      </w:r>
      <w:r>
        <w:t xml:space="preserve"> </w:t>
      </w:r>
      <w:r>
        <w:rPr>
          <w:iCs/>
          <w:i/>
        </w:rPr>
        <w:t xml:space="preserve">Theory of Games and Economic Behavior</w:t>
      </w:r>
      <w:r>
        <w:t xml:space="preserve">, which established that rational choice under uncertainty could be represented as the maximization of expected utility—a cardinal function unique up to positive affine transformations. Their axiomatic framework (completeness, transitivity, continuity, and independence) provided the mathematical foundation for all subsequent prescriptive decision theory.</w:t>
      </w:r>
    </w:p>
    <w:p>
      <w:pPr>
        <w:pStyle w:val="BodyText"/>
      </w:pPr>
      <w:r>
        <w:t xml:space="preserve">The transition from theory to operational methodology occurred in 1976, when Ralph Keeney and Howard Raiffa published</w:t>
      </w:r>
      <w:r>
        <w:t xml:space="preserve"> </w:t>
      </w:r>
      <w:r>
        <w:rPr>
          <w:iCs/>
          <w:i/>
        </w:rPr>
        <w:t xml:space="preserve">Decisions with Multiple Objectives: Preferences and Value Tradeoffs</w:t>
      </w:r>
      <w:r>
        <w:t xml:space="preserve">. Keeney and Raiffa synthesized decades of research into a practical framework for decomposing complex decisions into hierarchical objective structures, eliciting preference functions over individual attributes, and recombining those functions through additive or multiplicative value models to produce actionable rankings. Their work introduced the concept of mutual preferential independence—the condition under which an additive value function validly represents overall preferences—and provided the theoretical justification for the value tree structure that gives VTA its name.</w:t>
      </w:r>
    </w:p>
    <w:p>
      <w:pPr>
        <w:pStyle w:val="BodyText"/>
      </w:pPr>
      <w:r>
        <w:t xml:space="preserve">The influence of this tradition on the 2002 VTA document is direct and explicit. The document’s treatment of value functions, preference independence, strategic equivalence, and decomposition all derive from the Keeney–Raiffa framework</w:t>
      </w:r>
      <w:r>
        <w:rPr>
          <w:vertAlign w:val="superscript"/>
        </w:rPr>
        <w:t xml:space="preserve">3</w:t>
      </w:r>
      <w:r>
        <w:t xml:space="preserve">. Its distinction between ordinal and measurable value functions, its specification of the additive model under mutual preferential independence, and its discussion of the multiplicative and multilinear alternatives when independence conditions fail—all reflect the theoretical edifice constructed between 1944 and 1992, the year Keeney published</w:t>
      </w:r>
      <w:r>
        <w:t xml:space="preserve"> </w:t>
      </w:r>
      <w:r>
        <w:rPr>
          <w:iCs/>
          <w:i/>
        </w:rPr>
        <w:t xml:space="preserve">Value-Focused Thinking</w:t>
      </w:r>
      <w:r>
        <w:t xml:space="preserve">.</w:t>
      </w:r>
    </w:p>
    <w:bookmarkEnd w:id="23"/>
    <w:bookmarkStart w:id="24" w:name="X4b33a89a42dba006ebe073dd086223108256348"/>
    <w:p>
      <w:pPr>
        <w:pStyle w:val="Heading3"/>
      </w:pPr>
      <w:r>
        <w:t xml:space="preserve">1.1.2 The 2002 VTA Framework: Problem Structuring, Preference Elicitation, Sensitivity Analysis, and Group Decision-Making</w:t>
      </w:r>
    </w:p>
    <w:p>
      <w:pPr>
        <w:pStyle w:val="FirstParagraph"/>
      </w:pPr>
      <w:r>
        <w:t xml:space="preserve">The 2002 VTA document organizes the decision analysis process into nine chapters that collectively describe a complete methodology. Chapter 1 introduces the decision analysis process with its characteristic phases: problem structuring, preference elicitation, sensitivity analysis, and communication. Chapter 2 establishes the theoretical foundations—concepts and notation, axiomatic foundations, strategic equivalence, mathematical representation, decomposition, and preference independence. Chapter 3 addresses problem structuring in detail: defining the decision context, identifying and generating objectives, generating alternatives, hierarchical modeling, attribute specification, and checking the value tree against completeness, operationality, decomposability, nonredundancy, and minimum size criteria. Chapter 4 covers preference elicitation comprehensively—value function elicitation through direct rating, category estimation, ratio estimation, difference standard sequences, and bisection; weight elicitation through SMART, rank-based methods, and SWING; and the treatment of imprecise preferences through PRIME. Chapter 5 addresses sensitivity analysis, including dominance and one-way sensitivity analysis. Chapter 6 examines behavioral issues: splitting bias, range effects, hierarchy effects, and reference point effects. Chapter 7 discusses communicating results. Chapter 8 treats group decision-making. Chapter 9 surveys then-available software tools</w:t>
      </w:r>
      <w:r>
        <w:rPr>
          <w:vertAlign w:val="superscript"/>
        </w:rPr>
        <w:t xml:space="preserve">3</w:t>
      </w:r>
      <w:r>
        <w:t xml:space="preserve">.</w:t>
      </w:r>
    </w:p>
    <w:p>
      <w:pPr>
        <w:pStyle w:val="BodyText"/>
      </w:pPr>
      <w:r>
        <w:t xml:space="preserve">This structure is notable for its completeness. The document does not merely describe mathematical techniques; it provides procedural guidance for facilitators, discusses the cognitive biases that threaten validity, addresses the political dynamics of group contexts, and even includes a detailed job selection case study with four alternatives evaluated across multiple criteria. It represents, in effect, a comprehensive product specification for structured decision support—written two decades before the enabling infrastructure would exist to implement it as software.</w:t>
      </w:r>
    </w:p>
    <w:bookmarkEnd w:id="24"/>
    <w:bookmarkStart w:id="25" w:name="Xa6d70eb7ac18c5f982ef7efead141a7e034efd7"/>
    <w:p>
      <w:pPr>
        <w:pStyle w:val="Heading3"/>
      </w:pPr>
      <w:r>
        <w:t xml:space="preserve">1.1.3 Limitations of the Manual, Analyst-Driven Model</w:t>
      </w:r>
    </w:p>
    <w:p>
      <w:pPr>
        <w:pStyle w:val="FirstParagraph"/>
      </w:pPr>
      <w:r>
        <w:t xml:space="preserve">The 2002 VTA document also makes clear why the methodology remained confined to a small community of practitioners. Every step assumes a trained decision analyst as the central orchestrator. Problem structuring requires a facilitator who</w:t>
      </w:r>
      <w:r>
        <w:t xml:space="preserve"> </w:t>
      </w:r>
      <w:r>
        <w:t xml:space="preserve">“</w:t>
      </w:r>
      <w:r>
        <w:t xml:space="preserve">often has an important role as a facilitator in guiding and stimulating the process</w:t>
      </w:r>
      <w:r>
        <w:t xml:space="preserve">”</w:t>
      </w:r>
      <w:r>
        <w:rPr>
          <w:vertAlign w:val="superscript"/>
        </w:rPr>
        <w:t xml:space="preserve">3</w:t>
      </w:r>
      <w:r>
        <w:t xml:space="preserve">. Preference elicitation demands an iterative dialogue between analyst and decision-maker to check consistency and refine judgments. Sensitivity analysis is presented as a separate, technically demanding step. Group decision-making requires managing</w:t>
      </w:r>
      <w:r>
        <w:t xml:space="preserve"> </w:t>
      </w:r>
      <w:r>
        <w:t xml:space="preserve">“</w:t>
      </w:r>
      <w:r>
        <w:t xml:space="preserve">the affective, political, and process dynamics in the group</w:t>
      </w:r>
      <w:r>
        <w:t xml:space="preserve">”</w:t>
      </w:r>
      <w:r>
        <w:t xml:space="preserve"> </w:t>
      </w:r>
      <w:r>
        <w:t xml:space="preserve">through skilled facilitation. The software tools referenced—Web-HIPRE, PRIME Decisions—are desktop applications with no collaboration capabilities, no enterprise integration, and no modern user experience.</w:t>
      </w:r>
    </w:p>
    <w:p>
      <w:pPr>
        <w:pStyle w:val="BodyText"/>
      </w:pPr>
      <w:r>
        <w:t xml:space="preserve">The practical barriers were substantial: cost (engaging a trained decision analyst for weeks), accessibility (desktop software requiring installation and expertise), time (decision cycles measured in weeks to months), and expertise dependency (teams unable to apply the methodology without external support). These barriers limited VTA to organizations with sufficient scale and sophistication to afford dedicated decision analysis capability—primarily government agencies, large consultancies, and research institutions. The vast majority of multi-criteria business decisions were made through intuition, simple spreadsheets, or unstructured debate.</w:t>
      </w:r>
    </w:p>
    <w:bookmarkEnd w:id="25"/>
    <w:bookmarkEnd w:id="26"/>
    <w:bookmarkStart w:id="33" w:name="the-rise-of-decision-intelligence"/>
    <w:p>
      <w:pPr>
        <w:pStyle w:val="Heading2"/>
      </w:pPr>
      <w:r>
        <w:t xml:space="preserve">1.2 The Rise of Decision Intelligence</w:t>
      </w:r>
    </w:p>
    <w:bookmarkStart w:id="30" w:name="market-valuation-and-growth-trajectory"/>
    <w:p>
      <w:pPr>
        <w:pStyle w:val="Heading3"/>
      </w:pPr>
      <w:r>
        <w:t xml:space="preserve">1.2.1 Market Valuation and Growth Trajectory</w:t>
      </w:r>
    </w:p>
    <w:p>
      <w:pPr>
        <w:pStyle w:val="FirstParagraph"/>
      </w:pPr>
      <w:r>
        <w:t xml:space="preserve">The landscape has shifted dramatically. Gartner’s 2024 Market Guide for Decision Intelligence Platforms formalized Decision Intelligence (DI) as a distinct software category, defining Decision Intelligence Platforms (DIPs) as software combining</w:t>
      </w:r>
      <w:r>
        <w:t xml:space="preserve"> </w:t>
      </w:r>
      <w:r>
        <w:t xml:space="preserve">“</w:t>
      </w:r>
      <w:r>
        <w:t xml:space="preserve">explicit decision modeling, AI, analytics and related capabilities to support, augment or automate decision making</w:t>
      </w:r>
      <w:r>
        <w:t xml:space="preserve">”</w:t>
      </w:r>
      <w:r>
        <w:rPr>
          <w:vertAlign w:val="superscript"/>
        </w:rPr>
        <w:t xml:space="preserve">7</w:t>
      </w:r>
      <w:r>
        <w:t xml:space="preserve"> </w:t>
      </w:r>
      <w:r>
        <w:rPr>
          <w:vertAlign w:val="superscript"/>
        </w:rPr>
        <w:t xml:space="preserve">19</w:t>
      </w:r>
      <w:r>
        <w:t xml:space="preserve">. This recognition catalyzed significant market attention and investment.</w:t>
      </w:r>
    </w:p>
    <w:p>
      <w:pPr>
        <w:pStyle w:val="BodyText"/>
      </w:pPr>
      <w:r>
        <w:t xml:space="preserve">Multiple independent market research firms project the global Decision Intelligence market at $14–18 billion in 2024, growing to $54–92 billion by 2033 at compound annual growth rates (CAGR) ranging from 15% to 20%</w:t>
      </w:r>
      <w:r>
        <w:rPr>
          <w:vertAlign w:val="superscript"/>
        </w:rPr>
        <w:t xml:space="preserve">1</w:t>
      </w:r>
      <w:r>
        <w:t xml:space="preserve"> </w:t>
      </w:r>
      <w:r>
        <w:rPr>
          <w:vertAlign w:val="superscript"/>
        </w:rPr>
        <w:t xml:space="preserve">2</w:t>
      </w:r>
      <w:r>
        <w:t xml:space="preserve"> </w:t>
      </w:r>
      <w:r>
        <w:rPr>
          <w:vertAlign w:val="superscript"/>
        </w:rPr>
        <w:t xml:space="preserve">3</w:t>
      </w:r>
      <w:r>
        <w:t xml:space="preserve"> </w:t>
      </w:r>
      <w:r>
        <w:rPr>
          <w:vertAlign w:val="superscript"/>
        </w:rPr>
        <w:t xml:space="preserve">4</w:t>
      </w:r>
      <w:r>
        <w:t xml:space="preserve"> </w:t>
      </w:r>
      <w:r>
        <w:rPr>
          <w:vertAlign w:val="superscript"/>
        </w:rPr>
        <w:t xml:space="preserve">5</w:t>
      </w:r>
      <w:r>
        <w:t xml:space="preserve">. IMARC Group values the 2024 market at $14.3 billion with a projected 15.12% CAGR to $54.2 billion by 2033</w:t>
      </w:r>
      <w:r>
        <w:rPr>
          <w:vertAlign w:val="superscript"/>
        </w:rPr>
        <w:t xml:space="preserve">1</w:t>
      </w:r>
      <w:r>
        <w:t xml:space="preserve">. Fortune Business Insights estimates $16.79 billion in 2024, growing at 16.9% CAGR to $57.75 billion by 2032</w:t>
      </w:r>
      <w:r>
        <w:rPr>
          <w:vertAlign w:val="superscript"/>
        </w:rPr>
        <w:t xml:space="preserve">4</w:t>
      </w:r>
      <w:r>
        <w:t xml:space="preserve">. Grand View Research projects $15.22 billion in 2024 reaching $36.34 billion by 2030 at 15.4% CAGR</w:t>
      </w:r>
      <w:r>
        <w:rPr>
          <w:vertAlign w:val="superscript"/>
        </w:rPr>
        <w:t xml:space="preserve">5</w:t>
      </w:r>
      <w:r>
        <w:t xml:space="preserve">. SNS Insider estimates $18.08 billion (2025) growing to $74.23 billion by 2033 at 19.31% CAGR</w:t>
      </w:r>
      <w:r>
        <w:rPr>
          <w:vertAlign w:val="superscript"/>
        </w:rPr>
        <w:t xml:space="preserve">3</w:t>
      </w:r>
      <w:r>
        <w:t xml:space="preserve">. Straits Research projects the most aggressive trajectory: $17.62 billion (2024) to $92.3 billion by 2033 at 20.2% CAGR</w:t>
      </w:r>
      <w:r>
        <w:rPr>
          <w:vertAlign w:val="superscript"/>
        </w:rPr>
        <w:t xml:space="preserve">2</w:t>
      </w:r>
      <w:r>
        <w:t xml:space="preserve">.</w:t>
      </w:r>
    </w:p>
    <w:p>
      <w:pPr>
        <w:pStyle w:val="CaptionedFigure"/>
      </w:pPr>
      <w:r>
        <w:drawing>
          <wp:inline>
            <wp:extent cx="5334000" cy="2634407"/>
            <wp:effectExtent b="0" l="0" r="0" t="0"/>
            <wp:docPr descr="Global Decision Intelligence Market Projections" title="" id="28" name="Picture"/>
            <a:graphic>
              <a:graphicData uri="http://schemas.openxmlformats.org/drawingml/2006/picture">
                <pic:pic>
                  <pic:nvPicPr>
                    <pic:cNvPr descr="/mnt/agents/output/di_market_projections.png" id="29" name="Picture"/>
                    <pic:cNvPicPr>
                      <a:picLocks noChangeArrowheads="1" noChangeAspect="1"/>
                    </pic:cNvPicPr>
                  </pic:nvPicPr>
                  <pic:blipFill>
                    <a:blip r:embed="rId27"/>
                    <a:stretch>
                      <a:fillRect/>
                    </a:stretch>
                  </pic:blipFill>
                  <pic:spPr bwMode="auto">
                    <a:xfrm>
                      <a:off x="0" y="0"/>
                      <a:ext cx="5334000" cy="2634407"/>
                    </a:xfrm>
                    <a:prstGeom prst="rect">
                      <a:avLst/>
                    </a:prstGeom>
                    <a:noFill/>
                    <a:ln w="9525">
                      <a:noFill/>
                      <a:headEnd/>
                      <a:tailEnd/>
                    </a:ln>
                  </pic:spPr>
                </pic:pic>
              </a:graphicData>
            </a:graphic>
          </wp:inline>
        </w:drawing>
      </w:r>
    </w:p>
    <w:p>
      <w:pPr>
        <w:pStyle w:val="ImageCaption"/>
      </w:pPr>
      <w:r>
        <w:t xml:space="preserve">Global Decision Intelligence Market Projections</w:t>
      </w:r>
    </w:p>
    <w:p>
      <w:pPr>
        <w:pStyle w:val="BodyText"/>
      </w:pPr>
      <w:r>
        <w:rPr>
          <w:iCs/>
          <w:i/>
        </w:rPr>
        <w:t xml:space="preserve">Figure 1.1: Global Decision Intelligence market projections from multiple independent research firms, 2024–2033. The shaded band represents the range between conservative (IMARC) and aggressive (Straits Research) forecasts. Data sources: IMARC Group</w:t>
      </w:r>
      <w:r>
        <w:rPr>
          <w:vertAlign w:val="superscript"/>
          <w:iCs/>
          <w:i/>
        </w:rPr>
        <w:t xml:space="preserve">1</w:t>
      </w:r>
      <w:r>
        <w:rPr>
          <w:iCs/>
          <w:i/>
        </w:rPr>
        <w:t xml:space="preserve">, Fortune Business Insights</w:t>
      </w:r>
      <w:r>
        <w:rPr>
          <w:vertAlign w:val="superscript"/>
          <w:iCs/>
          <w:i/>
        </w:rPr>
        <w:t xml:space="preserve">4</w:t>
      </w:r>
      <w:r>
        <w:rPr>
          <w:iCs/>
          <w:i/>
        </w:rPr>
        <w:t xml:space="preserve">, Grand View Research</w:t>
      </w:r>
      <w:r>
        <w:rPr>
          <w:vertAlign w:val="superscript"/>
          <w:iCs/>
          <w:i/>
        </w:rPr>
        <w:t xml:space="preserve">5</w:t>
      </w:r>
      <w:r>
        <w:rPr>
          <w:iCs/>
          <w:i/>
        </w:rPr>
        <w:t xml:space="preserve">, SNS Insider</w:t>
      </w:r>
      <w:r>
        <w:rPr>
          <w:vertAlign w:val="superscript"/>
          <w:iCs/>
          <w:i/>
        </w:rPr>
        <w:t xml:space="preserve">3</w:t>
      </w:r>
      <w:r>
        <w:rPr>
          <w:iCs/>
          <w:i/>
        </w:rPr>
        <w:t xml:space="preserve">, Straits Research</w:t>
      </w:r>
      <w:r>
        <w:rPr>
          <w:vertAlign w:val="superscript"/>
          <w:iCs/>
          <w:i/>
        </w:rPr>
        <w:t xml:space="preserve">2</w:t>
      </w:r>
      <w:r>
        <w:rPr>
          <w:iCs/>
          <w:i/>
        </w:rPr>
        <w:t xml:space="preserve">.</w:t>
      </w:r>
    </w:p>
    <w:p>
      <w:pPr>
        <w:pStyle w:val="BodyText"/>
      </w:pPr>
      <w:r>
        <w:t xml:space="preserve">The convergence of these independent estimates around a 15–20% CAGR trajectory suggests strong structural demand rather than speculative projection. Gartner reinforces this outlook by predicting that by 2027, 50% of business decisions will be augmented or automated by AI agents using decision intelligence</w:t>
      </w:r>
      <w:r>
        <w:rPr>
          <w:vertAlign w:val="superscript"/>
        </w:rPr>
        <w:t xml:space="preserve">6</w:t>
      </w:r>
      <w:r>
        <w:t xml:space="preserve">.</w:t>
      </w:r>
    </w:p>
    <w:bookmarkEnd w:id="30"/>
    <w:bookmarkStart w:id="31" w:name="Xe8164e037a1edc950a5b20a3043e2a318b28593"/>
    <w:p>
      <w:pPr>
        <w:pStyle w:val="Heading3"/>
      </w:pPr>
      <w:r>
        <w:t xml:space="preserve">1.2.2 The Gap: BI Tools with Analytics but No Structured Methodology; MCDA Tools with Methodology but No Enterprise SaaS Delivery</w:t>
      </w:r>
    </w:p>
    <w:p>
      <w:pPr>
        <w:pStyle w:val="FirstParagraph"/>
      </w:pPr>
      <w:r>
        <w:t xml:space="preserve">Despite this market momentum, a critical gap persists. On one side, Business Intelligence (BI) platforms—Tableau, Power BI, Qlik—provide powerful data visualization and interactive parameter adjustment but lack the structured methodology for multi-criteria decision analysis. They can display what has happened and enable exploratory what-if analysis, but they do not guide users through problem structuring, preference elicitation, or systematic sensitivity analysis</w:t>
      </w:r>
      <w:r>
        <w:rPr>
          <w:vertAlign w:val="superscript"/>
        </w:rPr>
        <w:t xml:space="preserve">7</w:t>
      </w:r>
      <w:r>
        <w:t xml:space="preserve">. On the other side, Multi-Criteria Decision Analysis (MCDA) tools—Web-HIPRE, PRIME Decisions, Hiview, M-MACBETH—implement rigorous VTA methodology but remain desktop-bound, single-user applications with no enterprise-grade collaboration, security, or integration</w:t>
      </w:r>
      <w:r>
        <w:rPr>
          <w:vertAlign w:val="superscript"/>
        </w:rPr>
        <w:t xml:space="preserve">8</w:t>
      </w:r>
      <w:r>
        <w:t xml:space="preserve">. Modern platforms such as 1000minds (with patented PAPRIKA technology used by 890+ universities)</w:t>
      </w:r>
      <w:r>
        <w:rPr>
          <w:vertAlign w:val="superscript"/>
        </w:rPr>
        <w:t xml:space="preserve">20</w:t>
      </w:r>
      <w:r>
        <w:t xml:space="preserve">and Decision Lens exist but address narrow use cases rather than providing the comprehensive VTA workflow described in the 2002 document.</w:t>
      </w:r>
    </w:p>
    <w:p>
      <w:pPr>
        <w:pStyle w:val="BodyText"/>
      </w:pPr>
      <w:r>
        <w:t xml:space="preserve">The result is a</w:t>
      </w:r>
      <w:r>
        <w:t xml:space="preserve"> </w:t>
      </w:r>
      <w:r>
        <w:t xml:space="preserve">“</w:t>
      </w:r>
      <w:r>
        <w:t xml:space="preserve">missing middle</w:t>
      </w:r>
      <w:r>
        <w:t xml:space="preserve">”</w:t>
      </w:r>
      <w:r>
        <w:t xml:space="preserve">: organizations have access to data infrastructure and analytics tooling, but lack a platform that combines academic-grade decision methodology with enterprise SaaS delivery. This gap explains why, despite decades of validated research, structured multi-criteria decision analysis remains outside the standard toolkit of most product managers, strategy teams, and operational leaders.</w:t>
      </w:r>
    </w:p>
    <w:bookmarkEnd w:id="31"/>
    <w:bookmarkStart w:id="32" w:name="Xeb8bb3a3ff26b46a29f2d1730b6a353eaa27c9f"/>
    <w:p>
      <w:pPr>
        <w:pStyle w:val="Heading3"/>
      </w:pPr>
      <w:r>
        <w:t xml:space="preserve">1.2.3 The Convergence Opportunity: Academic Rigor + Cloud Delivery + AI Assistance</w:t>
      </w:r>
    </w:p>
    <w:p>
      <w:pPr>
        <w:pStyle w:val="FirstParagraph"/>
      </w:pPr>
      <w:r>
        <w:t xml:space="preserve">Three enabling forces now converge to close this gap. First, cloud-native SaaS architecture provides the infrastructure for scalable, collaborative, multi-tenant decision platforms with enterprise security (SOC 2, GDPR, HIPAA) and API-first integration</w:t>
      </w:r>
      <w:r>
        <w:rPr>
          <w:vertAlign w:val="superscript"/>
        </w:rPr>
        <w:t xml:space="preserve">9</w:t>
      </w:r>
      <w:r>
        <w:t xml:space="preserve"> </w:t>
      </w:r>
      <w:r>
        <w:rPr>
          <w:vertAlign w:val="superscript"/>
        </w:rPr>
        <w:t xml:space="preserve">10</w:t>
      </w:r>
      <w:r>
        <w:t xml:space="preserve">. Second, real-time collaboration technologies—Conflict-free Replicated Data Types (CRDTs) as implemented in Yjs, Figma’s multiplayer architecture—enable simultaneous editing of decision models by distributed stakeholders</w:t>
      </w:r>
      <w:r>
        <w:rPr>
          <w:vertAlign w:val="superscript"/>
        </w:rPr>
        <w:t xml:space="preserve">11</w:t>
      </w:r>
      <w:r>
        <w:t xml:space="preserve"> </w:t>
      </w:r>
      <w:r>
        <w:rPr>
          <w:vertAlign w:val="superscript"/>
        </w:rPr>
        <w:t xml:space="preserve">12</w:t>
      </w:r>
      <w:r>
        <w:t xml:space="preserve">. Third, and most transformative, generative AI can automate the analyst functions that previously made VTA inaccessible: AI agents can generate objectives from strategic documents, construct hierarchical value trees, detect behavioral biases, facilitate group alignment, and explain sensitivity results in natural language</w:t>
      </w:r>
      <w:r>
        <w:rPr>
          <w:vertAlign w:val="superscript"/>
        </w:rPr>
        <w:t xml:space="preserve">13</w:t>
      </w:r>
      <w:r>
        <w:t xml:space="preserve"> </w:t>
      </w:r>
      <w:r>
        <w:rPr>
          <w:vertAlign w:val="superscript"/>
        </w:rPr>
        <w:t xml:space="preserve">8</w:t>
      </w:r>
      <w:r>
        <w:t xml:space="preserve">.</w:t>
      </w:r>
    </w:p>
    <w:p>
      <w:pPr>
        <w:pStyle w:val="BodyText"/>
      </w:pPr>
      <w:r>
        <w:t xml:space="preserve">This convergence creates a unique product-market opportunity: a platform that packages the complete rigor of the 2002 VTA methodology with the accessibility and scale of modern SaaS, augmented by AI that inverts the workflow from analyst-dependent to self-service.</w:t>
      </w:r>
    </w:p>
    <w:bookmarkEnd w:id="32"/>
    <w:bookmarkEnd w:id="33"/>
    <w:bookmarkStart w:id="37" w:name="the-vta-to-saas-translation-framework"/>
    <w:p>
      <w:pPr>
        <w:pStyle w:val="Heading2"/>
      </w:pPr>
      <w:r>
        <w:t xml:space="preserve">1.3 The VTA-to-SaaS Translation Framework</w:t>
      </w:r>
    </w:p>
    <w:bookmarkStart w:id="34" w:name="Xd418e44879a40017257ef41fb843422b1e579ea"/>
    <w:p>
      <w:pPr>
        <w:pStyle w:val="Heading3"/>
      </w:pPr>
      <w:r>
        <w:t xml:space="preserve">1.3.1 Mapping the 2002 VTA Document Chapters to SaaS Capability Modules</w:t>
      </w:r>
    </w:p>
    <w:p>
      <w:pPr>
        <w:pStyle w:val="FirstParagraph"/>
      </w:pPr>
      <w:r>
        <w:t xml:space="preserve">The 2002 VTA document’s nine-chapter structure provides, in retrospect, a detailed product roadmap. Each chapter maps directly to a SaaS capability module that can be delivered as a cloud-native feature set. The following table presents this mapping explicitly, establishing the organizational framework for the remainder of this whitepaper.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2002 VTA Document Chapter</w:t>
            </w:r>
          </w:p>
        </w:tc>
        <w:tc>
          <w:tcPr/>
          <w:p>
            <w:pPr>
              <w:pStyle w:val="Compact"/>
              <w:jc w:val="left"/>
            </w:pPr>
            <w:r>
              <w:t xml:space="preserve">Core Methodology</w:t>
            </w:r>
          </w:p>
        </w:tc>
        <w:tc>
          <w:tcPr/>
          <w:p>
            <w:pPr>
              <w:pStyle w:val="Compact"/>
              <w:jc w:val="left"/>
            </w:pPr>
            <w:r>
              <w:t xml:space="preserve">SaaS Capability Module</w:t>
            </w:r>
          </w:p>
        </w:tc>
        <w:tc>
          <w:tcPr/>
          <w:p>
            <w:pPr>
              <w:pStyle w:val="Compact"/>
              <w:jc w:val="left"/>
            </w:pPr>
            <w:r>
              <w:t xml:space="preserve">Whitepaper Chapter</w:t>
            </w:r>
          </w:p>
        </w:tc>
      </w:tr>
      <w:tr>
        <w:tc>
          <w:tcPr/>
          <w:p>
            <w:pPr>
              <w:pStyle w:val="Compact"/>
              <w:jc w:val="left"/>
            </w:pPr>
            <w:r>
              <w:t xml:space="preserve">Ch 1: Introduction (Background, Uses, Parties, DA Process)</w:t>
            </w:r>
          </w:p>
        </w:tc>
        <w:tc>
          <w:tcPr/>
          <w:p>
            <w:pPr>
              <w:pStyle w:val="Compact"/>
              <w:jc w:val="left"/>
            </w:pPr>
            <w:r>
              <w:t xml:space="preserve">Decision analysis workflow; roles of DM, analyst, stakeholder</w:t>
            </w:r>
          </w:p>
        </w:tc>
        <w:tc>
          <w:tcPr/>
          <w:p>
            <w:pPr>
              <w:pStyle w:val="Compact"/>
              <w:jc w:val="left"/>
            </w:pPr>
            <w:r>
              <w:t xml:space="preserve">Decision Context Framing; Stakeholder Mapping &amp; RACI</w:t>
            </w:r>
          </w:p>
        </w:tc>
        <w:tc>
          <w:tcPr/>
          <w:p>
            <w:pPr>
              <w:pStyle w:val="Compact"/>
              <w:jc w:val="left"/>
            </w:pPr>
            <w:r>
              <w:t xml:space="preserve">§2 Digital Problem Structuring Workflow</w:t>
            </w:r>
          </w:p>
        </w:tc>
      </w:tr>
      <w:tr>
        <w:tc>
          <w:tcPr/>
          <w:p>
            <w:pPr>
              <w:pStyle w:val="Compact"/>
              <w:jc w:val="left"/>
            </w:pPr>
            <w:r>
              <w:t xml:space="preserve">Ch 2: Theoretical Foundations (Axioms, Decomposition, Preference Independence)</w:t>
            </w:r>
          </w:p>
        </w:tc>
        <w:tc>
          <w:tcPr/>
          <w:p>
            <w:pPr>
              <w:pStyle w:val="Compact"/>
              <w:jc w:val="left"/>
            </w:pPr>
            <w:r>
              <w:t xml:space="preserve">Additive/multiplicative value models; mutual preferential independence</w:t>
            </w:r>
          </w:p>
        </w:tc>
        <w:tc>
          <w:tcPr/>
          <w:p>
            <w:pPr>
              <w:pStyle w:val="Compact"/>
              <w:jc w:val="left"/>
            </w:pPr>
            <w:r>
              <w:t xml:space="preserve">Value Model Engine; Model Validation Suite</w:t>
            </w:r>
          </w:p>
        </w:tc>
        <w:tc>
          <w:tcPr/>
          <w:p>
            <w:pPr>
              <w:pStyle w:val="Compact"/>
              <w:jc w:val="left"/>
            </w:pPr>
            <w:r>
              <w:t xml:space="preserve">§2 Digital Problem Structuring Workflow</w:t>
            </w:r>
          </w:p>
        </w:tc>
      </w:tr>
      <w:tr>
        <w:tc>
          <w:tcPr/>
          <w:p>
            <w:pPr>
              <w:pStyle w:val="Compact"/>
              <w:jc w:val="left"/>
            </w:pPr>
            <w:r>
              <w:t xml:space="preserve">Ch 3: Problem Structuring (Context, Objectives, Alternatives, Hierarchy, Attributes)</w:t>
            </w:r>
          </w:p>
        </w:tc>
        <w:tc>
          <w:tcPr/>
          <w:p>
            <w:pPr>
              <w:pStyle w:val="Compact"/>
              <w:jc w:val="left"/>
            </w:pPr>
            <w:r>
              <w:t xml:space="preserve">Context definition; objective generation; top-down/bottom-up hierarchy construction</w:t>
            </w:r>
          </w:p>
        </w:tc>
        <w:tc>
          <w:tcPr/>
          <w:p>
            <w:pPr>
              <w:pStyle w:val="Compact"/>
              <w:jc w:val="left"/>
            </w:pPr>
            <w:r>
              <w:t xml:space="preserve">AI-Assisted Decision Canvas; Interactive Value Tree Builder; Attribute Specification Wizard</w:t>
            </w:r>
          </w:p>
        </w:tc>
        <w:tc>
          <w:tcPr/>
          <w:p>
            <w:pPr>
              <w:pStyle w:val="Compact"/>
              <w:jc w:val="left"/>
            </w:pPr>
            <w:r>
              <w:t xml:space="preserve">§2 Digital Problem Structuring Workflow</w:t>
            </w:r>
          </w:p>
        </w:tc>
      </w:tr>
      <w:tr>
        <w:tc>
          <w:tcPr/>
          <w:p>
            <w:pPr>
              <w:pStyle w:val="Compact"/>
              <w:jc w:val="left"/>
            </w:pPr>
            <w:r>
              <w:t xml:space="preserve">Ch 4: Preference Elicitation (Value Functions, Weights, Imprecise Statements, AHP)</w:t>
            </w:r>
          </w:p>
        </w:tc>
        <w:tc>
          <w:tcPr/>
          <w:p>
            <w:pPr>
              <w:pStyle w:val="Compact"/>
              <w:jc w:val="left"/>
            </w:pPr>
            <w:r>
              <w:t xml:space="preserve">Direct rating, SMART, SWING, PRIME, AHP methods</w:t>
            </w:r>
          </w:p>
        </w:tc>
        <w:tc>
          <w:tcPr/>
          <w:p>
            <w:pPr>
              <w:pStyle w:val="Compact"/>
              <w:jc w:val="left"/>
            </w:pPr>
            <w:r>
              <w:t xml:space="preserve">Interactive Elicitation UI; Method Selection Engine; Interval-Based Preference Capture</w:t>
            </w:r>
          </w:p>
        </w:tc>
        <w:tc>
          <w:tcPr/>
          <w:p>
            <w:pPr>
              <w:pStyle w:val="Compact"/>
              <w:jc w:val="left"/>
            </w:pPr>
            <w:r>
              <w:t xml:space="preserve">§3 Digital Value Function Elicitation; §4 Digital Weight Elicitation</w:t>
            </w:r>
          </w:p>
        </w:tc>
      </w:tr>
      <w:tr>
        <w:tc>
          <w:tcPr/>
          <w:p>
            <w:pPr>
              <w:pStyle w:val="Compact"/>
              <w:jc w:val="left"/>
            </w:pPr>
            <w:r>
              <w:t xml:space="preserve">Ch 5: Sensitivity Analysis (Dominance, One-Way Analysis)</w:t>
            </w:r>
          </w:p>
        </w:tc>
        <w:tc>
          <w:tcPr/>
          <w:p>
            <w:pPr>
              <w:pStyle w:val="Compact"/>
              <w:jc w:val="left"/>
            </w:pPr>
            <w:r>
              <w:t xml:space="preserve">Parameter sensitivity; dominance checking</w:t>
            </w:r>
          </w:p>
        </w:tc>
        <w:tc>
          <w:tcPr/>
          <w:p>
            <w:pPr>
              <w:pStyle w:val="Compact"/>
              <w:jc w:val="left"/>
            </w:pPr>
            <w:r>
              <w:t xml:space="preserve">Real-Time Sensitivity Dashboard; Tornado Diagrams; What-If Scenario Explorer</w:t>
            </w:r>
          </w:p>
        </w:tc>
        <w:tc>
          <w:tcPr/>
          <w:p>
            <w:pPr>
              <w:pStyle w:val="Compact"/>
              <w:jc w:val="left"/>
            </w:pPr>
            <w:r>
              <w:t xml:space="preserve">§5 Real-Time Sensitivity Analysis</w:t>
            </w:r>
          </w:p>
        </w:tc>
      </w:tr>
      <w:tr>
        <w:tc>
          <w:tcPr/>
          <w:p>
            <w:pPr>
              <w:pStyle w:val="Compact"/>
              <w:jc w:val="left"/>
            </w:pPr>
            <w:r>
              <w:t xml:space="preserve">Ch 6: Behavioural Issues (Splitting Bias, Range Effect, Hierarchy Effect, Reference Point)</w:t>
            </w:r>
          </w:p>
        </w:tc>
        <w:tc>
          <w:tcPr/>
          <w:p>
            <w:pPr>
              <w:pStyle w:val="Compact"/>
              <w:jc w:val="left"/>
            </w:pPr>
            <w:r>
              <w:t xml:space="preserve">Cognitive bias detection; consistency checking</w:t>
            </w:r>
          </w:p>
        </w:tc>
        <w:tc>
          <w:tcPr/>
          <w:p>
            <w:pPr>
              <w:pStyle w:val="Compact"/>
              <w:jc w:val="left"/>
            </w:pPr>
            <w:r>
              <w:t xml:space="preserve">AI Bias Detection Engine; Consistency Alerts; Debiasing Recommendations</w:t>
            </w:r>
          </w:p>
        </w:tc>
        <w:tc>
          <w:tcPr/>
          <w:p>
            <w:pPr>
              <w:pStyle w:val="Compact"/>
              <w:jc w:val="left"/>
            </w:pPr>
            <w:r>
              <w:t xml:space="preserve">§6 AI-Powered Bias Detection &amp; Decision Coaching</w:t>
            </w:r>
          </w:p>
        </w:tc>
      </w:tr>
      <w:tr>
        <w:tc>
          <w:tcPr/>
          <w:p>
            <w:pPr>
              <w:pStyle w:val="Compact"/>
              <w:jc w:val="left"/>
            </w:pPr>
            <w:r>
              <w:t xml:space="preserve">Ch 7: Communicating the Results</w:t>
            </w:r>
          </w:p>
        </w:tc>
        <w:tc>
          <w:tcPr/>
          <w:p>
            <w:pPr>
              <w:pStyle w:val="Compact"/>
              <w:jc w:val="left"/>
            </w:pPr>
            <w:r>
              <w:t xml:space="preserve">Result presentation; recommendation justification</w:t>
            </w:r>
          </w:p>
        </w:tc>
        <w:tc>
          <w:tcPr/>
          <w:p>
            <w:pPr>
              <w:pStyle w:val="Compact"/>
              <w:jc w:val="left"/>
            </w:pPr>
            <w:r>
              <w:t xml:space="preserve">Decision Dashboard; Auto-Generated Rationale Reports; Export &amp; Presentation Mode</w:t>
            </w:r>
          </w:p>
        </w:tc>
        <w:tc>
          <w:tcPr/>
          <w:p>
            <w:pPr>
              <w:pStyle w:val="Compact"/>
              <w:jc w:val="left"/>
            </w:pPr>
            <w:r>
              <w:t xml:space="preserve">§7 Decision Dashboards &amp; Reporting</w:t>
            </w:r>
          </w:p>
        </w:tc>
      </w:tr>
      <w:tr>
        <w:tc>
          <w:tcPr/>
          <w:p>
            <w:pPr>
              <w:pStyle w:val="Compact"/>
              <w:jc w:val="left"/>
            </w:pPr>
            <w:r>
              <w:t xml:space="preserve">Ch 8: Group Decision-Making</w:t>
            </w:r>
          </w:p>
        </w:tc>
        <w:tc>
          <w:tcPr/>
          <w:p>
            <w:pPr>
              <w:pStyle w:val="Compact"/>
              <w:jc w:val="left"/>
            </w:pPr>
            <w:r>
              <w:t xml:space="preserve">Weighted aggregation; imprecise group preferences; conflict resolution</w:t>
            </w:r>
          </w:p>
        </w:tc>
        <w:tc>
          <w:tcPr/>
          <w:p>
            <w:pPr>
              <w:pStyle w:val="Compact"/>
              <w:jc w:val="left"/>
            </w:pPr>
            <w:r>
              <w:t xml:space="preserve">Multi-Stakeholder Collaboration; Anonymous Voting; Preference Aggregation Engine</w:t>
            </w:r>
          </w:p>
        </w:tc>
        <w:tc>
          <w:tcPr/>
          <w:p>
            <w:pPr>
              <w:pStyle w:val="Compact"/>
              <w:jc w:val="left"/>
            </w:pPr>
            <w:r>
              <w:t xml:space="preserve">§8 Collaborative &amp; Group Decision-Making</w:t>
            </w:r>
          </w:p>
        </w:tc>
      </w:tr>
      <w:tr>
        <w:tc>
          <w:tcPr/>
          <w:p>
            <w:pPr>
              <w:pStyle w:val="Compact"/>
              <w:jc w:val="left"/>
            </w:pPr>
            <w:r>
              <w:t xml:space="preserve">Ch 9: Software</w:t>
            </w:r>
          </w:p>
        </w:tc>
        <w:tc>
          <w:tcPr/>
          <w:p>
            <w:pPr>
              <w:pStyle w:val="Compact"/>
              <w:jc w:val="left"/>
            </w:pPr>
            <w:r>
              <w:t xml:space="preserve">Desktop tool comparison (Web-HIPRE, PRIME Decisions, Hiview)</w:t>
            </w:r>
          </w:p>
        </w:tc>
        <w:tc>
          <w:tcPr/>
          <w:p>
            <w:pPr>
              <w:pStyle w:val="Compact"/>
              <w:jc w:val="left"/>
            </w:pPr>
            <w:r>
              <w:t xml:space="preserve">Cloud-Native Platform Architecture; API Ecosystem; Enterprise Integrations</w:t>
            </w:r>
          </w:p>
        </w:tc>
        <w:tc>
          <w:tcPr/>
          <w:p>
            <w:pPr>
              <w:pStyle w:val="Compact"/>
              <w:jc w:val="left"/>
            </w:pPr>
            <w:r>
              <w:t xml:space="preserve">§9 Platform Architecture &amp; Integration Strategy</w:t>
            </w:r>
          </w:p>
        </w:tc>
      </w:tr>
    </w:tbl>
    <w:p>
      <w:pPr>
        <w:pStyle w:val="BodyText"/>
      </w:pPr>
      <w:r>
        <w:rPr>
          <w:iCs/>
          <w:i/>
        </w:rPr>
        <w:t xml:space="preserve">Table 1.1: Mapping of the 2002 VTA document chapters to corresponding SaaS capability modules and whitepaper chapter coverage.</w:t>
      </w:r>
    </w:p>
    <w:p>
      <w:pPr>
        <w:pStyle w:val="BodyText"/>
      </w:pPr>
      <w:r>
        <w:t xml:space="preserve">This mapping reveals a key insight: the academic VTA document is not merely theoretical background but a detailed product specification written twenty years ahead of its technical implementation window</w:t>
      </w:r>
      <w:r>
        <w:rPr>
          <w:vertAlign w:val="superscript"/>
        </w:rPr>
        <w:t xml:space="preserve">8</w:t>
      </w:r>
      <w:r>
        <w:t xml:space="preserve">. The methods described—SMART, SWING, AHP, PRIME—are the feature set. The behavioral issues are the UX constraints. The software survey is the competitive analysis. Product development can follow the document’s structure as a phased roadmap, translating each methodological chapter into a software capability module.</w:t>
      </w:r>
    </w:p>
    <w:bookmarkEnd w:id="34"/>
    <w:bookmarkStart w:id="35" w:name="X1dd9844bff2a66cc8347237cdd114fc2b163716"/>
    <w:p>
      <w:pPr>
        <w:pStyle w:val="Heading3"/>
      </w:pPr>
      <w:r>
        <w:t xml:space="preserve">1.3.2 The</w:t>
      </w:r>
      <w:r>
        <w:t xml:space="preserve"> </w:t>
      </w:r>
      <w:r>
        <w:t xml:space="preserve">“</w:t>
      </w:r>
      <w:r>
        <w:t xml:space="preserve">Decision Stack</w:t>
      </w:r>
      <w:r>
        <w:t xml:space="preserve">”</w:t>
      </w:r>
      <w:r>
        <w:t xml:space="preserve"> </w:t>
      </w:r>
      <w:r>
        <w:t xml:space="preserve">Architecture: Context → Hierarchy → Elicitation → Analysis → Collaboration</w:t>
      </w:r>
    </w:p>
    <w:p>
      <w:pPr>
        <w:pStyle w:val="FirstParagraph"/>
      </w:pPr>
      <w:r>
        <w:t xml:space="preserve">The translation from VTA methodology to SaaS architecture suggests a five-layer</w:t>
      </w:r>
      <w:r>
        <w:t xml:space="preserve"> </w:t>
      </w:r>
      <w:r>
        <w:t xml:space="preserve">“</w:t>
      </w:r>
      <w:r>
        <w:t xml:space="preserve">Decision Stack</w:t>
      </w:r>
      <w:r>
        <w:t xml:space="preserve">”</w:t>
      </w:r>
      <w:r>
        <w:t xml:space="preserve"> </w:t>
      </w:r>
      <w:r>
        <w:t xml:space="preserve">that organizes the platform’s capabilities into a coherent whole. This stack is analogous to the data stack that emerged from combining separate ETL, warehouse, and BI tools—but applied to the decision-making domain</w:t>
      </w:r>
      <w:r>
        <w:rPr>
          <w:vertAlign w:val="superscript"/>
        </w:rPr>
        <w:t xml:space="preserve">8</w:t>
      </w:r>
      <w:r>
        <w:t xml:space="preserve">.</w:t>
      </w:r>
    </w:p>
    <w:p>
      <w:pPr>
        <w:pStyle w:val="BodyText"/>
      </w:pPr>
      <w:r>
        <w:t xml:space="preserve">The</w:t>
      </w:r>
      <w:r>
        <w:t xml:space="preserve"> </w:t>
      </w:r>
      <w:r>
        <w:rPr>
          <w:bCs/>
          <w:b/>
        </w:rPr>
        <w:t xml:space="preserve">Context Layer</w:t>
      </w:r>
      <w:r>
        <w:t xml:space="preserve"> </w:t>
      </w:r>
      <w:r>
        <w:t xml:space="preserve">translates VTA’s decision context definition (</w:t>
      </w:r>
      <w:r>
        <w:t xml:space="preserve">“</w:t>
      </w:r>
      <w:r>
        <w:t xml:space="preserve">the setting in which the decision occurs, framed by the administrative, political and social structures</w:t>
      </w:r>
      <w:r>
        <w:t xml:space="preserve">”</w:t>
      </w:r>
      <w:r>
        <w:t xml:space="preserve">) into digital decision framing canvases, stakeholder mapping with power-interest matrices, and RACI/RAPID decision-rights frameworks</w:t>
      </w:r>
      <w:r>
        <w:rPr>
          <w:vertAlign w:val="superscript"/>
        </w:rPr>
        <w:t xml:space="preserve">3</w:t>
      </w:r>
      <w:r>
        <w:t xml:space="preserve"> </w:t>
      </w:r>
      <w:r>
        <w:rPr>
          <w:vertAlign w:val="superscript"/>
        </w:rPr>
        <w:t xml:space="preserve">21</w:t>
      </w:r>
      <w:r>
        <w:t xml:space="preserve">. The</w:t>
      </w:r>
      <w:r>
        <w:t xml:space="preserve"> </w:t>
      </w:r>
      <w:r>
        <w:rPr>
          <w:bCs/>
          <w:b/>
        </w:rPr>
        <w:t xml:space="preserve">Hierarchy Layer</w:t>
      </w:r>
      <w:r>
        <w:t xml:space="preserve"> </w:t>
      </w:r>
      <w:r>
        <w:t xml:space="preserve">transforms problem structuring into an interactive, collaborative value tree builder where AI assists in objective generation and hierarchy construction</w:t>
      </w:r>
      <w:r>
        <w:rPr>
          <w:vertAlign w:val="superscript"/>
        </w:rPr>
        <w:t xml:space="preserve">22</w:t>
      </w:r>
      <w:r>
        <w:t xml:space="preserve"> </w:t>
      </w:r>
      <w:r>
        <w:rPr>
          <w:vertAlign w:val="superscript"/>
        </w:rPr>
        <w:t xml:space="preserve">23</w:t>
      </w:r>
      <w:r>
        <w:t xml:space="preserve">. The</w:t>
      </w:r>
      <w:r>
        <w:t xml:space="preserve"> </w:t>
      </w:r>
      <w:r>
        <w:rPr>
          <w:bCs/>
          <w:b/>
        </w:rPr>
        <w:t xml:space="preserve">Elicitation Layer</w:t>
      </w:r>
      <w:r>
        <w:t xml:space="preserve"> </w:t>
      </w:r>
      <w:r>
        <w:t xml:space="preserve">digitizes the full suite of preference elicitation methods—direct rating, category estimation, SMART, SWING, and PRIME interval-based statements—through guided interactive UIs</w:t>
      </w:r>
      <w:r>
        <w:rPr>
          <w:vertAlign w:val="superscript"/>
        </w:rPr>
        <w:t xml:space="preserve">20</w:t>
      </w:r>
      <w:r>
        <w:t xml:space="preserve">. The</w:t>
      </w:r>
      <w:r>
        <w:t xml:space="preserve"> </w:t>
      </w:r>
      <w:r>
        <w:rPr>
          <w:bCs/>
          <w:b/>
        </w:rPr>
        <w:t xml:space="preserve">Analysis Layer</w:t>
      </w:r>
      <w:r>
        <w:t xml:space="preserve"> </w:t>
      </w:r>
      <w:r>
        <w:t xml:space="preserve">provides real-time sensitivity analysis with reactive parameter binding, dominance checking, and what-if scenario exploration. The</w:t>
      </w:r>
      <w:r>
        <w:t xml:space="preserve"> </w:t>
      </w:r>
      <w:r>
        <w:rPr>
          <w:bCs/>
          <w:b/>
        </w:rPr>
        <w:t xml:space="preserve">Collaboration Layer</w:t>
      </w:r>
      <w:r>
        <w:t xml:space="preserve"> </w:t>
      </w:r>
      <w:r>
        <w:t xml:space="preserve">enables multi-stakeholder participation through real-time collaborative editing, anonymous preference voting, weighted aggregation, and decision rationale documentation</w:t>
      </w:r>
      <w:r>
        <w:rPr>
          <w:vertAlign w:val="superscript"/>
        </w:rPr>
        <w:t xml:space="preserve">14</w:t>
      </w:r>
      <w:r>
        <w:t xml:space="preserve"> </w:t>
      </w:r>
      <w:r>
        <w:rPr>
          <w:vertAlign w:val="superscript"/>
        </w:rPr>
        <w:t xml:space="preserve">15</w:t>
      </w:r>
      <w:r>
        <w:t xml:space="preserve">.</w:t>
      </w:r>
    </w:p>
    <w:p>
      <w:pPr>
        <w:pStyle w:val="BodyText"/>
      </w:pPr>
      <w:r>
        <w:t xml:space="preserve">A VTA SaaS platform that integrates all five layers occupies a unique position as the vertical integrator of this Decision Stack. Current point solutions address individual layers—Miro provides context canvases, BI tools provide analysis, voting tools provide collaboration—but none integrates the full stack, creating precisely the integration fatigue that the unified data stack was built to solve.</w:t>
      </w:r>
    </w:p>
    <w:bookmarkEnd w:id="35"/>
    <w:bookmarkStart w:id="36" w:name="X1d8c5de18dbb7625b09d5e1fd149a37e4449ce8"/>
    <w:p>
      <w:pPr>
        <w:pStyle w:val="Heading3"/>
      </w:pPr>
      <w:r>
        <w:t xml:space="preserve">1.3.3 How AI Inverts the Workflow from Analyst-Driven to Self-Service</w:t>
      </w:r>
    </w:p>
    <w:p>
      <w:pPr>
        <w:pStyle w:val="FirstParagraph"/>
      </w:pPr>
      <w:r>
        <w:t xml:space="preserve">The most profound transformation in translating VTA to SaaS is the inversion of the workflow from analyst-driven to self-service. In the original 2002 model, the trained decision analyst served as the</w:t>
      </w:r>
      <w:r>
        <w:t xml:space="preserve"> </w:t>
      </w:r>
      <w:r>
        <w:t xml:space="preserve">“</w:t>
      </w:r>
      <w:r>
        <w:t xml:space="preserve">operating system</w:t>
      </w:r>
      <w:r>
        <w:t xml:space="preserve">”</w:t>
      </w:r>
      <w:r>
        <w:t xml:space="preserve"> </w:t>
      </w:r>
      <w:r>
        <w:t xml:space="preserve">of the process—prompting the decision-maker with structured questions, validating consistency, detecting biases, managing group dynamics, and communicating results</w:t>
      </w:r>
      <w:r>
        <w:rPr>
          <w:vertAlign w:val="superscript"/>
        </w:rPr>
        <w:t xml:space="preserve">3</w:t>
      </w:r>
      <w:r>
        <w:t xml:space="preserve">. Every step required analyst involvement; without it, the methodology could not be executed.</w:t>
      </w:r>
    </w:p>
    <w:p>
      <w:pPr>
        <w:pStyle w:val="BodyText"/>
      </w:pPr>
      <w:r>
        <w:t xml:space="preserve">AI agents now fulfill each of these analyst functions autonomously. Generative AI can extract objectives from strategic documents and construct draft value hierarchies</w:t>
      </w:r>
      <w:r>
        <w:rPr>
          <w:vertAlign w:val="superscript"/>
        </w:rPr>
        <w:t xml:space="preserve">13</w:t>
      </w:r>
      <w:r>
        <w:t xml:space="preserve">. Interactive UIs guide users through preference elicitation with built-in consistency checking. Machine learning models detect splitting bias, range effects, and reference point anomalies in real time. Natural language generation explains sensitivity results and decision recommendations in accessible prose. Collaboration AI facilitates multi-stakeholder alignment by identifying areas of agreement and surfacing genuine disagreements for focused discussion</w:t>
      </w:r>
      <w:r>
        <w:rPr>
          <w:vertAlign w:val="superscript"/>
        </w:rPr>
        <w:t xml:space="preserve">8</w:t>
      </w:r>
      <w:r>
        <w:t xml:space="preserve">.</w:t>
      </w:r>
    </w:p>
    <w:p>
      <w:pPr>
        <w:pStyle w:val="BodyText"/>
      </w:pPr>
      <w:r>
        <w:t xml:space="preserve">This is not an incremental usability improvement—it is a paradigm shift. The Total Addressable Market (TAM) expands from organizations that can afford trained decision analysts to any team with a SaaS subscription. Decision cycles compress from weeks to hours because the methodology is always available, not scheduled through consultant engagement. Most importantly, decision quality improves not by replacing human judgment but by making rigorous structured methodology the default rather than the exception. As this whitepaper will demonstrate, every chapter of the 2002 VTA document finds its digital expression in a modern SaaS architecture—and the result is a platform that makes rigorous decision analysis as accessible as spreadsheet modeling.</w:t>
      </w:r>
    </w:p>
    <w:p>
      <w:r>
        <w:pict>
          <v:rect style="width:0;height:1.5pt" o:hralign="center" o:hrstd="t" o:hr="t"/>
        </w:pict>
      </w:r>
    </w:p>
    <w:bookmarkEnd w:id="36"/>
    <w:bookmarkEnd w:id="37"/>
    <w:bookmarkStart w:id="52" w:name="digital-problem-structuring-workflow"/>
    <w:p>
      <w:pPr>
        <w:pStyle w:val="Heading2"/>
      </w:pPr>
      <w:r>
        <w:t xml:space="preserve">2. Digital Problem Structuring Workflow</w:t>
      </w:r>
    </w:p>
    <w:p>
      <w:pPr>
        <w:pStyle w:val="FirstParagraph"/>
      </w:pPr>
      <w:r>
        <w:t xml:space="preserve">The transition from manual Value Tree Analysis to a digital SaaS workflow begins at the problem structuring phase—the foundational layer upon which all subsequent analysis depends. In the original VTA methodology, this phase required a trained decision analyst to facilitate stakeholder workshops, manually transcribe objectives onto whiteboards, and iteratively refine hierarchical structures over days or weeks. The digitization of this workflow represents more than a convenience upgrade; it fundamentally inverts the expertise requirement, enabling self-service decision structuring by teams without dedicated decision analysts</w:t>
      </w:r>
      <w:r>
        <w:t xml:space="preserve"> </w:t>
      </w:r>
      <w:r>
        <w:rPr>
          <w:vertAlign w:val="superscript"/>
        </w:rPr>
        <w:t xml:space="preserve">24</w:t>
      </w:r>
      <w:r>
        <w:t xml:space="preserve">.</w:t>
      </w:r>
    </w:p>
    <w:p>
      <w:pPr>
        <w:pStyle w:val="BodyText"/>
      </w:pPr>
      <w:r>
        <w:t xml:space="preserve">This chapter examines how the manual problem structuring process—encompassing decision context framing, objective generation, and hierarchy construction—translates into a digital workflow, mapping each step of the classical VTA process to contemporary SaaS capabilities.</w:t>
      </w:r>
    </w:p>
    <w:bookmarkStart w:id="42" w:name="digital-decision-context-framing"/>
    <w:p>
      <w:pPr>
        <w:pStyle w:val="Heading3"/>
      </w:pPr>
      <w:r>
        <w:t xml:space="preserve">2.1 Digital Decision Context Framing</w:t>
      </w:r>
    </w:p>
    <w:bookmarkStart w:id="38" w:name="X2ecf6ce438091d976271fcaa959e5eae49e7be9"/>
    <w:p>
      <w:pPr>
        <w:pStyle w:val="Heading4"/>
      </w:pPr>
      <w:r>
        <w:t xml:space="preserve">2.1.1 From Manual Stakeholder Workshops to Guided Digital Decision Canvases</w:t>
      </w:r>
    </w:p>
    <w:p>
      <w:pPr>
        <w:pStyle w:val="FirstParagraph"/>
      </w:pPr>
      <w:r>
        <w:t xml:space="preserve">The classical VTA process begins with the definition of the decision context—what the 2002 source document defines as</w:t>
      </w:r>
      <w:r>
        <w:t xml:space="preserve"> </w:t>
      </w:r>
      <w:r>
        <w:t xml:space="preserve">“</w:t>
      </w:r>
      <w:r>
        <w:t xml:space="preserve">the setting in which the decision occurs, framed by the administrative, political and social structures that surround the decision under consideration</w:t>
      </w:r>
      <w:r>
        <w:t xml:space="preserve">”</w:t>
      </w:r>
      <w:r>
        <w:t xml:space="preserve"> </w:t>
      </w:r>
      <w:r>
        <w:rPr>
          <w:vertAlign w:val="superscript"/>
        </w:rPr>
        <w:t xml:space="preserve">24</w:t>
      </w:r>
      <w:r>
        <w:t xml:space="preserve">. In practice, this required physical workshops where stakeholders assembled around whiteboards or flip charts, a facilitator captured emerging themes, and participants debated the scope and boundaries of the decision problem.</w:t>
      </w:r>
    </w:p>
    <w:p>
      <w:pPr>
        <w:pStyle w:val="BodyText"/>
      </w:pPr>
      <w:r>
        <w:t xml:space="preserve">Modern digital canvases transform this experience. Platforms such as Miro provide structured problem framing templates with five core elements: User Persona, Current State versus Desired State, Evidence Gallery, Impact Metrics, and a Final Problem Statement</w:t>
      </w:r>
      <w:r>
        <w:t xml:space="preserve"> </w:t>
      </w:r>
      <w:r>
        <w:rPr>
          <w:vertAlign w:val="superscript"/>
        </w:rPr>
        <w:t xml:space="preserve">25</w:t>
      </w:r>
      <w:r>
        <w:t xml:space="preserve">. These digital canvases enforce a structured progression that the manual process left to facilitator judgment. Miro’s AI Problem Framing Canvas extends this concept further by requiring participants to describe</w:t>
      </w:r>
      <w:r>
        <w:t xml:space="preserve"> </w:t>
      </w:r>
      <w:r>
        <w:t xml:space="preserve">“</w:t>
      </w:r>
      <w:r>
        <w:t xml:space="preserve">Current Reality</w:t>
      </w:r>
      <w:r>
        <w:t xml:space="preserve">”</w:t>
      </w:r>
      <w:r>
        <w:t xml:space="preserve"> </w:t>
      </w:r>
      <w:r>
        <w:t xml:space="preserve">and</w:t>
      </w:r>
      <w:r>
        <w:t xml:space="preserve"> </w:t>
      </w:r>
      <w:r>
        <w:t xml:space="preserve">“</w:t>
      </w:r>
      <w:r>
        <w:t xml:space="preserve">Business Goal</w:t>
      </w:r>
      <w:r>
        <w:t xml:space="preserve">”</w:t>
      </w:r>
      <w:r>
        <w:t xml:space="preserve"> </w:t>
      </w:r>
      <w:r>
        <w:t xml:space="preserve">before jumping to solutions, capturing input across four zones—THE WHAT, THE WHY, THE WHO, and THE HOW—enabling subsequent comparison of multiple problem formulations</w:t>
      </w:r>
      <w:r>
        <w:t xml:space="preserve"> </w:t>
      </w:r>
      <w:r>
        <w:rPr>
          <w:vertAlign w:val="superscript"/>
        </w:rPr>
        <w:t xml:space="preserve">26</w:t>
      </w:r>
      <w:r>
        <w:t xml:space="preserve">. This structure directly addresses a common failure mode in manual workshops where participants arrive with preconceived solutions and insufficient shared context.</w:t>
      </w:r>
    </w:p>
    <w:bookmarkEnd w:id="38"/>
    <w:bookmarkStart w:id="39" w:name="Xbce6fa1e49bb3377ae5f44600b117659e648176"/>
    <w:p>
      <w:pPr>
        <w:pStyle w:val="Heading4"/>
      </w:pPr>
      <w:r>
        <w:t xml:space="preserve">2.1.2 AI-Assisted Problem Definition: Natural Language Input to Structured Decision Context</w:t>
      </w:r>
    </w:p>
    <w:p>
      <w:pPr>
        <w:pStyle w:val="FirstParagraph"/>
      </w:pPr>
      <w:r>
        <w:t xml:space="preserve">The most significant departure from manual practice occurs at the boundary between unstructured human expression and structured decision models. In classical VTA, the decision analyst served as a human parser—listening to stakeholders’ verbal descriptions, identifying implicit objectives, and translating informal concerns into structured decision elements. This translation function is now being automated through large language models.</w:t>
      </w:r>
    </w:p>
    <w:p>
      <w:pPr>
        <w:pStyle w:val="BodyText"/>
      </w:pPr>
      <w:r>
        <w:t xml:space="preserve">Cloverpop’s Decision Intelligence Platform exemplifies this transition through three integrated AI strategies: Generative AI captures decision logic into structured frameworks, Synthesis AI automates analysis and recommendations, and Learn AI optimizes from past decisions</w:t>
      </w:r>
      <w:r>
        <w:t xml:space="preserve"> </w:t>
      </w:r>
      <w:r>
        <w:rPr>
          <w:vertAlign w:val="superscript"/>
        </w:rPr>
        <w:t xml:space="preserve">13</w:t>
      </w:r>
      <w:r>
        <w:t xml:space="preserve">. The platform’s</w:t>
      </w:r>
      <w:r>
        <w:t xml:space="preserve"> </w:t>
      </w:r>
      <w:r>
        <w:t xml:space="preserve">“</w:t>
      </w:r>
      <w:r>
        <w:t xml:space="preserve">decision-mining</w:t>
      </w:r>
      <w:r>
        <w:t xml:space="preserve">”</w:t>
      </w:r>
      <w:r>
        <w:t xml:space="preserve"> </w:t>
      </w:r>
      <w:r>
        <w:t xml:space="preserve">capability creates structured decision trees from meeting transcripts and unstructured data—transforming recordings directly into structured decision contexts without manual transcription.</w:t>
      </w:r>
    </w:p>
    <w:p>
      <w:pPr>
        <w:pStyle w:val="BodyText"/>
      </w:pPr>
      <w:r>
        <w:t xml:space="preserve">This capability extends beyond specialized platforms. Asana’s 5 Whys analysis template demonstrates how structured root cause analysis has been productized, breaking the process into five tasks with assigned owners and custom fields for Root Cause, Impact Level, and Responsible Party</w:t>
      </w:r>
      <w:r>
        <w:t xml:space="preserve"> </w:t>
      </w:r>
      <w:r>
        <w:rPr>
          <w:vertAlign w:val="superscript"/>
        </w:rPr>
        <w:t xml:space="preserve">27</w:t>
      </w:r>
      <w:r>
        <w:t xml:space="preserve">. When decision context can be generated from conversation, the barrier to entry for structured decision-making collapses: a team member describes a problem in plain language, and the platform generates a preliminary decision framework before the meeting concludes.</w:t>
      </w:r>
    </w:p>
    <w:bookmarkEnd w:id="39"/>
    <w:bookmarkStart w:id="40" w:name="X26883f654ecf93c1907585cb44055333e7b0c88"/>
    <w:p>
      <w:pPr>
        <w:pStyle w:val="Heading4"/>
      </w:pPr>
      <w:r>
        <w:t xml:space="preserve">2.1.3 Digital Stakeholder Mapping with Automated RACI Generation</w:t>
      </w:r>
    </w:p>
    <w:p>
      <w:pPr>
        <w:pStyle w:val="FirstParagraph"/>
      </w:pPr>
      <w:r>
        <w:t xml:space="preserve">Classical VTA recognized three parties: the decision-maker, the decision analyst, and stakeholders</w:t>
      </w:r>
      <w:r>
        <w:t xml:space="preserve"> </w:t>
      </w:r>
      <w:r>
        <w:rPr>
          <w:vertAlign w:val="superscript"/>
        </w:rPr>
        <w:t xml:space="preserve">24</w:t>
      </w:r>
      <w:r>
        <w:t xml:space="preserve">. Identifying and mapping these parties was a manual exercise, often producing static documents that aged rapidly. Modern platforms have transformed stakeholder mapping from a one-time exercise into a living system.</w:t>
      </w:r>
    </w:p>
    <w:p>
      <w:pPr>
        <w:pStyle w:val="BodyText"/>
      </w:pPr>
      <w:r>
        <w:t xml:space="preserve">Simply Stakeholders provides cloud-based AI-powered sentiment analysis that automatically identifies the tone and trajectory of stakeholder conversations, relationship network mapping, and automatic issue detection for emerging risks</w:t>
      </w:r>
      <w:r>
        <w:t xml:space="preserve"> </w:t>
      </w:r>
      <w:r>
        <w:rPr>
          <w:vertAlign w:val="superscript"/>
        </w:rPr>
        <w:t xml:space="preserve">28</w:t>
      </w:r>
      <w:r>
        <w:t xml:space="preserve">. Decision rights frameworks have similarly digitized: Cloverpop integrates RAPID (Recommend, Agree, Perform, Input, Decide), RACI, DARE, and PACE frameworks into a unified platform</w:t>
      </w:r>
      <w:r>
        <w:t xml:space="preserve"> </w:t>
      </w:r>
      <w:r>
        <w:rPr>
          <w:vertAlign w:val="superscript"/>
        </w:rPr>
        <w:t xml:space="preserve">21</w:t>
      </w:r>
      <w:r>
        <w:t xml:space="preserve">. This addresses a gap the 2002 document acknowledged but did not resolve—the observation that</w:t>
      </w:r>
      <w:r>
        <w:t xml:space="preserve"> </w:t>
      </w:r>
      <w:r>
        <w:t xml:space="preserve">“</w:t>
      </w:r>
      <w:r>
        <w:t xml:space="preserve">it might take a considerable effort to identify all the stakeholder groups</w:t>
      </w:r>
      <w:r>
        <w:t xml:space="preserve">”</w:t>
      </w:r>
      <w:r>
        <w:t xml:space="preserve"> </w:t>
      </w:r>
      <w:r>
        <w:rPr>
          <w:vertAlign w:val="superscript"/>
        </w:rPr>
        <w:t xml:space="preserve">24</w:t>
      </w:r>
      <w:r>
        <w:t xml:space="preserve">. Automated stakeholder detection from meeting transcripts, email threads, and organizational data reduces this effort from days to minutes.</w:t>
      </w:r>
    </w:p>
    <w:bookmarkEnd w:id="40"/>
    <w:bookmarkStart w:id="41" w:name="X5094813b5bd650dd151419535bb4287107e8454"/>
    <w:p>
      <w:pPr>
        <w:pStyle w:val="Heading4"/>
      </w:pPr>
      <w:r>
        <w:t xml:space="preserve">2.1.4 Decision Playbook Templates: Budget Allocation, Vendor Selection, R&amp;D Prioritization, Hiring</w:t>
      </w:r>
    </w:p>
    <w:p>
      <w:pPr>
        <w:pStyle w:val="FirstParagraph"/>
      </w:pPr>
      <w:r>
        <w:t xml:space="preserve">The 2002 source document identified budget allocation, vendor evaluation, R&amp;D program selection, and hiring as primary application areas for value tree analysis</w:t>
      </w:r>
      <w:r>
        <w:t xml:space="preserve"> </w:t>
      </w:r>
      <w:r>
        <w:rPr>
          <w:vertAlign w:val="superscript"/>
        </w:rPr>
        <w:t xml:space="preserve">24</w:t>
      </w:r>
      <w:r>
        <w:t xml:space="preserve">. In the manual paradigm, each new decision required rebuilding the analytical framework from first principles. Decision playbooks reverse this inefficiency by providing pre-structured value trees calibrated for specific decision contexts.</w:t>
      </w:r>
    </w:p>
    <w:p>
      <w:pPr>
        <w:pStyle w:val="BodyText"/>
      </w:pPr>
      <w:r>
        <w:t xml:space="preserve">Cloverpop’s Decision Playbooks and Decision Flows guide teams through decision logic, connect to data sources, and establish clear decision rights—accelerating time-to-decision from a reported average of 28 days to 7 days</w:t>
      </w:r>
      <w:r>
        <w:t xml:space="preserve"> </w:t>
      </w:r>
      <w:r>
        <w:rPr>
          <w:vertAlign w:val="superscript"/>
        </w:rPr>
        <w:t xml:space="preserve">29</w:t>
      </w:r>
      <w:r>
        <w:t xml:space="preserve">. Pyramid Analytics provides a complementary approach through its Decision Intelligence Platform, combining data preparation, business analytics, and data science with Generative BI for natural language queries</w:t>
      </w:r>
      <w:r>
        <w:t xml:space="preserve"> </w:t>
      </w:r>
      <w:r>
        <w:rPr>
          <w:vertAlign w:val="superscript"/>
        </w:rPr>
        <w:t xml:space="preserve">30</w:t>
      </w:r>
      <w:r>
        <w:t xml:space="preserve">. Gartner’s 2024 Market Guide formalized this pattern, noting that</w:t>
      </w:r>
      <w:r>
        <w:t xml:space="preserve"> </w:t>
      </w:r>
      <w:r>
        <w:t xml:space="preserve">“</w:t>
      </w:r>
      <w:r>
        <w:t xml:space="preserve">DIPs that are applied successfully tend to be those that provide templates and blueprints to support particular types of decisions</w:t>
      </w:r>
      <w:r>
        <w:t xml:space="preserve">”</w:t>
      </w:r>
      <w:r>
        <w:t xml:space="preserve"> </w:t>
      </w:r>
      <w:r>
        <w:rPr>
          <w:vertAlign w:val="superscript"/>
        </w:rPr>
        <w:t xml:space="preserve">7</w:t>
      </w:r>
      <w:r>
        <w:t xml:space="preserve">. Decision playbook templates serve novices and experts simultaneously: they eliminate repetitive setup for experienced practitioners while embedding methodological best practices for those new to structured decision analysis.</w:t>
      </w:r>
    </w:p>
    <w:bookmarkEnd w:id="41"/>
    <w:bookmarkEnd w:id="42"/>
    <w:bookmarkStart w:id="46" w:name="ai-assisted-objective-generation"/>
    <w:p>
      <w:pPr>
        <w:pStyle w:val="Heading3"/>
      </w:pPr>
      <w:r>
        <w:t xml:space="preserve">2.2 AI-Assisted Objective Generation</w:t>
      </w:r>
    </w:p>
    <w:bookmarkStart w:id="43" w:name="Xf81459d18b6874f02d907dbad66ee7e19ffd3fc"/>
    <w:p>
      <w:pPr>
        <w:pStyle w:val="Heading4"/>
      </w:pPr>
      <w:r>
        <w:t xml:space="preserve">2.2.1 From Wish Lists and Brainstorming to AI-Generated Objective Suggestions</w:t>
      </w:r>
    </w:p>
    <w:p>
      <w:pPr>
        <w:pStyle w:val="FirstParagraph"/>
      </w:pPr>
      <w:r>
        <w:t xml:space="preserve">The 2002 VTA document identifies seven distinct techniques for stimulating objective identification: wish lists, analysis of alternatives, problems and shortcomings, consequences, goals and constraints, different perspectives, and structural analysis</w:t>
      </w:r>
      <w:r>
        <w:t xml:space="preserve"> </w:t>
      </w:r>
      <w:r>
        <w:rPr>
          <w:vertAlign w:val="superscript"/>
        </w:rPr>
        <w:t xml:space="preserve">24</w:t>
      </w:r>
      <w:r>
        <w:t xml:space="preserve">. In the digital workflow, each technique maps to a specific AI capability.</w:t>
      </w:r>
    </w:p>
    <w:p>
      <w:pPr>
        <w:pStyle w:val="BodyText"/>
      </w:pPr>
      <w:r>
        <w:t xml:space="preserve">The wish list technique—asking stakeholders to list all possible objectives without prioritization—finds its digital analogue in natural language objective generation. Kroolo’s voice-to-goal generation enables users to verbally describe objectives, and AI generates the goal name, description, and hierarchical structure including sub-goals and key results</w:t>
      </w:r>
      <w:r>
        <w:t xml:space="preserve"> </w:t>
      </w:r>
      <w:r>
        <w:rPr>
          <w:vertAlign w:val="superscript"/>
        </w:rPr>
        <w:t xml:space="preserve">9</w:t>
      </w:r>
      <w:r>
        <w:t xml:space="preserve">. Profit.co deploys 14 specialized Athena AI agents including an OKR Authoring Agent that analyzes company strategy and industry benchmarks to suggest measurable objectives</w:t>
      </w:r>
      <w:r>
        <w:t xml:space="preserve"> </w:t>
      </w:r>
      <w:r>
        <w:rPr>
          <w:vertAlign w:val="superscript"/>
        </w:rPr>
        <w:t xml:space="preserve">22</w:t>
      </w:r>
      <w:r>
        <w:t xml:space="preserve">. Tability’s Tabby AI agent can import goals from spreadsheets, images, screenshots, or Google Docs—using AI recognition to extract and format strategic content into structured OKRs</w:t>
      </w:r>
      <w:r>
        <w:t xml:space="preserve"> </w:t>
      </w:r>
      <w:r>
        <w:rPr>
          <w:vertAlign w:val="superscript"/>
        </w:rPr>
        <w:t xml:space="preserve">31</w:t>
      </w:r>
      <w:r>
        <w:t xml:space="preserve">.</w:t>
      </w:r>
    </w:p>
    <w:p>
      <w:pPr>
        <w:pStyle w:val="BodyText"/>
      </w:pPr>
      <w:r>
        <w:rPr>
          <w:bCs/>
          <w:b/>
        </w:rPr>
        <w:t xml:space="preserve">Table 1: Manual-to-Digital Objective Generation Techniques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Manual Technique (2002 VTA)</w:t>
            </w:r>
          </w:p>
        </w:tc>
        <w:tc>
          <w:tcPr/>
          <w:p>
            <w:pPr>
              <w:pStyle w:val="Compact"/>
              <w:jc w:val="left"/>
            </w:pPr>
            <w:r>
              <w:t xml:space="preserve">Digital Capability</w:t>
            </w:r>
          </w:p>
        </w:tc>
        <w:tc>
          <w:tcPr/>
          <w:p>
            <w:pPr>
              <w:pStyle w:val="Compact"/>
              <w:jc w:val="left"/>
            </w:pPr>
            <w:r>
              <w:t xml:space="preserve">Representative Platform</w:t>
            </w:r>
          </w:p>
        </w:tc>
        <w:tc>
          <w:tcPr/>
          <w:p>
            <w:pPr>
              <w:pStyle w:val="Compact"/>
              <w:jc w:val="left"/>
            </w:pPr>
            <w:r>
              <w:t xml:space="preserve">Operational Principle</w:t>
            </w:r>
          </w:p>
        </w:tc>
      </w:tr>
      <w:tr>
        <w:tc>
          <w:tcPr/>
          <w:p>
            <w:pPr>
              <w:pStyle w:val="Compact"/>
              <w:jc w:val="left"/>
            </w:pPr>
            <w:r>
              <w:t xml:space="preserve">Wish list: unstructured enumeration of desired outcomes</w:t>
            </w:r>
          </w:p>
        </w:tc>
        <w:tc>
          <w:tcPr/>
          <w:p>
            <w:pPr>
              <w:pStyle w:val="Compact"/>
              <w:jc w:val="left"/>
            </w:pPr>
            <w:r>
              <w:t xml:space="preserve">Natural language to structured objective generation; voice-to-goal</w:t>
            </w:r>
          </w:p>
        </w:tc>
        <w:tc>
          <w:tcPr/>
          <w:p>
            <w:pPr>
              <w:pStyle w:val="Compact"/>
              <w:jc w:val="left"/>
            </w:pPr>
            <w:r>
              <w:t xml:space="preserve">Kroolo</w:t>
            </w:r>
            <w:r>
              <w:t xml:space="preserve"> </w:t>
            </w:r>
            <w:r>
              <w:rPr>
                <w:vertAlign w:val="superscript"/>
              </w:rPr>
              <w:t xml:space="preserve">9</w:t>
            </w:r>
            <w:r>
              <w:t xml:space="preserve">, Profit.co Athena AI</w:t>
            </w:r>
            <w:r>
              <w:t xml:space="preserve"> </w:t>
            </w:r>
            <w:r>
              <w:rPr>
                <w:vertAlign w:val="superscript"/>
              </w:rPr>
              <w:t xml:space="preserve">22</w:t>
            </w:r>
            <w:r>
              <w:t xml:space="preserve">, Tability Tabby</w:t>
            </w:r>
            <w:r>
              <w:t xml:space="preserve"> </w:t>
            </w:r>
            <w:r>
              <w:rPr>
                <w:vertAlign w:val="superscript"/>
              </w:rPr>
              <w:t xml:space="preserve">31</w:t>
            </w:r>
          </w:p>
        </w:tc>
        <w:tc>
          <w:tcPr/>
          <w:p>
            <w:pPr>
              <w:pStyle w:val="Compact"/>
              <w:jc w:val="left"/>
            </w:pPr>
            <w:r>
              <w:t xml:space="preserve">LLM-based parsing of unstructured human expression into hierarchical objective structures</w:t>
            </w:r>
          </w:p>
        </w:tc>
      </w:tr>
      <w:tr>
        <w:tc>
          <w:tcPr/>
          <w:p>
            <w:pPr>
              <w:pStyle w:val="Compact"/>
              <w:jc w:val="left"/>
            </w:pPr>
            <w:r>
              <w:t xml:space="preserve">Alternatives analysis: identifying features that distinguish options</w:t>
            </w:r>
          </w:p>
        </w:tc>
        <w:tc>
          <w:tcPr/>
          <w:p>
            <w:pPr>
              <w:pStyle w:val="Compact"/>
              <w:jc w:val="left"/>
            </w:pPr>
            <w:r>
              <w:t xml:space="preserve">Multi-model AI brainstorming; cross-alternative comparison matrices</w:t>
            </w:r>
          </w:p>
        </w:tc>
        <w:tc>
          <w:tcPr/>
          <w:p>
            <w:pPr>
              <w:pStyle w:val="Compact"/>
              <w:jc w:val="left"/>
            </w:pPr>
            <w:r>
              <w:t xml:space="preserve">Claude, Juma (Team-GPT), Miro AI</w:t>
            </w:r>
            <w:r>
              <w:t xml:space="preserve"> </w:t>
            </w:r>
            <w:r>
              <w:rPr>
                <w:vertAlign w:val="superscript"/>
              </w:rPr>
              <w:t xml:space="preserve">26</w:t>
            </w:r>
          </w:p>
        </w:tc>
        <w:tc>
          <w:tcPr/>
          <w:p>
            <w:pPr>
              <w:pStyle w:val="Compact"/>
              <w:jc w:val="left"/>
            </w:pPr>
            <w:r>
              <w:t xml:space="preserve">AI-guided comparison of existing options surfaces implicit evaluation criteria</w:t>
            </w:r>
          </w:p>
        </w:tc>
      </w:tr>
      <w:tr>
        <w:tc>
          <w:tcPr/>
          <w:p>
            <w:pPr>
              <w:pStyle w:val="Compact"/>
              <w:jc w:val="left"/>
            </w:pPr>
            <w:r>
              <w:t xml:space="preserve">Problems and shortcomings: linking concerns to alleviation objectives</w:t>
            </w:r>
          </w:p>
        </w:tc>
        <w:tc>
          <w:tcPr/>
          <w:p>
            <w:pPr>
              <w:pStyle w:val="Compact"/>
              <w:jc w:val="left"/>
            </w:pPr>
            <w:r>
              <w:t xml:space="preserve">NLP document analysis for issue extraction; 5 Whys digital templates</w:t>
            </w:r>
          </w:p>
        </w:tc>
        <w:tc>
          <w:tcPr/>
          <w:p>
            <w:pPr>
              <w:pStyle w:val="Compact"/>
              <w:jc w:val="left"/>
            </w:pPr>
            <w:r>
              <w:t xml:space="preserve">Asana</w:t>
            </w:r>
            <w:r>
              <w:t xml:space="preserve"> </w:t>
            </w:r>
            <w:r>
              <w:rPr>
                <w:vertAlign w:val="superscript"/>
              </w:rPr>
              <w:t xml:space="preserve">27</w:t>
            </w:r>
            <w:r>
              <w:t xml:space="preserve">, Databricks Document Intelligence</w:t>
            </w:r>
            <w:r>
              <w:t xml:space="preserve"> </w:t>
            </w:r>
            <w:r>
              <w:rPr>
                <w:vertAlign w:val="superscript"/>
              </w:rPr>
              <w:t xml:space="preserve">32</w:t>
            </w:r>
          </w:p>
        </w:tc>
        <w:tc>
          <w:tcPr/>
          <w:p>
            <w:pPr>
              <w:pStyle w:val="Compact"/>
              <w:jc w:val="left"/>
            </w:pPr>
            <w:r>
              <w:t xml:space="preserve">Named entity recognition and sentiment analysis identify pain points from documents, converting them into structured problem statements</w:t>
            </w:r>
          </w:p>
        </w:tc>
      </w:tr>
      <w:tr>
        <w:tc>
          <w:tcPr/>
          <w:p>
            <w:pPr>
              <w:pStyle w:val="Compact"/>
              <w:jc w:val="left"/>
            </w:pPr>
            <w:r>
              <w:t xml:space="preserve">Consequences: articulating outcomes to reveal underlying objectives</w:t>
            </w:r>
          </w:p>
        </w:tc>
        <w:tc>
          <w:tcPr/>
          <w:p>
            <w:pPr>
              <w:pStyle w:val="Compact"/>
              <w:jc w:val="left"/>
            </w:pPr>
            <w:r>
              <w:t xml:space="preserve">Impact chain visualization; predictive consequence modeling</w:t>
            </w:r>
          </w:p>
        </w:tc>
        <w:tc>
          <w:tcPr/>
          <w:p>
            <w:pPr>
              <w:pStyle w:val="Compact"/>
              <w:jc w:val="left"/>
            </w:pPr>
            <w:r>
              <w:t xml:space="preserve">Workpath impact chains</w:t>
            </w:r>
            <w:r>
              <w:t xml:space="preserve"> </w:t>
            </w:r>
            <w:r>
              <w:rPr>
                <w:vertAlign w:val="superscript"/>
              </w:rPr>
              <w:t xml:space="preserve">33</w:t>
            </w:r>
            <w:r>
              <w:t xml:space="preserve">, Profit.co Alignment Agent</w:t>
            </w:r>
          </w:p>
        </w:tc>
        <w:tc>
          <w:tcPr/>
          <w:p>
            <w:pPr>
              <w:pStyle w:val="Compact"/>
              <w:jc w:val="left"/>
            </w:pPr>
            <w:r>
              <w:t xml:space="preserve">Explicit mapping of inputs → outputs → outcomes → business impact reveals the objective hierarchy implicit in strategic activities</w:t>
            </w:r>
          </w:p>
        </w:tc>
      </w:tr>
      <w:tr>
        <w:tc>
          <w:tcPr/>
          <w:p>
            <w:pPr>
              <w:pStyle w:val="Compact"/>
              <w:jc w:val="left"/>
            </w:pPr>
            <w:r>
              <w:t xml:space="preserve">Goals, constraints, and guidelines: reverse-engineering objectives from existing directives</w:t>
            </w:r>
          </w:p>
        </w:tc>
        <w:tc>
          <w:tcPr/>
          <w:p>
            <w:pPr>
              <w:pStyle w:val="Compact"/>
              <w:jc w:val="left"/>
            </w:pPr>
            <w:r>
              <w:t xml:space="preserve">Template-based objective library; organizational goal import and decomposition</w:t>
            </w:r>
          </w:p>
        </w:tc>
        <w:tc>
          <w:tcPr/>
          <w:p>
            <w:pPr>
              <w:pStyle w:val="Compact"/>
              <w:jc w:val="left"/>
            </w:pPr>
            <w:r>
              <w:t xml:space="preserve">Asana Smart Goals</w:t>
            </w:r>
            <w:r>
              <w:t xml:space="preserve"> </w:t>
            </w:r>
            <w:r>
              <w:rPr>
                <w:vertAlign w:val="superscript"/>
              </w:rPr>
              <w:t xml:space="preserve">34</w:t>
            </w:r>
            <w:r>
              <w:t xml:space="preserve">, Businessmap goal hierarchies</w:t>
            </w:r>
          </w:p>
        </w:tc>
        <w:tc>
          <w:tcPr/>
          <w:p>
            <w:pPr>
              <w:pStyle w:val="Compact"/>
              <w:jc w:val="left"/>
            </w:pPr>
            <w:r>
              <w:t xml:space="preserve">AI analyzes existing organizational goals and constraints to derive lower-level objectives maintaining strategic alignment</w:t>
            </w:r>
          </w:p>
        </w:tc>
      </w:tr>
      <w:tr>
        <w:tc>
          <w:tcPr/>
          <w:p>
            <w:pPr>
              <w:pStyle w:val="Compact"/>
              <w:jc w:val="left"/>
            </w:pPr>
            <w:r>
              <w:t xml:space="preserve">Different perspectives: role-taking to surface additional objectives</w:t>
            </w:r>
          </w:p>
        </w:tc>
        <w:tc>
          <w:tcPr/>
          <w:p>
            <w:pPr>
              <w:pStyle w:val="Compact"/>
              <w:jc w:val="left"/>
            </w:pPr>
            <w:r>
              <w:t xml:space="preserve">Collaborative brainstorming with AI facilitation; multi-stakeholder sentiment analysis</w:t>
            </w:r>
          </w:p>
        </w:tc>
        <w:tc>
          <w:tcPr/>
          <w:p>
            <w:pPr>
              <w:pStyle w:val="Compact"/>
              <w:jc w:val="left"/>
            </w:pPr>
            <w:r>
              <w:t xml:space="preserve">Miro AI</w:t>
            </w:r>
            <w:r>
              <w:t xml:space="preserve"> </w:t>
            </w:r>
            <w:r>
              <w:rPr>
                <w:vertAlign w:val="superscript"/>
              </w:rPr>
              <w:t xml:space="preserve">26</w:t>
            </w:r>
            <w:r>
              <w:t xml:space="preserve">, Simply Stakeholders</w:t>
            </w:r>
            <w:r>
              <w:t xml:space="preserve"> </w:t>
            </w:r>
            <w:r>
              <w:rPr>
                <w:vertAlign w:val="superscript"/>
              </w:rPr>
              <w:t xml:space="preserve">28</w:t>
            </w:r>
          </w:p>
        </w:tc>
        <w:tc>
          <w:tcPr/>
          <w:p>
            <w:pPr>
              <w:pStyle w:val="Compact"/>
              <w:jc w:val="left"/>
            </w:pPr>
            <w:r>
              <w:t xml:space="preserve">AI simulates diverse stakeholder viewpoints to identify objectives visible only from specific organizational positions</w:t>
            </w:r>
          </w:p>
        </w:tc>
      </w:tr>
      <w:tr>
        <w:tc>
          <w:tcPr/>
          <w:p>
            <w:pPr>
              <w:pStyle w:val="Compact"/>
              <w:jc w:val="left"/>
            </w:pPr>
            <w:r>
              <w:t xml:space="preserve">Structuring: using means-ends analysis to stimulate generation</w:t>
            </w:r>
          </w:p>
        </w:tc>
        <w:tc>
          <w:tcPr/>
          <w:p>
            <w:pPr>
              <w:pStyle w:val="Compact"/>
              <w:jc w:val="left"/>
            </w:pPr>
            <w:r>
              <w:t xml:space="preserve">Automated</w:t>
            </w:r>
            <w:r>
              <w:t xml:space="preserve"> </w:t>
            </w:r>
            <w:r>
              <w:t xml:space="preserve">“</w:t>
            </w:r>
            <w:r>
              <w:t xml:space="preserve">why chain</w:t>
            </w:r>
            <w:r>
              <w:t xml:space="preserve">”</w:t>
            </w:r>
            <w:r>
              <w:t xml:space="preserve"> </w:t>
            </w:r>
            <w:r>
              <w:t xml:space="preserve">analysis; means-ends network modeling</w:t>
            </w:r>
          </w:p>
        </w:tc>
        <w:tc>
          <w:tcPr/>
          <w:p>
            <w:pPr>
              <w:pStyle w:val="Compact"/>
              <w:jc w:val="left"/>
            </w:pPr>
            <w:r>
              <w:t xml:space="preserve">Workpath impact chains</w:t>
            </w:r>
            <w:r>
              <w:t xml:space="preserve"> </w:t>
            </w:r>
            <w:r>
              <w:rPr>
                <w:vertAlign w:val="superscript"/>
              </w:rPr>
              <w:t xml:space="preserve">33</w:t>
            </w:r>
            <w:r>
              <w:t xml:space="preserve">, Goal Tree Mapping methodology</w:t>
            </w:r>
          </w:p>
        </w:tc>
        <w:tc>
          <w:tcPr/>
          <w:p>
            <w:pPr>
              <w:pStyle w:val="Compact"/>
              <w:jc w:val="left"/>
            </w:pPr>
            <w:r>
              <w:t xml:space="preserve">Recursive</w:t>
            </w:r>
            <w:r>
              <w:t xml:space="preserve"> </w:t>
            </w:r>
            <w:r>
              <w:t xml:space="preserve">“</w:t>
            </w:r>
            <w:r>
              <w:t xml:space="preserve">why is this important?</w:t>
            </w:r>
            <w:r>
              <w:t xml:space="preserve">”</w:t>
            </w:r>
            <w:r>
              <w:t xml:space="preserve"> </w:t>
            </w:r>
            <w:r>
              <w:t xml:space="preserve">analysis distinguishes fundamental objectives from instrumental means objectives</w:t>
            </w:r>
          </w:p>
        </w:tc>
      </w:tr>
    </w:tbl>
    <w:p>
      <w:pPr>
        <w:pStyle w:val="BodyText"/>
      </w:pPr>
      <w:r>
        <w:t xml:space="preserve">This mapping reveals a systematic pattern: each facilitation technique from the manual process has a corresponding automation capability, compressing objective generation from multi-day workshops to single sessions. The quality of AI-generated objectives depends critically on the quality of organizational context available—strategy documents, historical decisions, and stakeholder input all serve as grounding data that prevents generic or misaligned suggestions.</w:t>
      </w:r>
    </w:p>
    <w:bookmarkEnd w:id="43"/>
    <w:bookmarkStart w:id="44" w:name="X9974879e87b6d9b70ca040e806f671573728305"/>
    <w:p>
      <w:pPr>
        <w:pStyle w:val="Heading4"/>
      </w:pPr>
      <w:r>
        <w:t xml:space="preserve">2.2.2 NLP-Powered Objective Extraction: From Documents to Candidate Objectives</w:t>
      </w:r>
    </w:p>
    <w:p>
      <w:pPr>
        <w:pStyle w:val="FirstParagraph"/>
      </w:pPr>
      <w:r>
        <w:t xml:space="preserve">Modern platforms extract objectives directly from existing documents—transforming passive archives of strategic materials into active sources of decision structure. NLP-based document analysis systems process content up to 80% faster than manual review, using context and sentence structure analysis to identify objectives and strategic priorities from unstructured text</w:t>
      </w:r>
      <w:r>
        <w:t xml:space="preserve"> </w:t>
      </w:r>
      <w:r>
        <w:rPr>
          <w:vertAlign w:val="superscript"/>
        </w:rPr>
        <w:t xml:space="preserve">32</w:t>
      </w:r>
      <w:r>
        <w:t xml:space="preserve">.</w:t>
      </w:r>
    </w:p>
    <w:p>
      <w:pPr>
        <w:pStyle w:val="BodyText"/>
      </w:pPr>
      <w:r>
        <w:t xml:space="preserve">The technical pipeline follows a standard pattern: Named Entity Recognition identifies entities relevant to objectives; relation extraction identifies connections between entities; and entity resolution normalizes variations of the same concept across documents</w:t>
      </w:r>
      <w:r>
        <w:t xml:space="preserve"> </w:t>
      </w:r>
      <w:r>
        <w:rPr>
          <w:vertAlign w:val="superscript"/>
        </w:rPr>
        <w:t xml:space="preserve">35</w:t>
      </w:r>
      <w:r>
        <w:t xml:space="preserve">. Databricks Document Intelligence provides an enterprise-grade implementation through composable AI Functions (ai_parse_document, ai_classify, ai_extract) that convert raw documents into structured text, achieving 16% performance gains on real-world enterprise documents at 5–7x lower cost than comparable pipelines</w:t>
      </w:r>
      <w:r>
        <w:t xml:space="preserve"> </w:t>
      </w:r>
      <w:r>
        <w:rPr>
          <w:vertAlign w:val="superscript"/>
        </w:rPr>
        <w:t xml:space="preserve">32</w:t>
      </w:r>
      <w:r>
        <w:t xml:space="preserve">. Tability demonstrates the practical application by enabling users to upload a spreadsheet, image, screenshot, or Google Doc, which its AI recognizes, translates, and formats into structured OKRs</w:t>
      </w:r>
      <w:r>
        <w:t xml:space="preserve"> </w:t>
      </w:r>
      <w:r>
        <w:rPr>
          <w:vertAlign w:val="superscript"/>
        </w:rPr>
        <w:t xml:space="preserve">31</w:t>
      </w:r>
      <w:r>
        <w:t xml:space="preserve">.</w:t>
      </w:r>
    </w:p>
    <w:bookmarkEnd w:id="44"/>
    <w:bookmarkStart w:id="45" w:name="Xb2b61a28a3b6636d464c9e664093a4dd515d5bf"/>
    <w:p>
      <w:pPr>
        <w:pStyle w:val="Heading4"/>
      </w:pPr>
      <w:r>
        <w:t xml:space="preserve">2.2.3 Means-Ends Separation: Automated</w:t>
      </w:r>
      <w:r>
        <w:t xml:space="preserve"> </w:t>
      </w:r>
      <w:r>
        <w:t xml:space="preserve">“</w:t>
      </w:r>
      <w:r>
        <w:t xml:space="preserve">Why Chain</w:t>
      </w:r>
      <w:r>
        <w:t xml:space="preserve">”</w:t>
      </w:r>
      <w:r>
        <w:t xml:space="preserve"> </w:t>
      </w:r>
      <w:r>
        <w:t xml:space="preserve">Analysis</w:t>
      </w:r>
    </w:p>
    <w:p>
      <w:pPr>
        <w:pStyle w:val="FirstParagraph"/>
      </w:pPr>
      <w:r>
        <w:t xml:space="preserve">One of the most methodologically significant contributions of classical VTA is the distinction between fundamental objectives—those that characterize the essential reason for interest in a decision situation—and means objectives—those important because of their implications for other objectives</w:t>
      </w:r>
      <w:r>
        <w:t xml:space="preserve"> </w:t>
      </w:r>
      <w:r>
        <w:rPr>
          <w:vertAlign w:val="superscript"/>
        </w:rPr>
        <w:t xml:space="preserve">24</w:t>
      </w:r>
      <w:r>
        <w:t xml:space="preserve">. The manual technique for this separation was recursive questioning: asking</w:t>
      </w:r>
      <w:r>
        <w:t xml:space="preserve"> </w:t>
      </w:r>
      <w:r>
        <w:t xml:space="preserve">“</w:t>
      </w:r>
      <w:r>
        <w:t xml:space="preserve">Why is this objective important?</w:t>
      </w:r>
      <w:r>
        <w:t xml:space="preserve">”</w:t>
      </w:r>
      <w:r>
        <w:t xml:space="preserve"> </w:t>
      </w:r>
      <w:r>
        <w:t xml:space="preserve">until the response revealed either a connection to a higher-level objective (means) or an essential value (fundamental). This</w:t>
      </w:r>
      <w:r>
        <w:t xml:space="preserve"> </w:t>
      </w:r>
      <w:r>
        <w:t xml:space="preserve">“</w:t>
      </w:r>
      <w:r>
        <w:t xml:space="preserve">why chain</w:t>
      </w:r>
      <w:r>
        <w:t xml:space="preserve">”</w:t>
      </w:r>
      <w:r>
        <w:t xml:space="preserve"> </w:t>
      </w:r>
      <w:r>
        <w:t xml:space="preserve">analysis required skilled facilitation to probe deeply without alienating participants.</w:t>
      </w:r>
    </w:p>
    <w:p>
      <w:pPr>
        <w:pStyle w:val="BodyText"/>
      </w:pPr>
      <w:r>
        <w:t xml:space="preserve">Workpath’s</w:t>
      </w:r>
      <w:r>
        <w:t xml:space="preserve"> </w:t>
      </w:r>
      <w:r>
        <w:t xml:space="preserve">“</w:t>
      </w:r>
      <w:r>
        <w:t xml:space="preserve">impact chains</w:t>
      </w:r>
      <w:r>
        <w:t xml:space="preserve">”</w:t>
      </w:r>
      <w:r>
        <w:t xml:space="preserve"> </w:t>
      </w:r>
      <w:r>
        <w:t xml:space="preserve">methodology provides a digital implementation by creating explicit connections between inputs, outputs, outcomes, and business impact</w:t>
      </w:r>
      <w:r>
        <w:t xml:space="preserve"> </w:t>
      </w:r>
      <w:r>
        <w:rPr>
          <w:vertAlign w:val="superscript"/>
        </w:rPr>
        <w:t xml:space="preserve">33</w:t>
      </w:r>
      <w:r>
        <w:t xml:space="preserve">. This methodology directly mirrors VTA’s means-ends separation: inputs and activities are means; outcomes and business impact are ends. The platform’s AI agents provide intelligent drafting assistance that understands organizational context and automated quality checks for consistency across departments—ensuring that the distinction between means and ends is maintained as the objective hierarchy evolves</w:t>
      </w:r>
      <w:r>
        <w:t xml:space="preserve"> </w:t>
      </w:r>
      <w:r>
        <w:rPr>
          <w:vertAlign w:val="superscript"/>
        </w:rPr>
        <w:t xml:space="preserve">33</w:t>
      </w:r>
      <w:r>
        <w:t xml:space="preserve">.</w:t>
      </w:r>
    </w:p>
    <w:p>
      <w:pPr>
        <w:pStyle w:val="BodyText"/>
      </w:pPr>
      <w:r>
        <w:t xml:space="preserve">The Value-Focused Thinking (VFT) framework provides the theoretical foundation for automated means-ends separation, prescribing an integrated process that includes mapping stakeholders, identifying values, converting values into objectives, building means-ends objectives networks and fundamental objectives hierarchies, and defining measurable attributes</w:t>
      </w:r>
      <w:r>
        <w:t xml:space="preserve"> </w:t>
      </w:r>
      <w:r>
        <w:rPr>
          <w:vertAlign w:val="superscript"/>
        </w:rPr>
        <w:t xml:space="preserve">36</w:t>
      </w:r>
      <w:r>
        <w:t xml:space="preserve">. Modern AI can execute the middle three steps with minimal human guidance, flagging objectives whose classification remains ambiguous for stakeholder review.</w:t>
      </w:r>
    </w:p>
    <w:bookmarkEnd w:id="45"/>
    <w:bookmarkEnd w:id="46"/>
    <w:bookmarkStart w:id="51" w:name="interactive-hierarchy-builder"/>
    <w:p>
      <w:pPr>
        <w:pStyle w:val="Heading3"/>
      </w:pPr>
      <w:r>
        <w:t xml:space="preserve">2.3 Interactive Hierarchy Builder</w:t>
      </w:r>
    </w:p>
    <w:bookmarkStart w:id="47" w:name="X5b99c31e966c3e7e53ae2613b20e2367932f736"/>
    <w:p>
      <w:pPr>
        <w:pStyle w:val="Heading4"/>
      </w:pPr>
      <w:r>
        <w:t xml:space="preserve">2.3.1 Tree-First UI: Drag-and-Drop Value Tree Construction with Real-Time Visual Feedback</w:t>
      </w:r>
    </w:p>
    <w:p>
      <w:pPr>
        <w:pStyle w:val="FirstParagraph"/>
      </w:pPr>
      <w:r>
        <w:t xml:space="preserve">The value tree is the central artifact of VTA—it functions simultaneously as the analytical model, the communication tool, and the navigation structure for the entire decision process. This centrality makes the value tree visualization the signature user experience pattern of a VTA SaaS platform.</w:t>
      </w:r>
    </w:p>
    <w:p>
      <w:pPr>
        <w:pStyle w:val="BodyText"/>
      </w:pPr>
      <w:r>
        <w:t xml:space="preserve">The tree-first UI concept positions the interactive value tree as the primary interface—not a secondary visualization, but the canvas upon which all decision work occurs. Elicitation, analysis, and collaboration are accessed through the tree, making it the visual identity of the platform. The transition from physical whiteboards to interactive digital trees compresses not just time but cognitive load: stakeholders no longer need to hold the entire decision structure in working memory when they can see and manipulate it visually. This externalization of mental models is precisely why the tree-first approach creates product-market fit where spreadsheet-based decision tools fail—the visual hierarchy makes complex trade-offs comprehensible to participants without quantitative training.</w:t>
      </w:r>
    </w:p>
    <w:p>
      <w:pPr>
        <w:pStyle w:val="BodyText"/>
      </w:pPr>
      <w:r>
        <w:rPr>
          <w:bCs/>
          <w:b/>
        </w:rPr>
        <w:t xml:space="preserve">Diagram Description: Tree-First UI Architecture</w:t>
      </w:r>
    </w:p>
    <w:p>
      <w:pPr>
        <w:pStyle w:val="BodyText"/>
      </w:pPr>
      <w:r>
        <w:t xml:space="preserve">The conceptual diagram depicts a three-pane workspace. The central pane presents a vertically oriented interactive value tree rendered as a hierarchical node-link diagram. Each node represents an objective, with color coding distinguishing fundamental objectives (deep slate) from means objectives (lighter lavender). The overall fundamental objective sits at the top; leaf-node attributes sit at the bottom. Users click any node to expand or collapse its children, drag nodes to reposition them within the hierarchy, and double-click to edit objective names or descriptions.</w:t>
      </w:r>
    </w:p>
    <w:p>
      <w:pPr>
        <w:pStyle w:val="BodyText"/>
      </w:pPr>
      <w:r>
        <w:t xml:space="preserve">The left pane displays a</w:t>
      </w:r>
      <w:r>
        <w:t xml:space="preserve"> </w:t>
      </w:r>
      <w:r>
        <w:t xml:space="preserve">“</w:t>
      </w:r>
      <w:r>
        <w:t xml:space="preserve">Sources Panel</w:t>
      </w:r>
      <w:r>
        <w:t xml:space="preserve">”</w:t>
      </w:r>
      <w:r>
        <w:t xml:space="preserve"> </w:t>
      </w:r>
      <w:r>
        <w:t xml:space="preserve">containing AI-suggested objectives extracted from uploaded documents, imported from organizational goal systems, or generated from natural language prompts. Users drag objectives from this panel onto the tree canvas, where the system suggests placement based on semantic similarity to existing nodes.</w:t>
      </w:r>
    </w:p>
    <w:p>
      <w:pPr>
        <w:pStyle w:val="BodyText"/>
      </w:pPr>
      <w:r>
        <w:t xml:space="preserve">The right pane is a context-sensitive</w:t>
      </w:r>
      <w:r>
        <w:t xml:space="preserve"> </w:t>
      </w:r>
      <w:r>
        <w:t xml:space="preserve">“</w:t>
      </w:r>
      <w:r>
        <w:t xml:space="preserve">Properties Inspector</w:t>
      </w:r>
      <w:r>
        <w:t xml:space="preserve">”</w:t>
      </w:r>
      <w:r>
        <w:t xml:space="preserve"> </w:t>
      </w:r>
      <w:r>
        <w:t xml:space="preserve">that changes based on tree selection. When an objective node is selected, it displays the objective definition, associated attribute type, elicitation status, and stakeholder comments. When an attribute node is selected, it shows the value function editor, performance range, and elicitation method. When nothing is selected, it presents a decision summary: number of objectives, tree depth, weight coverage, and validation status against the five structural properties.</w:t>
      </w:r>
    </w:p>
    <w:p>
      <w:pPr>
        <w:pStyle w:val="BodyText"/>
      </w:pPr>
      <w:r>
        <w:t xml:space="preserve">A persistent toolbar above the tree canvas provides mode switches: Edit Mode (for restructuring), Elicitation Mode (for capturing preferences), Analysis Mode (for sensitivity exploration), and Collaboration Mode (for stakeholder review). Elicitation mode color-codes nodes by completion status; analysis mode overlays weight magnitude as bar charts on each node; collaboration mode displays comment indicators and stakeholder presence cursors.</w:t>
      </w:r>
    </w:p>
    <w:p>
      <w:pPr>
        <w:pStyle w:val="BodyText"/>
      </w:pPr>
      <w:r>
        <w:t xml:space="preserve">This architecture creates a spatially stable environment where users develop mental models of the decision structure as a physical space. The underlying visualization libraries are mature: React D3 Tree provides interactive tree graphs with custom node rendering; Nivo offers dedicated Tree components with SVG, Canvas, and HTML rendering; and Highcharts 12.5 added dendrogram support for hierarchical structure visualization</w:t>
      </w:r>
      <w:r>
        <w:t xml:space="preserve"> </w:t>
      </w:r>
      <w:r>
        <w:rPr>
          <w:vertAlign w:val="superscript"/>
        </w:rPr>
        <w:t xml:space="preserve">37</w:t>
      </w:r>
      <w:r>
        <w:t xml:space="preserve">.</w:t>
      </w:r>
    </w:p>
    <w:bookmarkEnd w:id="47"/>
    <w:bookmarkStart w:id="48" w:name="Xd12257e28cf55427083631ff03c548375c7436e"/>
    <w:p>
      <w:pPr>
        <w:pStyle w:val="Heading4"/>
      </w:pPr>
      <w:r>
        <w:t xml:space="preserve">2.3.2 Top-Down and Bottom-Up Construction Modes</w:t>
      </w:r>
    </w:p>
    <w:p>
      <w:pPr>
        <w:pStyle w:val="FirstParagraph"/>
      </w:pPr>
      <w:r>
        <w:t xml:space="preserve">The 2002 VTA document describes two approaches to constructing objective hierarchies</w:t>
      </w:r>
      <w:r>
        <w:t xml:space="preserve"> </w:t>
      </w:r>
      <w:r>
        <w:rPr>
          <w:vertAlign w:val="superscript"/>
        </w:rPr>
        <w:t xml:space="preserve">24</w:t>
      </w:r>
      <w:r>
        <w:t xml:space="preserve">. The top-down approach starts from the most general objective and successively divides it into sub-objectives. The bottom-up approach first lists all meaningful differences between alternatives and then combines them into higher-level objectives. The top-down approach suits fundamental objectives hierarchies; the bottom-up approach is preferable for means-ends networks.</w:t>
      </w:r>
    </w:p>
    <w:p>
      <w:pPr>
        <w:pStyle w:val="BodyText"/>
      </w:pPr>
      <w:r>
        <w:t xml:space="preserve">Digital platforms support both modes with AI assistance tailored to each. Top-down construction begins with a vision statement entered in natural language. The AI analyzes this statement, identifies implicit objective categories, and suggests a preliminary hierarchy. Mooncamp’s goal tree view enables users to map out strategic pillars, focus areas, goals, and initiatives in a hierarchical view with drag-and-drop realignment</w:t>
      </w:r>
      <w:r>
        <w:t xml:space="preserve"> </w:t>
      </w:r>
      <w:r>
        <w:rPr>
          <w:vertAlign w:val="superscript"/>
        </w:rPr>
        <w:t xml:space="preserve">37</w:t>
      </w:r>
      <w:r>
        <w:t xml:space="preserve">. Bottom-up construction starts with a brainstormed list of attributes or concerns, which the AI clusters into higher-level objectives. Miro AI supports this through sticky note clustering by theme and mind map generation from prompts—converting flat lists into organized hierarchies</w:t>
      </w:r>
      <w:r>
        <w:t xml:space="preserve"> </w:t>
      </w:r>
      <w:r>
        <w:rPr>
          <w:vertAlign w:val="superscript"/>
        </w:rPr>
        <w:t xml:space="preserve">26</w:t>
      </w:r>
      <w:r>
        <w:t xml:space="preserve">.</w:t>
      </w:r>
    </w:p>
    <w:bookmarkEnd w:id="48"/>
    <w:bookmarkStart w:id="49" w:name="X8b7f0943019aa88380eae253d7bdda09b5ee73b"/>
    <w:p>
      <w:pPr>
        <w:pStyle w:val="Heading4"/>
      </w:pPr>
      <w:r>
        <w:t xml:space="preserve">2.3.3 Automated Structure Validation: The Five Properties Check</w:t>
      </w:r>
    </w:p>
    <w:p>
      <w:pPr>
        <w:pStyle w:val="FirstParagraph"/>
      </w:pPr>
      <w:r>
        <w:t xml:space="preserve">After the value tree is constructed, the 2002 document prescribes checking five structural properties: completeness, operationality, decomposability, nonredundancy, and minimum size</w:t>
      </w:r>
      <w:r>
        <w:t xml:space="preserve"> </w:t>
      </w:r>
      <w:r>
        <w:rPr>
          <w:vertAlign w:val="superscript"/>
        </w:rPr>
        <w:t xml:space="preserve">24</w:t>
      </w:r>
      <w:r>
        <w:t xml:space="preserve">. In the digital workflow, this becomes an automated validation suite running continuously as the tree is modified.</w:t>
      </w:r>
    </w:p>
    <w:p>
      <w:pPr>
        <w:pStyle w:val="BodyText"/>
      </w:pPr>
      <w:r>
        <w:rPr>
          <w:bCs/>
          <w:b/>
        </w:rPr>
        <w:t xml:space="preserve">Table 2: Value Tree Validation Checklist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Definition</w:t>
            </w:r>
          </w:p>
        </w:tc>
        <w:tc>
          <w:tcPr/>
          <w:p>
            <w:pPr>
              <w:pStyle w:val="Compact"/>
              <w:jc w:val="left"/>
            </w:pPr>
            <w:r>
              <w:t xml:space="preserve">Digital Validation Method</w:t>
            </w:r>
          </w:p>
        </w:tc>
        <w:tc>
          <w:tcPr/>
          <w:p>
            <w:pPr>
              <w:pStyle w:val="Compact"/>
              <w:jc w:val="left"/>
            </w:pPr>
            <w:r>
              <w:t xml:space="preserve">Status Indicator</w:t>
            </w:r>
          </w:p>
        </w:tc>
      </w:tr>
      <w:tr>
        <w:tc>
          <w:tcPr/>
          <w:p>
            <w:pPr>
              <w:pStyle w:val="Compact"/>
              <w:jc w:val="left"/>
            </w:pPr>
            <w:r>
              <w:rPr>
                <w:bCs/>
                <w:b/>
              </w:rPr>
              <w:t xml:space="preserve">Completeness</w:t>
            </w:r>
          </w:p>
        </w:tc>
        <w:tc>
          <w:tcPr/>
          <w:p>
            <w:pPr>
              <w:pStyle w:val="Compact"/>
              <w:jc w:val="left"/>
            </w:pPr>
            <w:r>
              <w:t xml:space="preserve">All relevant objectives included; attributes completely define overall objective achievement</w:t>
            </w:r>
          </w:p>
        </w:tc>
        <w:tc>
          <w:tcPr/>
          <w:p>
            <w:pPr>
              <w:pStyle w:val="Compact"/>
              <w:jc w:val="left"/>
            </w:pPr>
            <w:r>
              <w:t xml:space="preserve">AI cross-reference against decision playbook templates and extracted document objectives; coverage scoring against organizational decision history</w:t>
            </w:r>
          </w:p>
        </w:tc>
        <w:tc>
          <w:tcPr/>
          <w:p>
            <w:pPr>
              <w:pStyle w:val="Compact"/>
              <w:jc w:val="left"/>
            </w:pPr>
            <w:r>
              <w:t xml:space="preserve">Coverage percentage; missing-objective alerts with suggested additions</w:t>
            </w:r>
          </w:p>
        </w:tc>
      </w:tr>
      <w:tr>
        <w:tc>
          <w:tcPr/>
          <w:p>
            <w:pPr>
              <w:pStyle w:val="Compact"/>
              <w:jc w:val="left"/>
            </w:pPr>
            <w:r>
              <w:rPr>
                <w:bCs/>
                <w:b/>
              </w:rPr>
              <w:t xml:space="preserve">Operationality</w:t>
            </w:r>
          </w:p>
        </w:tc>
        <w:tc>
          <w:tcPr/>
          <w:p>
            <w:pPr>
              <w:pStyle w:val="Compact"/>
              <w:jc w:val="left"/>
            </w:pPr>
            <w:r>
              <w:t xml:space="preserve">Attributes are meaningful and assessable without excessive effort</w:t>
            </w:r>
          </w:p>
        </w:tc>
        <w:tc>
          <w:tcPr/>
          <w:p>
            <w:pPr>
              <w:pStyle w:val="Compact"/>
              <w:jc w:val="left"/>
            </w:pPr>
            <w:r>
              <w:t xml:space="preserve">Auto-detection of metrics, targets, and start points; assessment complexity scoring based on data availability</w:t>
            </w:r>
          </w:p>
        </w:tc>
        <w:tc>
          <w:tcPr/>
          <w:p>
            <w:pPr>
              <w:pStyle w:val="Compact"/>
              <w:jc w:val="left"/>
            </w:pPr>
            <w:r>
              <w:t xml:space="preserve">Elicitation readiness score; data source identification per attribute</w:t>
            </w:r>
          </w:p>
        </w:tc>
      </w:tr>
      <w:tr>
        <w:tc>
          <w:tcPr/>
          <w:p>
            <w:pPr>
              <w:pStyle w:val="Compact"/>
              <w:jc w:val="left"/>
            </w:pPr>
            <w:r>
              <w:rPr>
                <w:bCs/>
                <w:b/>
              </w:rPr>
              <w:t xml:space="preserve">Decomposability</w:t>
            </w:r>
          </w:p>
        </w:tc>
        <w:tc>
          <w:tcPr/>
          <w:p>
            <w:pPr>
              <w:pStyle w:val="Compact"/>
              <w:jc w:val="left"/>
            </w:pPr>
            <w:r>
              <w:t xml:space="preserve">Attributes are judgmentally independent; analyzable one at a time</w:t>
            </w:r>
          </w:p>
        </w:tc>
        <w:tc>
          <w:tcPr/>
          <w:p>
            <w:pPr>
              <w:pStyle w:val="Compact"/>
              <w:jc w:val="left"/>
            </w:pPr>
            <w:r>
              <w:t xml:space="preserve">Statistical independence testing across attribute correlations; preference interaction detection through pairwise comparison analysis</w:t>
            </w:r>
          </w:p>
        </w:tc>
        <w:tc>
          <w:tcPr/>
          <w:p>
            <w:pPr>
              <w:pStyle w:val="Compact"/>
              <w:jc w:val="left"/>
            </w:pPr>
            <w:r>
              <w:t xml:space="preserve">Independence confidence score; interaction warnings for interdependent attributes</w:t>
            </w:r>
          </w:p>
        </w:tc>
      </w:tr>
      <w:tr>
        <w:tc>
          <w:tcPr/>
          <w:p>
            <w:pPr>
              <w:pStyle w:val="Compact"/>
              <w:jc w:val="left"/>
            </w:pPr>
            <w:r>
              <w:rPr>
                <w:bCs/>
                <w:b/>
              </w:rPr>
              <w:t xml:space="preserve">Nonredundancy</w:t>
            </w:r>
          </w:p>
        </w:tc>
        <w:tc>
          <w:tcPr/>
          <w:p>
            <w:pPr>
              <w:pStyle w:val="Compact"/>
              <w:jc w:val="left"/>
            </w:pPr>
            <w:r>
              <w:t xml:space="preserve">Attribute set is nonredundant to avoid double counting</w:t>
            </w:r>
          </w:p>
        </w:tc>
        <w:tc>
          <w:tcPr/>
          <w:p>
            <w:pPr>
              <w:pStyle w:val="Compact"/>
              <w:jc w:val="left"/>
            </w:pPr>
            <w:r>
              <w:t xml:space="preserve">Semantic similarity analysis across objective descriptions; weight distribution anomaly detection</w:t>
            </w:r>
          </w:p>
        </w:tc>
        <w:tc>
          <w:tcPr/>
          <w:p>
            <w:pPr>
              <w:pStyle w:val="Compact"/>
              <w:jc w:val="left"/>
            </w:pPr>
            <w:r>
              <w:t xml:space="preserve">Redundancy alerts with merge suggestions; weight distribution visualization</w:t>
            </w:r>
          </w:p>
        </w:tc>
      </w:tr>
      <w:tr>
        <w:tc>
          <w:tcPr/>
          <w:p>
            <w:pPr>
              <w:pStyle w:val="Compact"/>
              <w:jc w:val="left"/>
            </w:pPr>
            <w:r>
              <w:rPr>
                <w:bCs/>
                <w:b/>
              </w:rPr>
              <w:t xml:space="preserve">Minimum Size</w:t>
            </w:r>
          </w:p>
        </w:tc>
        <w:tc>
          <w:tcPr/>
          <w:p>
            <w:pPr>
              <w:pStyle w:val="Compact"/>
              <w:jc w:val="left"/>
            </w:pPr>
            <w:r>
              <w:t xml:space="preserve">Attribute set is minimal; every objective influences the decision</w:t>
            </w:r>
          </w:p>
        </w:tc>
        <w:tc>
          <w:tcPr/>
          <w:p>
            <w:pPr>
              <w:pStyle w:val="Compact"/>
              <w:jc w:val="left"/>
            </w:pPr>
            <w:r>
              <w:t xml:space="preserve">Contribution analysis measuring impact of removing each attribute on alternative ranking; sensitivity-based pruning recommendations</w:t>
            </w:r>
          </w:p>
        </w:tc>
        <w:tc>
          <w:tcPr/>
          <w:p>
            <w:pPr>
              <w:pStyle w:val="Compact"/>
              <w:jc w:val="left"/>
            </w:pPr>
            <w:r>
              <w:t xml:space="preserve">Attribute necessity score; pruning suggestions ranked by decision impact</w:t>
            </w:r>
          </w:p>
        </w:tc>
      </w:tr>
    </w:tbl>
    <w:p>
      <w:pPr>
        <w:pStyle w:val="BodyText"/>
      </w:pPr>
      <w:r>
        <w:t xml:space="preserve">Workpath’s OKR Quality Checker represents the closest existing implementation, evaluating goals against outcome-orientation, customer-centricity, and measurability criteria with actionable feedback in seconds</w:t>
      </w:r>
      <w:r>
        <w:t xml:space="preserve"> </w:t>
      </w:r>
      <w:r>
        <w:rPr>
          <w:vertAlign w:val="superscript"/>
        </w:rPr>
        <w:t xml:space="preserve">23</w:t>
      </w:r>
      <w:r>
        <w:t xml:space="preserve">. Profit.co’s Quality Agent performs similar validation across 14 specialized AI agents</w:t>
      </w:r>
      <w:r>
        <w:t xml:space="preserve"> </w:t>
      </w:r>
      <w:r>
        <w:rPr>
          <w:vertAlign w:val="superscript"/>
        </w:rPr>
        <w:t xml:space="preserve">22</w:t>
      </w:r>
      <w:r>
        <w:t xml:space="preserve">. A VTA SaaS platform would extend this to cover the full five-property framework.</w:t>
      </w:r>
    </w:p>
    <w:p>
      <w:pPr>
        <w:pStyle w:val="BodyText"/>
      </w:pPr>
      <w:r>
        <w:t xml:space="preserve">The validation operates in two modes: proactive validation runs continuously as the user builds, flagging issues in real time; reactive validation runs on demand, producing comprehensive reports with prioritized recommendations. This dual-mode approach balances continuous guidance with unobstructed creative flow.</w:t>
      </w:r>
    </w:p>
    <w:bookmarkEnd w:id="49"/>
    <w:bookmarkStart w:id="50" w:name="X935969476251f26be90d1544e2cf29a617567e0"/>
    <w:p>
      <w:pPr>
        <w:pStyle w:val="Heading4"/>
      </w:pPr>
      <w:r>
        <w:t xml:space="preserve">2.3.4 Collaborative Tree Editing: Asynchronous Multi-Stakeholder Structure Refinement</w:t>
      </w:r>
    </w:p>
    <w:p>
      <w:pPr>
        <w:pStyle w:val="FirstParagraph"/>
      </w:pPr>
      <w:r>
        <w:t xml:space="preserve">Group decision-making was identified in the original documentation as a context where</w:t>
      </w:r>
      <w:r>
        <w:t xml:space="preserve"> </w:t>
      </w:r>
      <w:r>
        <w:t xml:space="preserve">“</w:t>
      </w:r>
      <w:r>
        <w:t xml:space="preserve">due to conflicting views, it may be that consensus cannot be reached</w:t>
      </w:r>
      <w:r>
        <w:t xml:space="preserve">”</w:t>
      </w:r>
      <w:r>
        <w:t xml:space="preserve"> </w:t>
      </w:r>
      <w:r>
        <w:rPr>
          <w:vertAlign w:val="superscript"/>
        </w:rPr>
        <w:t xml:space="preserve">24</w:t>
      </w:r>
      <w:r>
        <w:t xml:space="preserve">. Modern collaboration infrastructure enables a different pattern: asynchronous, multi-stakeholder tree refinement with contributions tracked through comment threads and version history.</w:t>
      </w:r>
    </w:p>
    <w:p>
      <w:pPr>
        <w:pStyle w:val="BodyText"/>
      </w:pPr>
      <w:r>
        <w:t xml:space="preserve">The technical foundation is well established. Yjs provides conflict-free replicated data types enabling real-time collaborative editing of tree structures with synchronization in under 600 milliseconds. Figma’s multiplayer architecture demonstrates that collaborative editing is feasible at enterprise scale</w:t>
      </w:r>
      <w:r>
        <w:t xml:space="preserve"> </w:t>
      </w:r>
      <w:r>
        <w:rPr>
          <w:vertAlign w:val="superscript"/>
        </w:rPr>
        <w:t xml:space="preserve">37</w:t>
      </w:r>
      <w:r>
        <w:t xml:space="preserve">.</w:t>
      </w:r>
    </w:p>
    <w:p>
      <w:pPr>
        <w:pStyle w:val="BodyText"/>
      </w:pPr>
      <w:r>
        <w:t xml:space="preserve">For VTA, collaborative tree editing requires domain-aware conflict resolution. When two stakeholders simultaneously edit the same objective node, the system applies semantically sensible merge rules. Comment threading enables stakeholders to raise concerns about specific branches without modifying the tree:</w:t>
      </w:r>
      <w:r>
        <w:t xml:space="preserve"> </w:t>
      </w:r>
      <w:r>
        <w:t xml:space="preserve">“</w:t>
      </w:r>
      <w:r>
        <w:t xml:space="preserve">Should</w:t>
      </w:r>
      <w:r>
        <w:t xml:space="preserve"> </w:t>
      </w:r>
      <w:r>
        <w:t xml:space="preserve">‘</w:t>
      </w:r>
      <w:r>
        <w:t xml:space="preserve">Employee Satisfaction</w:t>
      </w:r>
      <w:r>
        <w:t xml:space="preserve">’</w:t>
      </w:r>
      <w:r>
        <w:t xml:space="preserve"> </w:t>
      </w:r>
      <w:r>
        <w:t xml:space="preserve">be under</w:t>
      </w:r>
      <w:r>
        <w:t xml:space="preserve"> </w:t>
      </w:r>
      <w:r>
        <w:t xml:space="preserve">‘</w:t>
      </w:r>
      <w:r>
        <w:t xml:space="preserve">Organizational Health</w:t>
      </w:r>
      <w:r>
        <w:t xml:space="preserve">’</w:t>
      </w:r>
      <w:r>
        <w:t xml:space="preserve"> </w:t>
      </w:r>
      <w:r>
        <w:t xml:space="preserve">or a separate top-level objective?</w:t>
      </w:r>
      <w:r>
        <w:t xml:space="preserve">”</w:t>
      </w:r>
      <w:r>
        <w:t xml:space="preserve"> </w:t>
      </w:r>
      <w:r>
        <w:t xml:space="preserve">Such discussions, which in manual VTA occurred in separate meeting minutes, become embedded directly in the decision artifact, creating an audit trail of structural rationale.</w:t>
      </w:r>
    </w:p>
    <w:p>
      <w:pPr>
        <w:pStyle w:val="BodyText"/>
      </w:pPr>
      <w:r>
        <w:t xml:space="preserve">The combination of AI-assisted generation, automated validation, and collaborative refinement creates a workflow that preserves the rigor of classical VTA while eliminating the dependencies that limited its adoption. A team can begin with a decision playbook template, populate it with AI-extracted objectives, validate against the five properties, and refine through asynchronous stakeholder input—all within a single platform session. The decision analyst’s role shifts from manual facilitator to strategic overseer, reviewing AI-generated structures and ensuring methodological integrity. This inversion—from analyst-driven to self-service, with analyst oversight—is the defining transformation of VTA’s transition from consulting methodology to SaaS capability.</w:t>
      </w:r>
    </w:p>
    <w:p>
      <w:r>
        <w:pict>
          <v:rect style="width:0;height:1.5pt" o:hralign="center" o:hrstd="t" o:hr="t"/>
        </w:pict>
      </w:r>
    </w:p>
    <w:bookmarkEnd w:id="50"/>
    <w:bookmarkEnd w:id="51"/>
    <w:bookmarkEnd w:id="52"/>
    <w:bookmarkStart w:id="66" w:name="X2320cf069ad1feb99e0708423a195f4219920e8"/>
    <w:p>
      <w:pPr>
        <w:pStyle w:val="Heading2"/>
      </w:pPr>
      <w:r>
        <w:t xml:space="preserve">3. Digital Attribute Specification &amp; Performance Matrix</w:t>
      </w:r>
    </w:p>
    <w:p>
      <w:pPr>
        <w:pStyle w:val="FirstParagraph"/>
      </w:pPr>
      <w:r>
        <w:t xml:space="preserve">The preceding chapter traced how digital problem-structuring transforms raw stakeholder input into a navigable value-tree hierarchy. Once that hierarchy exists, each leaf-level objective must be paired with a</w:t>
      </w:r>
      <w:r>
        <w:t xml:space="preserve"> </w:t>
      </w:r>
      <w:r>
        <w:rPr>
          <w:iCs/>
          <w:i/>
        </w:rPr>
        <w:t xml:space="preserve">measure</w:t>
      </w:r>
      <w:r>
        <w:t xml:space="preserve">—an attribute that can distinguish one alternative from another on the dimension the objective captures. In the 2002 VTA framework, this step was labor-intensive and analyst-dependent: attributes were classified as natural, constructed, or proxy; each required manual scale definition, range setting, and quality validation against five desirable properties (completeness, operationality, decomposability, nonredundancy, and minimum size)</w:t>
      </w:r>
      <w:r>
        <w:t xml:space="preserve"> </w:t>
      </w:r>
      <w:r>
        <w:rPr>
          <w:vertAlign w:val="superscript"/>
        </w:rPr>
        <w:t xml:space="preserve">38</w:t>
      </w:r>
      <w:r>
        <w:t xml:space="preserve">. A SaaS platform must automate and augment each of these operations without relaxing methodological rigor.</w:t>
      </w:r>
    </w:p>
    <w:p>
      <w:pPr>
        <w:pStyle w:val="BodyText"/>
      </w:pPr>
      <w:r>
        <w:t xml:space="preserve">This chapter examines how modern cloud architecture—API integrations, guided rubric builders, AI inference engines, and real-time collaborative grids—translates the attribute-specification and performance-matrix phases into self-service digital workflows.</w:t>
      </w:r>
    </w:p>
    <w:bookmarkStart w:id="57" w:name="attribute-definition-engine"/>
    <w:p>
      <w:pPr>
        <w:pStyle w:val="Heading3"/>
      </w:pPr>
      <w:r>
        <w:t xml:space="preserve">3.1 Attribute Definition Engine</w:t>
      </w:r>
    </w:p>
    <w:p>
      <w:pPr>
        <w:pStyle w:val="FirstParagraph"/>
      </w:pPr>
      <w:r>
        <w:t xml:space="preserve">The 2002 VTA document defines an attribute as the measurable construct that maps decision alternatives into a consequence space: formally, attribute</w:t>
      </w:r>
      <w:r>
        <w:t xml:space="preserve"> </w:t>
      </w:r>
      <m:oMath>
        <m:sSub>
          <m:e>
            <m:r>
              <m:t>X</m:t>
            </m:r>
          </m:e>
          <m:sub>
            <m:r>
              <m:t>i</m:t>
            </m:r>
          </m:sub>
        </m:sSub>
        <m:d>
          <m:dPr>
            <m:begChr m:val="("/>
            <m:endChr m:val=")"/>
            <m:sepChr m:val=""/>
            <m:grow/>
          </m:dPr>
          <m:e>
            <m:r>
              <m:t>a</m:t>
            </m:r>
          </m:e>
        </m:d>
        <m:r>
          <m:rPr>
            <m:sty m:val="p"/>
          </m:rPr>
          <m:t>=</m:t>
        </m:r>
        <m:sSub>
          <m:e>
            <m:r>
              <m:t>x</m:t>
            </m:r>
          </m:e>
          <m:sub>
            <m:r>
              <m:t>i</m:t>
            </m:r>
          </m:sub>
        </m:sSub>
      </m:oMath>
      <w:r>
        <w:t xml:space="preserve"> </w:t>
      </w:r>
      <w:r>
        <w:t xml:space="preserve">indicates the level to which objective</w:t>
      </w:r>
      <w:r>
        <w:t xml:space="preserve"> </w:t>
      </w:r>
      <m:oMath>
        <m:sSub>
          <m:e>
            <m:r>
              <m:t>O</m:t>
            </m:r>
          </m:e>
          <m:sub>
            <m:r>
              <m:t>i</m:t>
            </m:r>
          </m:sub>
        </m:sSub>
      </m:oMath>
      <w:r>
        <w:t xml:space="preserve"> </w:t>
      </w:r>
      <w:r>
        <w:t xml:space="preserve">is achieved for alternative</w:t>
      </w:r>
      <w:r>
        <w:t xml:space="preserve"> </w:t>
      </w:r>
      <m:oMath>
        <m:r>
          <m:t>a</m:t>
        </m:r>
      </m:oMath>
      <w:r>
        <w:t xml:space="preserve">. The original taxonomy recognizes three attribute types, each demanding a distinct digital treatment</w:t>
      </w:r>
      <w:r>
        <w:t xml:space="preserve"> </w:t>
      </w:r>
      <w:r>
        <w:rPr>
          <w:vertAlign w:val="superscript"/>
        </w:rPr>
        <w:t xml:space="preserve">38</w:t>
      </w:r>
      <w:r>
        <w:t xml:space="preserve">.</w:t>
      </w:r>
    </w:p>
    <w:bookmarkStart w:id="53" w:name="X9d35904dcff389673d1971bf7166dda59b58ee8"/>
    <w:p>
      <w:pPr>
        <w:pStyle w:val="Heading4"/>
      </w:pPr>
      <w:r>
        <w:t xml:space="preserve">3.1.1 Natural Attributes: API-Driven Import from ERP, CRM, HRIS, and BI Systems</w:t>
      </w:r>
    </w:p>
    <w:p>
      <w:pPr>
        <w:pStyle w:val="FirstParagraph"/>
      </w:pPr>
      <w:r>
        <w:t xml:space="preserve">Natural attributes are measured on scales that carry an objective, universally understood interpretation—salary in euros per month, latency in milliseconds, headcount, carbon emissions in tonnes. In manual VTA, these values were entered by hand from organisational reports, a process that introduced transcription errors and guaranteed data staleness. In a digital workflow, natural attributes should be sourced automatically.</w:t>
      </w:r>
    </w:p>
    <w:p>
      <w:pPr>
        <w:pStyle w:val="BodyText"/>
      </w:pPr>
      <w:r>
        <w:t xml:space="preserve">Modern SaaS platforms achieve this through pre-built connectors to enterprise systems. Balanced scorecard platforms such as Cascade offer more than 1,000 integrations that pull live KPIs from BI tools, ERP modules, and CRM databases</w:t>
      </w:r>
      <w:r>
        <w:t xml:space="preserve"> </w:t>
      </w:r>
      <w:r>
        <w:rPr>
          <w:vertAlign w:val="superscript"/>
        </w:rPr>
        <w:t xml:space="preserve">6</w:t>
      </w:r>
      <w:r>
        <w:t xml:space="preserve">. Spider Impact, a methodology-agnostic scorecard engine, ingests metrics from external data warehouses and automatically rolls up weighted KPIs to strategic objectives</w:t>
      </w:r>
      <w:r>
        <w:t xml:space="preserve"> </w:t>
      </w:r>
      <w:r>
        <w:rPr>
          <w:vertAlign w:val="superscript"/>
        </w:rPr>
        <w:t xml:space="preserve">39</w:t>
      </w:r>
      <w:r>
        <w:t xml:space="preserve">. The pattern is straightforward: once a user maps a leaf-level VTA objective (e.g.,</w:t>
      </w:r>
      <w:r>
        <w:t xml:space="preserve"> </w:t>
      </w:r>
      <w:r>
        <w:t xml:space="preserve">“</w:t>
      </w:r>
      <w:r>
        <w:t xml:space="preserve">minimise operational cost</w:t>
      </w:r>
      <w:r>
        <w:t xml:space="preserve">”</w:t>
      </w:r>
      <w:r>
        <w:t xml:space="preserve">) to a data field in SAP or Salesforce, the platform refreshes the performance matrix cell on a scheduled or event-driven basis. The consequence is that natural-attribute columns in the performance matrix become</w:t>
      </w:r>
      <w:r>
        <w:t xml:space="preserve"> </w:t>
      </w:r>
      <w:r>
        <w:rPr>
          <w:iCs/>
          <w:i/>
        </w:rPr>
        <w:t xml:space="preserve">live streams</w:t>
      </w:r>
      <w:r>
        <w:t xml:space="preserve"> </w:t>
      </w:r>
      <w:r>
        <w:t xml:space="preserve">rather than static snapshots.</w:t>
      </w:r>
    </w:p>
    <w:p>
      <w:pPr>
        <w:pStyle w:val="BodyText"/>
      </w:pPr>
      <w:r>
        <w:t xml:space="preserve">For a VTA SaaS platform, the architecture implication is an API-first ingestion layer with OAuth-secured connectors to the major enterprise systems, supplemented by a webhook framework for custom data feeds. The platform should also expose a data-mapping UI—analogous to BI</w:t>
      </w:r>
      <w:r>
        <w:t xml:space="preserve"> </w:t>
      </w:r>
      <w:r>
        <w:t xml:space="preserve">“</w:t>
      </w:r>
      <w:r>
        <w:t xml:space="preserve">join</w:t>
      </w:r>
      <w:r>
        <w:t xml:space="preserve">”</w:t>
      </w:r>
      <w:r>
        <w:t xml:space="preserve"> </w:t>
      </w:r>
      <w:r>
        <w:t xml:space="preserve">interfaces—where non-technical users link tree nodes to external fields without engineering support.</w:t>
      </w:r>
    </w:p>
    <w:bookmarkEnd w:id="53"/>
    <w:bookmarkStart w:id="54" w:name="X1716b9e5a7fe365d7baae0019da889b15c16913"/>
    <w:p>
      <w:pPr>
        <w:pStyle w:val="Heading4"/>
      </w:pPr>
      <w:r>
        <w:t xml:space="preserve">3.1.2 Constructed Attributes: Guided Rubric Builder with Scale Definition</w:t>
      </w:r>
    </w:p>
    <w:p>
      <w:pPr>
        <w:pStyle w:val="FirstParagraph"/>
      </w:pPr>
      <w:r>
        <w:t xml:space="preserve">Constructed attributes are invented scales for objectives that have no natural unit of measurement—</w:t>
      </w:r>
      <w:r>
        <w:t xml:space="preserve">“</w:t>
      </w:r>
      <w:r>
        <w:t xml:space="preserve">positive impact on working environment</w:t>
      </w:r>
      <w:r>
        <w:t xml:space="preserve">”</w:t>
      </w:r>
      <w:r>
        <w:t xml:space="preserve"> </w:t>
      </w:r>
      <w:r>
        <w:t xml:space="preserve">scored from 0 to 5, or</w:t>
      </w:r>
      <w:r>
        <w:t xml:space="preserve"> </w:t>
      </w:r>
      <w:r>
        <w:t xml:space="preserve">“</w:t>
      </w:r>
      <w:r>
        <w:t xml:space="preserve">strategic alignment</w:t>
      </w:r>
      <w:r>
        <w:t xml:space="preserve">”</w:t>
      </w:r>
      <w:r>
        <w:t xml:space="preserve"> </w:t>
      </w:r>
      <w:r>
        <w:t xml:space="preserve">rated on a Likert scale. The 2002 document stresses that constructed attributes are inherently subjective and must be anchored with clear verbal descriptors at each level so that different evaluators apply the scale consistently</w:t>
      </w:r>
      <w:r>
        <w:t xml:space="preserve"> </w:t>
      </w:r>
      <w:r>
        <w:rPr>
          <w:vertAlign w:val="superscript"/>
        </w:rPr>
        <w:t xml:space="preserve">38</w:t>
      </w:r>
      <w:r>
        <w:t xml:space="preserve">.</w:t>
      </w:r>
    </w:p>
    <w:p>
      <w:pPr>
        <w:pStyle w:val="BodyText"/>
      </w:pPr>
      <w:r>
        <w:t xml:space="preserve">Digital platforms address this challenge through interactive rubric builders. In assessment software, ExamSoft’s ExamSCORE allows evaluators to define point-based grading scales with objective descriptors per criterion and</w:t>
      </w:r>
      <w:r>
        <w:t xml:space="preserve"> </w:t>
      </w:r>
      <w:r>
        <w:t xml:space="preserve">“</w:t>
      </w:r>
      <w:r>
        <w:t xml:space="preserve">auto-fail</w:t>
      </w:r>
      <w:r>
        <w:t xml:space="preserve">”</w:t>
      </w:r>
      <w:r>
        <w:t xml:space="preserve"> </w:t>
      </w:r>
      <w:r>
        <w:t xml:space="preserve">thresholds for critical items</w:t>
      </w:r>
      <w:r>
        <w:t xml:space="preserve"> </w:t>
      </w:r>
      <w:r>
        <w:rPr>
          <w:vertAlign w:val="superscript"/>
        </w:rPr>
        <w:t xml:space="preserve">40</w:t>
      </w:r>
      <w:r>
        <w:t xml:space="preserve">. Synap extends this model to audio, video, and written responses, supporting weighted scoring, partial credit, negative marking, and multi-scorer evaluation with anonymous grading to reduce bias</w:t>
      </w:r>
      <w:r>
        <w:t xml:space="preserve"> </w:t>
      </w:r>
      <w:r>
        <w:rPr>
          <w:vertAlign w:val="superscript"/>
        </w:rPr>
        <w:t xml:space="preserve">41</w:t>
      </w:r>
      <w:r>
        <w:t xml:space="preserve">. The common pattern is a two-dimensional grid: criteria (or VTA attributes) as columns, achievement levels as rows, each cell containing a precise verbal descriptor that anchors the score.</w:t>
      </w:r>
    </w:p>
    <w:p>
      <w:pPr>
        <w:pStyle w:val="BodyText"/>
      </w:pPr>
      <w:r>
        <w:t xml:space="preserve">A VTA SaaS platform should provide a guided rubric wizard triggered whenever a user creates a leaf-level objective with no obvious natural metric. The wizard would (1) suggest scale types (0–5 integer, 1–10, Likert, custom) based on the objective’s semantic content; (2) prompt for verbal anchors at each level (e.g.,</w:t>
      </w:r>
      <w:r>
        <w:t xml:space="preserve"> </w:t>
      </w:r>
      <w:r>
        <w:t xml:space="preserve">“</w:t>
      </w:r>
      <w:r>
        <w:t xml:space="preserve">5 = transformative impact on team morale</w:t>
      </w:r>
      <w:r>
        <w:t xml:space="preserve">”</w:t>
      </w:r>
      <w:r>
        <w:t xml:space="preserve">); (3) enforce consistency checks such as mutually exclusive level definitions; and (4) store the rubric as a reusable template for future decisions in the same domain. This converts the subjective art of constructed-attribute design into a reproducible, auditable workflow.</w:t>
      </w:r>
    </w:p>
    <w:bookmarkEnd w:id="54"/>
    <w:bookmarkStart w:id="55" w:name="Xd69ce40a45ac4292e1babff99026ec64559c5c6"/>
    <w:p>
      <w:pPr>
        <w:pStyle w:val="Heading4"/>
      </w:pPr>
      <w:r>
        <w:t xml:space="preserve">3.1.3 Proxy Attributes: AI-Suggested Proxy Metrics Based on Objective Descriptions</w:t>
      </w:r>
    </w:p>
    <w:p>
      <w:pPr>
        <w:pStyle w:val="FirstParagraph"/>
      </w:pPr>
      <w:r>
        <w:t xml:space="preserve">Proxy attributes do not directly measure the fundamental objective but serve as an indirect indicator when direct measurement is impractical. The 2002 document offers the classic example: a firm’s objective of</w:t>
      </w:r>
      <w:r>
        <w:t xml:space="preserve"> </w:t>
      </w:r>
      <w:r>
        <w:t xml:space="preserve">“</w:t>
      </w:r>
      <w:r>
        <w:t xml:space="preserve">prestige or power</w:t>
      </w:r>
      <w:r>
        <w:t xml:space="preserve">”</w:t>
      </w:r>
      <w:r>
        <w:t xml:space="preserve"> </w:t>
      </w:r>
      <w:r>
        <w:t xml:space="preserve">may be approximated by</w:t>
      </w:r>
      <w:r>
        <w:t xml:space="preserve"> </w:t>
      </w:r>
      <w:r>
        <w:t xml:space="preserve">“</w:t>
      </w:r>
      <w:r>
        <w:t xml:space="preserve">share of market</w:t>
      </w:r>
      <w:r>
        <w:t xml:space="preserve">”</w:t>
      </w:r>
      <w:r>
        <w:t xml:space="preserve"> </w:t>
      </w:r>
      <w:r>
        <w:t xml:space="preserve">as a proxy attribute</w:t>
      </w:r>
      <w:r>
        <w:t xml:space="preserve"> </w:t>
      </w:r>
      <w:r>
        <w:rPr>
          <w:vertAlign w:val="superscript"/>
        </w:rPr>
        <w:t xml:space="preserve">38</w:t>
      </w:r>
      <w:r>
        <w:t xml:space="preserve">. The danger with proxies is that their relationship to the true objective can be weak, opaque, or contested.</w:t>
      </w:r>
    </w:p>
    <w:p>
      <w:pPr>
        <w:pStyle w:val="BodyText"/>
      </w:pPr>
      <w:r>
        <w:t xml:space="preserve">In a digital environment, AI can assist by surfacing candidate proxy metrics and quantifying their relevance. SpecLens, an AI-powered procurement platform, extracts vendor specifications from unstructured documents (PDF, Word, Excel, PowerPoint) and maps them to structured comparison matrices with confidence scores and source citations</w:t>
      </w:r>
      <w:r>
        <w:t xml:space="preserve"> </w:t>
      </w:r>
      <w:r>
        <w:rPr>
          <w:vertAlign w:val="superscript"/>
        </w:rPr>
        <w:t xml:space="preserve">42</w:t>
      </w:r>
      <w:r>
        <w:t xml:space="preserve">. Taloflow filters technology solutions against more than 100,000 curated data points to produce fit/coverage matrices that highlight trade-offs between competing options</w:t>
      </w:r>
      <w:r>
        <w:t xml:space="preserve"> </w:t>
      </w:r>
      <w:r>
        <w:rPr>
          <w:vertAlign w:val="superscript"/>
        </w:rPr>
        <w:t xml:space="preserve">43</w:t>
      </w:r>
      <w:r>
        <w:t xml:space="preserve">. Translating this capability to VTA, an AI engine could analyse an objective description such as</w:t>
      </w:r>
      <w:r>
        <w:t xml:space="preserve"> </w:t>
      </w:r>
      <w:r>
        <w:t xml:space="preserve">“</w:t>
      </w:r>
      <w:r>
        <w:t xml:space="preserve">enhance organisational agility</w:t>
      </w:r>
      <w:r>
        <w:t xml:space="preserve">”</w:t>
      </w:r>
      <w:r>
        <w:t xml:space="preserve"> </w:t>
      </w:r>
      <w:r>
        <w:t xml:space="preserve">and propose proxy metrics drawn from a knowledge base—cycle time, deployment frequency, employee Net Promoter Score—each annotated with a relevance score and a link to the source literature or dataset.</w:t>
      </w:r>
    </w:p>
    <w:p>
      <w:pPr>
        <w:pStyle w:val="BodyText"/>
      </w:pPr>
      <w:r>
        <w:t xml:space="preserve">The platform should present AI-suggested proxies as</w:t>
      </w:r>
      <w:r>
        <w:t xml:space="preserve"> </w:t>
      </w:r>
      <w:r>
        <w:rPr>
          <w:iCs/>
          <w:i/>
        </w:rPr>
        <w:t xml:space="preserve">draft recommendations</w:t>
      </w:r>
      <w:r>
        <w:t xml:space="preserve"> </w:t>
      </w:r>
      <w:r>
        <w:t xml:space="preserve">requiring human validation, not as autonomous assignments. This preserves the decision-maker’s authority while reducing the cognitive load of metric invention.</w:t>
      </w:r>
    </w:p>
    <w:bookmarkEnd w:id="55"/>
    <w:bookmarkStart w:id="56" w:name="Xb94a764bdac3899f0703e503167f6eef21ccd25"/>
    <w:p>
      <w:pPr>
        <w:pStyle w:val="Heading4"/>
      </w:pPr>
      <w:r>
        <w:t xml:space="preserve">3.1.4 Attribute Quality Scoring: Comprehensive + Understandable + Measurable Validation</w:t>
      </w:r>
    </w:p>
    <w:p>
      <w:pPr>
        <w:pStyle w:val="FirstParagraph"/>
      </w:pPr>
      <w:r>
        <w:t xml:space="preserve">The 2002 document specifies that every attribute should satisfy three practical tests: it must be</w:t>
      </w:r>
      <w:r>
        <w:t xml:space="preserve"> </w:t>
      </w:r>
      <w:r>
        <w:rPr>
          <w:iCs/>
          <w:i/>
        </w:rPr>
        <w:t xml:space="preserve">comprehensive and understandable</w:t>
      </w:r>
      <w:r>
        <w:t xml:space="preserve"> </w:t>
      </w:r>
      <w:r>
        <w:t xml:space="preserve">(the decision-maker can unambiguously interpret what an attribute level means), and it must be</w:t>
      </w:r>
      <w:r>
        <w:t xml:space="preserve"> </w:t>
      </w:r>
      <w:r>
        <w:rPr>
          <w:iCs/>
          <w:i/>
        </w:rPr>
        <w:t xml:space="preserve">measurable</w:t>
      </w:r>
      <w:r>
        <w:t xml:space="preserve"> </w:t>
      </w:r>
      <w:r>
        <w:t xml:space="preserve">(preferences across attribute levels can be assessed without excessive time, money, or effort)</w:t>
      </w:r>
      <w:r>
        <w:t xml:space="preserve"> </w:t>
      </w:r>
      <w:r>
        <w:rPr>
          <w:vertAlign w:val="superscript"/>
        </w:rPr>
        <w:t xml:space="preserve">38</w:t>
      </w:r>
      <w:r>
        <w:t xml:space="preserve">. These tests map directly onto the five desirable properties of the value tree—completeness, operationality, decomposability, nonredundancy, and minimum size—that the original framework recommends checking after construction.</w:t>
      </w:r>
    </w:p>
    <w:p>
      <w:pPr>
        <w:pStyle w:val="BodyText"/>
      </w:pPr>
      <w:r>
        <w:t xml:space="preserve">A digital Attribute Definition Engine can automate much of this validation.</w:t>
      </w:r>
      <w:r>
        <w:t xml:space="preserve"> </w:t>
      </w:r>
      <w:r>
        <w:rPr>
          <w:iCs/>
          <w:i/>
        </w:rPr>
        <w:t xml:space="preserve">Completeness</w:t>
      </w:r>
      <w:r>
        <w:t xml:space="preserve"> </w:t>
      </w:r>
      <w:r>
        <w:t xml:space="preserve">can be verified by checking that every leaf node in the value tree has an associated attribute and that no orphan objectives exist.</w:t>
      </w:r>
      <w:r>
        <w:t xml:space="preserve"> </w:t>
      </w:r>
      <w:r>
        <w:rPr>
          <w:iCs/>
          <w:i/>
        </w:rPr>
        <w:t xml:space="preserve">Operationality</w:t>
      </w:r>
      <w:r>
        <w:t xml:space="preserve"> </w:t>
      </w:r>
      <w:r>
        <w:t xml:space="preserve">is enforced by the rubric builder’s requirement for verbal anchors on constructed scales.</w:t>
      </w:r>
      <w:r>
        <w:t xml:space="preserve"> </w:t>
      </w:r>
      <w:r>
        <w:rPr>
          <w:iCs/>
          <w:i/>
        </w:rPr>
        <w:t xml:space="preserve">Decomposability</w:t>
      </w:r>
      <w:r>
        <w:t xml:space="preserve"> </w:t>
      </w:r>
      <w:r>
        <w:t xml:space="preserve">can be assessed through algorithmic checks for preferential independence—flagging attributes whose correlation exceeds a configurable threshold, since highly correlated attributes may violate the independence assumption underlying additive value models</w:t>
      </w:r>
      <w:r>
        <w:t xml:space="preserve"> </w:t>
      </w:r>
      <w:r>
        <w:rPr>
          <w:vertAlign w:val="superscript"/>
        </w:rPr>
        <w:t xml:space="preserve">44</w:t>
      </w:r>
      <w:r>
        <w:t xml:space="preserve">.</w:t>
      </w:r>
      <w:r>
        <w:t xml:space="preserve"> </w:t>
      </w:r>
      <w:r>
        <w:rPr>
          <w:iCs/>
          <w:i/>
        </w:rPr>
        <w:t xml:space="preserve">Nonredundancy</w:t>
      </w:r>
      <w:r>
        <w:t xml:space="preserve"> </w:t>
      </w:r>
      <w:r>
        <w:t xml:space="preserve">is checked by detecting duplicate or near-duplicate attribute definitions through natural-language similarity analysis.</w:t>
      </w:r>
      <w:r>
        <w:t xml:space="preserve"> </w:t>
      </w:r>
      <w:r>
        <w:rPr>
          <w:iCs/>
          <w:i/>
        </w:rPr>
        <w:t xml:space="preserve">Minimum size</w:t>
      </w:r>
      <w:r>
        <w:t xml:space="preserve"> </w:t>
      </w:r>
      <w:r>
        <w:t xml:space="preserve">is addressed through a pruning suggestion engine that identifies attributes with near-zero variance across alternatives (i.e., they do not discriminate) and recommends consolidation or removal.</w:t>
      </w:r>
    </w:p>
    <w:p>
      <w:pPr>
        <w:pStyle w:val="BodyText"/>
      </w:pPr>
      <w:r>
        <w:t xml:space="preserve">Table 1 summarises the mapping from manual VTA attribute management to its digital SaaS equivalent.</w:t>
      </w:r>
    </w:p>
    <w:p>
      <w:pPr>
        <w:pStyle w:val="BodyText"/>
      </w:pPr>
      <w:r>
        <w:rPr>
          <w:bCs/>
          <w:b/>
        </w:rPr>
        <w:t xml:space="preserve">Table 1: Attribute Type Mapping — Manual VTA (2002) to Digital SaaS Workflow</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VTA Attribute Type</w:t>
            </w:r>
          </w:p>
        </w:tc>
        <w:tc>
          <w:tcPr/>
          <w:p>
            <w:pPr>
              <w:pStyle w:val="Compact"/>
              <w:jc w:val="left"/>
            </w:pPr>
            <w:r>
              <w:t xml:space="preserve">2002 Manual Practice</w:t>
            </w:r>
          </w:p>
        </w:tc>
        <w:tc>
          <w:tcPr/>
          <w:p>
            <w:pPr>
              <w:pStyle w:val="Compact"/>
              <w:jc w:val="left"/>
            </w:pPr>
            <w:r>
              <w:t xml:space="preserve">Digital SaaS Capability</w:t>
            </w:r>
          </w:p>
        </w:tc>
        <w:tc>
          <w:tcPr/>
          <w:p>
            <w:pPr>
              <w:pStyle w:val="Compact"/>
              <w:jc w:val="left"/>
            </w:pPr>
            <w:r>
              <w:t xml:space="preserve">Enabling Technology</w:t>
            </w:r>
          </w:p>
        </w:tc>
      </w:tr>
      <w:tr>
        <w:tc>
          <w:tcPr/>
          <w:p>
            <w:pPr>
              <w:pStyle w:val="Compact"/>
              <w:jc w:val="left"/>
            </w:pPr>
            <w:r>
              <w:rPr>
                <w:bCs/>
                <w:b/>
              </w:rPr>
              <w:t xml:space="preserve">Natural</w:t>
            </w:r>
          </w:p>
        </w:tc>
        <w:tc>
          <w:tcPr/>
          <w:p>
            <w:pPr>
              <w:pStyle w:val="Compact"/>
              <w:jc w:val="left"/>
            </w:pPr>
            <w:r>
              <w:t xml:space="preserve">Hand-copy values from reports; static, error-prone</w:t>
            </w:r>
          </w:p>
        </w:tc>
        <w:tc>
          <w:tcPr/>
          <w:p>
            <w:pPr>
              <w:pStyle w:val="Compact"/>
              <w:jc w:val="left"/>
            </w:pPr>
            <w:r>
              <w:t xml:space="preserve">API-synced ingestion from ERP, CRM, HRIS, BI; live refresh</w:t>
            </w:r>
          </w:p>
        </w:tc>
        <w:tc>
          <w:tcPr/>
          <w:p>
            <w:pPr>
              <w:pStyle w:val="Compact"/>
              <w:jc w:val="left"/>
            </w:pPr>
            <w:r>
              <w:t xml:space="preserve">REST/OAuth connectors, webhook pipelines, data-mapping UI</w:t>
            </w:r>
            <w:r>
              <w:t xml:space="preserve"> </w:t>
            </w:r>
            <w:r>
              <w:rPr>
                <w:vertAlign w:val="superscript"/>
              </w:rPr>
              <w:t xml:space="preserve">6</w:t>
            </w:r>
          </w:p>
        </w:tc>
      </w:tr>
      <w:tr>
        <w:tc>
          <w:tcPr/>
          <w:p>
            <w:pPr>
              <w:pStyle w:val="Compact"/>
              <w:jc w:val="left"/>
            </w:pPr>
            <w:r>
              <w:rPr>
                <w:bCs/>
                <w:b/>
              </w:rPr>
              <w:t xml:space="preserve">Constructed</w:t>
            </w:r>
          </w:p>
        </w:tc>
        <w:tc>
          <w:tcPr/>
          <w:p>
            <w:pPr>
              <w:pStyle w:val="Compact"/>
              <w:jc w:val="left"/>
            </w:pPr>
            <w:r>
              <w:t xml:space="preserve">Facilitator-led scale invention; verbal anchoring in workshop notes</w:t>
            </w:r>
          </w:p>
        </w:tc>
        <w:tc>
          <w:tcPr/>
          <w:p>
            <w:pPr>
              <w:pStyle w:val="Compact"/>
              <w:jc w:val="left"/>
            </w:pPr>
            <w:r>
              <w:t xml:space="preserve">Guided rubric builder with scale templates (0–5, Likert, custom), descriptor anchoring, auto-fail thresholds</w:t>
            </w:r>
          </w:p>
        </w:tc>
        <w:tc>
          <w:tcPr/>
          <w:p>
            <w:pPr>
              <w:pStyle w:val="Compact"/>
              <w:jc w:val="left"/>
            </w:pPr>
            <w:r>
              <w:t xml:space="preserve">Interactive grid UI, NLP descriptor suggestion, reusable template library</w:t>
            </w:r>
            <w:r>
              <w:t xml:space="preserve"> </w:t>
            </w:r>
            <w:r>
              <w:rPr>
                <w:vertAlign w:val="superscript"/>
              </w:rPr>
              <w:t xml:space="preserve">40</w:t>
            </w:r>
            <w:r>
              <w:t xml:space="preserve"> </w:t>
            </w:r>
            <w:r>
              <w:rPr>
                <w:vertAlign w:val="superscript"/>
              </w:rPr>
              <w:t xml:space="preserve">41</w:t>
            </w:r>
          </w:p>
        </w:tc>
      </w:tr>
      <w:tr>
        <w:tc>
          <w:tcPr/>
          <w:p>
            <w:pPr>
              <w:pStyle w:val="Compact"/>
              <w:jc w:val="left"/>
            </w:pPr>
            <w:r>
              <w:rPr>
                <w:bCs/>
                <w:b/>
              </w:rPr>
              <w:t xml:space="preserve">Proxy</w:t>
            </w:r>
          </w:p>
        </w:tc>
        <w:tc>
          <w:tcPr/>
          <w:p>
            <w:pPr>
              <w:pStyle w:val="Compact"/>
              <w:jc w:val="left"/>
            </w:pPr>
            <w:r>
              <w:t xml:space="preserve">Analyst intuition; literature review for indirect indicators</w:t>
            </w:r>
          </w:p>
        </w:tc>
        <w:tc>
          <w:tcPr/>
          <w:p>
            <w:pPr>
              <w:pStyle w:val="Compact"/>
              <w:jc w:val="left"/>
            </w:pPr>
            <w:r>
              <w:t xml:space="preserve">AI-suggested proxy metrics with relevance scores, source citations, and confidence ratings</w:t>
            </w:r>
          </w:p>
        </w:tc>
        <w:tc>
          <w:tcPr/>
          <w:p>
            <w:pPr>
              <w:pStyle w:val="Compact"/>
              <w:jc w:val="left"/>
            </w:pPr>
            <w:r>
              <w:t xml:space="preserve">NLP/LLM inference over curated knowledge base, confidence scoring</w:t>
            </w:r>
            <w:r>
              <w:t xml:space="preserve"> </w:t>
            </w:r>
            <w:r>
              <w:rPr>
                <w:vertAlign w:val="superscript"/>
              </w:rPr>
              <w:t xml:space="preserve">42</w:t>
            </w:r>
            <w:r>
              <w:t xml:space="preserve"> </w:t>
            </w:r>
            <w:r>
              <w:rPr>
                <w:vertAlign w:val="superscript"/>
              </w:rPr>
              <w:t xml:space="preserve">43</w:t>
            </w:r>
          </w:p>
        </w:tc>
      </w:tr>
      <w:tr>
        <w:tc>
          <w:tcPr/>
          <w:p>
            <w:pPr>
              <w:pStyle w:val="Compact"/>
              <w:jc w:val="left"/>
            </w:pPr>
            <w:r>
              <w:rPr>
                <w:bCs/>
                <w:b/>
              </w:rPr>
              <w:t xml:space="preserve">Quality validation</w:t>
            </w:r>
          </w:p>
        </w:tc>
        <w:tc>
          <w:tcPr/>
          <w:p>
            <w:pPr>
              <w:pStyle w:val="Compact"/>
              <w:jc w:val="left"/>
            </w:pPr>
            <w:r>
              <w:t xml:space="preserve">Manual checklist against 5 desirable properties; expert review</w:t>
            </w:r>
          </w:p>
        </w:tc>
        <w:tc>
          <w:tcPr/>
          <w:p>
            <w:pPr>
              <w:pStyle w:val="Compact"/>
              <w:jc w:val="left"/>
            </w:pPr>
            <w:r>
              <w:t xml:space="preserve">Automated completeness, redundancy, correlation, and variance checks with pruning recommendations</w:t>
            </w:r>
          </w:p>
        </w:tc>
        <w:tc>
          <w:tcPr/>
          <w:p>
            <w:pPr>
              <w:pStyle w:val="Compact"/>
              <w:jc w:val="left"/>
            </w:pPr>
            <w:r>
              <w:t xml:space="preserve">Graph traversal (orphan detection), embedding similarity (redundancy), statistical correlation (independence), variance analysis (minimum size)</w:t>
            </w:r>
          </w:p>
        </w:tc>
      </w:tr>
    </w:tbl>
    <w:p>
      <w:pPr>
        <w:pStyle w:val="BodyText"/>
      </w:pPr>
      <w:r>
        <w:t xml:space="preserve">The significance of this digital translation is methodological fidelity at scale. In 2002, ensuring that a value tree satisfied all five desirable properties required hours of expert review. In a SaaS implementation, the platform enforces these constraints in real time, flagging violations as the user builds the tree and suggesting corrections before the performance matrix is populated. This shifts quality assurance from a retrospective audit to a continuous, embedded process.</w:t>
      </w:r>
    </w:p>
    <w:bookmarkEnd w:id="56"/>
    <w:bookmarkEnd w:id="57"/>
    <w:bookmarkStart w:id="65" w:name="performance-matrix"/>
    <w:p>
      <w:pPr>
        <w:pStyle w:val="Heading3"/>
      </w:pPr>
      <w:r>
        <w:t xml:space="preserve">3.2 Performance Matrix</w:t>
      </w:r>
    </w:p>
    <w:p>
      <w:pPr>
        <w:pStyle w:val="FirstParagraph"/>
      </w:pPr>
      <w:r>
        <w:t xml:space="preserve">Once attributes are defined, the next step is to record how each alternative performs on each attribute. The 2002 document calls this the</w:t>
      </w:r>
      <w:r>
        <w:t xml:space="preserve"> </w:t>
      </w:r>
      <w:r>
        <w:rPr>
          <w:iCs/>
          <w:i/>
        </w:rPr>
        <w:t xml:space="preserve">performance matrix</w:t>
      </w:r>
      <w:r>
        <w:t xml:space="preserve"> </w:t>
      </w:r>
      <w:r>
        <w:t xml:space="preserve">(also referred to as the consequence matrix): a table in which alternatives are rows, attributes are columns, and cell entries are the measured consequences</w:t>
      </w:r>
      <w:r>
        <w:t xml:space="preserve"> </w:t>
      </w:r>
      <w:r>
        <w:rPr>
          <w:vertAlign w:val="superscript"/>
        </w:rPr>
        <w:t xml:space="preserve">38</w:t>
      </w:r>
      <w:r>
        <w:t xml:space="preserve">. In the Web-HIPRE screenshot reproduced in the original text, this matrix is a static grid; in a modern SaaS platform, it becomes a living, multi-user, multi-source analytical surface.</w:t>
      </w:r>
    </w:p>
    <w:bookmarkStart w:id="58" w:name="X25e13f9851b8879a3d1a6c6933ecfe5cd843e5d"/>
    <w:p>
      <w:pPr>
        <w:pStyle w:val="Heading4"/>
      </w:pPr>
      <w:r>
        <w:t xml:space="preserve">3.2.1 Interactive Consequence Matrix: Alternatives as Rows, Attributes as Columns, Live-Editable Cells</w:t>
      </w:r>
    </w:p>
    <w:p>
      <w:pPr>
        <w:pStyle w:val="FirstParagraph"/>
      </w:pPr>
      <w:r>
        <w:t xml:space="preserve">The basic visual pattern is proven across multiple software categories. Procurement platforms Bonfire and Responsive (formerly RFP360) display vendor scorecards as interactive grids where evaluators enter scores cell-by-cell, with role-based filtering so each reviewer sees only the criteria assigned to them</w:t>
      </w:r>
      <w:r>
        <w:t xml:space="preserve"> </w:t>
      </w:r>
      <w:r>
        <w:rPr>
          <w:vertAlign w:val="superscript"/>
        </w:rPr>
        <w:t xml:space="preserve">45</w:t>
      </w:r>
      <w:r>
        <w:t xml:space="preserve"> </w:t>
      </w:r>
      <w:r>
        <w:rPr>
          <w:vertAlign w:val="superscript"/>
        </w:rPr>
        <w:t xml:space="preserve">46</w:t>
      </w:r>
      <w:r>
        <w:t xml:space="preserve">. Decision-matrix tools such as Decision Matrix Pro and Creately support real-time collaborative editing, comment threads per cell, permission controls, and version history</w:t>
      </w:r>
      <w:r>
        <w:t xml:space="preserve"> </w:t>
      </w:r>
      <w:r>
        <w:rPr>
          <w:vertAlign w:val="superscript"/>
        </w:rPr>
        <w:t xml:space="preserve">47</w:t>
      </w:r>
      <w:r>
        <w:t xml:space="preserve">. The MCDA community confirms that the performance matrix remains</w:t>
      </w:r>
      <w:r>
        <w:t xml:space="preserve"> </w:t>
      </w:r>
      <w:r>
        <w:t xml:space="preserve">“</w:t>
      </w:r>
      <w:r>
        <w:t xml:space="preserve">the most basic alternative approach</w:t>
      </w:r>
      <w:r>
        <w:t xml:space="preserve">”</w:t>
      </w:r>
      <w:r>
        <w:t xml:space="preserve"> </w:t>
      </w:r>
      <w:r>
        <w:t xml:space="preserve">in multi-criteria analysis: each alternative as a row, each criterion as a column, performance scores typically normalised to 0–100 or expressed as discrete levels</w:t>
      </w:r>
      <w:r>
        <w:t xml:space="preserve"> </w:t>
      </w:r>
      <w:r>
        <w:rPr>
          <w:vertAlign w:val="superscript"/>
        </w:rPr>
        <w:t xml:space="preserve">48</w:t>
      </w:r>
      <w:r>
        <w:t xml:space="preserve">.</w:t>
      </w:r>
    </w:p>
    <w:p>
      <w:pPr>
        <w:pStyle w:val="BodyText"/>
      </w:pPr>
      <w:r>
        <w:t xml:space="preserve">For a VTA SaaS platform, the performance matrix should adopt the</w:t>
      </w:r>
      <w:r>
        <w:t xml:space="preserve"> </w:t>
      </w:r>
      <w:r>
        <w:t xml:space="preserve">“</w:t>
      </w:r>
      <w:r>
        <w:t xml:space="preserve">tree-first</w:t>
      </w:r>
      <w:r>
        <w:t xml:space="preserve">”</w:t>
      </w:r>
      <w:r>
        <w:t xml:space="preserve"> </w:t>
      </w:r>
      <w:r>
        <w:t xml:space="preserve">UX pattern described in Chapter 2. When a user selects a leaf-level attribute from the value tree, the matrix view expands to show all alternatives scored on that attribute. Selecting an alternative row reveals its full consequence profile across all attributes. Cells are live-editable: clicking a cell opens the appropriate input mode—numeric keypad for natural attributes, rubric selector for constructed attributes, or AI-suggested proxy picker for proxy attributes. Changes propagate immediately to the aggregated value score, which updates in real time.</w:t>
      </w:r>
    </w:p>
    <w:bookmarkEnd w:id="58"/>
    <w:bookmarkStart w:id="59" w:name="Xbe48f1918765d3735c405a1e8eb43ae78e4e683"/>
    <w:p>
      <w:pPr>
        <w:pStyle w:val="Heading4"/>
      </w:pPr>
      <w:r>
        <w:t xml:space="preserve">3.2.2 Multi-Source Data Ingestion: Spreadsheet Upload, API Sync, Manual Entry, AI-Assisted Population</w:t>
      </w:r>
    </w:p>
    <w:p>
      <w:pPr>
        <w:pStyle w:val="FirstParagraph"/>
      </w:pPr>
      <w:r>
        <w:t xml:space="preserve">Performance-matrix population need not be a monolithic data-entry task. Modern platforms support four ingestion modes operating in parallel.</w:t>
      </w:r>
      <w:r>
        <w:t xml:space="preserve"> </w:t>
      </w:r>
      <w:r>
        <w:rPr>
          <w:iCs/>
          <w:i/>
        </w:rPr>
        <w:t xml:space="preserve">Spreadsheet upload</w:t>
      </w:r>
      <w:r>
        <w:t xml:space="preserve"> </w:t>
      </w:r>
      <w:r>
        <w:t xml:space="preserve">remains the most common migration path: procurement teams routinely import vendor evaluation data from Excel into Bonfire or Jaggaer. Responsive provides built-in algorithms that score individual questions from uploaded RFP responses, producing heat-map visualisations of question-by-question matches</w:t>
      </w:r>
      <w:r>
        <w:t xml:space="preserve"> </w:t>
      </w:r>
      <w:r>
        <w:rPr>
          <w:vertAlign w:val="superscript"/>
        </w:rPr>
        <w:t xml:space="preserve">46</w:t>
      </w:r>
      <w:r>
        <w:t xml:space="preserve">.</w:t>
      </w:r>
      <w:r>
        <w:t xml:space="preserve"> </w:t>
      </w:r>
      <w:r>
        <w:rPr>
          <w:iCs/>
          <w:i/>
        </w:rPr>
        <w:t xml:space="preserve">API sync</w:t>
      </w:r>
      <w:r>
        <w:t xml:space="preserve"> </w:t>
      </w:r>
      <w:r>
        <w:t xml:space="preserve">continuously refreshes natural-attribute columns from connected enterprise systems, as described in Section 3.1.1.</w:t>
      </w:r>
      <w:r>
        <w:t xml:space="preserve"> </w:t>
      </w:r>
      <w:r>
        <w:rPr>
          <w:iCs/>
          <w:i/>
        </w:rPr>
        <w:t xml:space="preserve">Manual entry</w:t>
      </w:r>
      <w:r>
        <w:t xml:space="preserve"> </w:t>
      </w:r>
      <w:r>
        <w:t xml:space="preserve">is reserved for constructed attributes requiring human judgment.</w:t>
      </w:r>
      <w:r>
        <w:t xml:space="preserve"> </w:t>
      </w:r>
      <w:r>
        <w:rPr>
          <w:iCs/>
          <w:i/>
        </w:rPr>
        <w:t xml:space="preserve">AI-assisted population</w:t>
      </w:r>
      <w:r>
        <w:t xml:space="preserve"> </w:t>
      </w:r>
      <w:r>
        <w:t xml:space="preserve">represents the frontier: SpecLens reduces specification-comparison time from eight hours to under twenty minutes by automatically extracting vendor attributes from unstructured documents with 99% extraction accuracy</w:t>
      </w:r>
      <w:r>
        <w:t xml:space="preserve"> </w:t>
      </w:r>
      <w:r>
        <w:rPr>
          <w:vertAlign w:val="superscript"/>
        </w:rPr>
        <w:t xml:space="preserve">42</w:t>
      </w:r>
      <w:r>
        <w:t xml:space="preserve">.</w:t>
      </w:r>
    </w:p>
    <w:p>
      <w:pPr>
        <w:pStyle w:val="BodyText"/>
      </w:pPr>
      <w:r>
        <w:t xml:space="preserve">The architectural implication is a pluggable ingestion framework where each cell in the matrix has a</w:t>
      </w:r>
      <w:r>
        <w:t xml:space="preserve"> </w:t>
      </w:r>
      <w:r>
        <w:rPr>
          <w:iCs/>
          <w:i/>
        </w:rPr>
        <w:t xml:space="preserve">source tag</w:t>
      </w:r>
      <w:r>
        <w:t xml:space="preserve"> </w:t>
      </w:r>
      <w:r>
        <w:t xml:space="preserve">(upload, API, manual, AI) and a</w:t>
      </w:r>
      <w:r>
        <w:t xml:space="preserve"> </w:t>
      </w:r>
      <w:r>
        <w:rPr>
          <w:iCs/>
          <w:i/>
        </w:rPr>
        <w:t xml:space="preserve">confidence score</w:t>
      </w:r>
      <w:r>
        <w:t xml:space="preserve">. A user can audit any cell to see where its value originated, when it was last updated, and how reliable the platform judges it to be.</w:t>
      </w:r>
    </w:p>
    <w:bookmarkEnd w:id="59"/>
    <w:bookmarkStart w:id="60" w:name="Xed563124137153cc2dcec646ec50b720a22b5af"/>
    <w:p>
      <w:pPr>
        <w:pStyle w:val="Heading4"/>
      </w:pPr>
      <w:r>
        <w:t xml:space="preserve">3.2.3 Real-Time Validation: Range Checking, Consistency Alerts, Missing Data Highlighting</w:t>
      </w:r>
    </w:p>
    <w:p>
      <w:pPr>
        <w:pStyle w:val="FirstParagraph"/>
      </w:pPr>
      <w:r>
        <w:t xml:space="preserve">Data quality degrades rapidly in multi-scorer environments unless the platform enforces constraints at the point of entry. The 2002 VTA document acknowledges that human assessors give</w:t>
      </w:r>
      <w:r>
        <w:t xml:space="preserve"> </w:t>
      </w:r>
      <w:r>
        <w:t xml:space="preserve">“</w:t>
      </w:r>
      <w:r>
        <w:t xml:space="preserve">conflicting statements about preferences</w:t>
      </w:r>
      <w:r>
        <w:t xml:space="preserve">”</w:t>
      </w:r>
      <w:r>
        <w:t xml:space="preserve"> </w:t>
      </w:r>
      <w:r>
        <w:t xml:space="preserve">and recommends iterative consistency checking</w:t>
      </w:r>
      <w:r>
        <w:t xml:space="preserve"> </w:t>
      </w:r>
      <w:r>
        <w:rPr>
          <w:vertAlign w:val="superscript"/>
        </w:rPr>
        <w:t xml:space="preserve">38</w:t>
      </w:r>
      <w:r>
        <w:t xml:space="preserve">. Digital platforms scale this through automated validation.</w:t>
      </w:r>
    </w:p>
    <w:p>
      <w:pPr>
        <w:pStyle w:val="BodyText"/>
      </w:pPr>
      <w:r>
        <w:t xml:space="preserve">Range checking ensures entered scores fall within the defined scale; a score of 6 on a 0–5 rubric is rejected with an explanatory tooltip. Consistency alerts flag anomalous patterns: if one evaluator rates Vendor A</w:t>
      </w:r>
      <w:r>
        <w:t xml:space="preserve"> </w:t>
      </w:r>
      <w:r>
        <w:t xml:space="preserve">“</w:t>
      </w:r>
      <w:r>
        <w:t xml:space="preserve">excellent</w:t>
      </w:r>
      <w:r>
        <w:t xml:space="preserve">”</w:t>
      </w:r>
      <w:r>
        <w:t xml:space="preserve"> </w:t>
      </w:r>
      <w:r>
        <w:t xml:space="preserve">on</w:t>
      </w:r>
      <w:r>
        <w:t xml:space="preserve"> </w:t>
      </w:r>
      <w:r>
        <w:t xml:space="preserve">“</w:t>
      </w:r>
      <w:r>
        <w:t xml:space="preserve">technical capability</w:t>
      </w:r>
      <w:r>
        <w:t xml:space="preserve">”</w:t>
      </w:r>
      <w:r>
        <w:t xml:space="preserve"> </w:t>
      </w:r>
      <w:r>
        <w:t xml:space="preserve">while all other evaluators rate it</w:t>
      </w:r>
      <w:r>
        <w:t xml:space="preserve"> </w:t>
      </w:r>
      <w:r>
        <w:t xml:space="preserve">“</w:t>
      </w:r>
      <w:r>
        <w:t xml:space="preserve">poor,</w:t>
      </w:r>
      <w:r>
        <w:t xml:space="preserve">”</w:t>
      </w:r>
      <w:r>
        <w:t xml:space="preserve"> </w:t>
      </w:r>
      <w:r>
        <w:t xml:space="preserve">the platform highlights the discrepancy and prompts for a written justification</w:t>
      </w:r>
      <w:r>
        <w:t xml:space="preserve"> </w:t>
      </w:r>
      <w:r>
        <w:rPr>
          <w:vertAlign w:val="superscript"/>
        </w:rPr>
        <w:t xml:space="preserve">49</w:t>
      </w:r>
      <w:r>
        <w:t xml:space="preserve">. Missing-data highlighting uses visual cues—shaded cells, warning icons, or conditional formatting—to draw attention to empty cells before aggregation is attempted</w:t>
      </w:r>
      <w:r>
        <w:t xml:space="preserve"> </w:t>
      </w:r>
      <w:r>
        <w:rPr>
          <w:vertAlign w:val="superscript"/>
        </w:rPr>
        <w:t xml:space="preserve">7</w:t>
      </w:r>
      <w:r>
        <w:t xml:space="preserve">. Responsive’s</w:t>
      </w:r>
      <w:r>
        <w:t xml:space="preserve"> </w:t>
      </w:r>
      <w:r>
        <w:t xml:space="preserve">“</w:t>
      </w:r>
      <w:r>
        <w:t xml:space="preserve">heat map</w:t>
      </w:r>
      <w:r>
        <w:t xml:space="preserve">”</w:t>
      </w:r>
      <w:r>
        <w:t xml:space="preserve"> </w:t>
      </w:r>
      <w:r>
        <w:t xml:space="preserve">visualisation extends this concept by colour-coding entire scorecard sections based on score density, making gaps immediately visible</w:t>
      </w:r>
      <w:r>
        <w:t xml:space="preserve"> </w:t>
      </w:r>
      <w:r>
        <w:rPr>
          <w:vertAlign w:val="superscript"/>
        </w:rPr>
        <w:t xml:space="preserve">46</w:t>
      </w:r>
      <w:r>
        <w:t xml:space="preserve">.</w:t>
      </w:r>
    </w:p>
    <w:p>
      <w:pPr>
        <w:pStyle w:val="BodyText"/>
      </w:pPr>
      <w:r>
        <w:t xml:space="preserve">In the VTA SaaS context, these validations are particularly critical because downstream sensitivity analysis and dominance checks depend on a complete, consistent matrix. A cell left empty or entered inconsistently can flip a dominance conclusion, producing an unreliable recommendation.</w:t>
      </w:r>
    </w:p>
    <w:bookmarkEnd w:id="60"/>
    <w:bookmarkStart w:id="64" w:name="X4b818f3c9c137ee2292d945d59c6366df5ae5f9"/>
    <w:p>
      <w:pPr>
        <w:pStyle w:val="Heading4"/>
      </w:pPr>
      <w:r>
        <w:t xml:space="preserve">3.2.4 Score Normalization: Automatic Scaling to [0,1] with Strategic Equivalence Preservation</w:t>
      </w:r>
    </w:p>
    <w:p>
      <w:pPr>
        <w:pStyle w:val="FirstParagraph"/>
      </w:pPr>
      <w:r>
        <w:t xml:space="preserve">Different attributes inevitably arrive on different scales: salary in thousands of euros, satisfaction on a 1–5 Likert scale, latency in milliseconds. The 2002 VTA framework resolves this through</w:t>
      </w:r>
      <w:r>
        <w:t xml:space="preserve"> </w:t>
      </w:r>
      <w:r>
        <w:rPr>
          <w:iCs/>
          <w:i/>
        </w:rPr>
        <w:t xml:space="preserve">strategic equivalence</w:t>
      </w:r>
      <w:r>
        <w:t xml:space="preserve">: two value functions are strategically equivalent if they induce the same preference ordering, which means any positive affine transformation—scaling and shifting—preserves the decision logic. Formally, if</w:t>
      </w:r>
      <w:r>
        <w:t xml:space="preserve"> </w:t>
      </w:r>
      <m:oMath>
        <m:r>
          <m:t>v</m:t>
        </m:r>
      </m:oMath>
      <w:r>
        <w:t xml:space="preserve"> </w:t>
      </w:r>
      <w:r>
        <w:t xml:space="preserve">is a value function, then</w:t>
      </w:r>
      <w:r>
        <w:t xml:space="preserve"> </w:t>
      </w:r>
      <m:oMath>
        <m:r>
          <m:t>v</m:t>
        </m:r>
        <m:r>
          <m:rPr>
            <m:sty m:val="p"/>
          </m:rPr>
          <m:t>′</m:t>
        </m:r>
        <m:r>
          <m:rPr>
            <m:sty m:val="p"/>
          </m:rPr>
          <m:t>=</m:t>
        </m:r>
        <m:r>
          <m:t>α</m:t>
        </m:r>
        <m:r>
          <m:t>v</m:t>
        </m:r>
        <m:r>
          <m:rPr>
            <m:sty m:val="p"/>
          </m:rPr>
          <m:t>+</m:t>
        </m:r>
        <m:r>
          <m:t>β</m:t>
        </m:r>
      </m:oMath>
      <w:r>
        <w:t xml:space="preserve"> </w:t>
      </w:r>
      <w:r>
        <w:t xml:space="preserve">(where</w:t>
      </w:r>
      <w:r>
        <w:t xml:space="preserve"> </w:t>
      </w:r>
      <m:oMath>
        <m:r>
          <m:t>α</m:t>
        </m:r>
        <m:r>
          <m:rPr>
            <m:sty m:val="p"/>
          </m:rPr>
          <m:t>&gt;</m:t>
        </m:r>
        <m:r>
          <m:t>0</m:t>
        </m:r>
      </m:oMath>
      <w:r>
        <w:t xml:space="preserve">) is strategically equivalent to</w:t>
      </w:r>
      <w:r>
        <w:t xml:space="preserve"> </w:t>
      </w:r>
      <m:oMath>
        <m:r>
          <m:t>v</m:t>
        </m:r>
      </m:oMath>
      <w:r>
        <w:t xml:space="preserve"> </w:t>
      </w:r>
      <w:r>
        <w:rPr>
          <w:vertAlign w:val="superscript"/>
        </w:rPr>
        <w:t xml:space="preserve">38</w:t>
      </w:r>
      <w:r>
        <w:t xml:space="preserve">. This mathematical property is what permits automatic normalisation to a common [0,1] interval.</w:t>
      </w:r>
    </w:p>
    <w:p>
      <w:pPr>
        <w:pStyle w:val="BodyText"/>
      </w:pPr>
      <w:r>
        <w:t xml:space="preserve">The digital platform should perform this normalisation transparently. When a natural attribute such as</w:t>
      </w:r>
      <w:r>
        <w:t xml:space="preserve"> </w:t>
      </w:r>
      <w:r>
        <w:t xml:space="preserve">“</w:t>
      </w:r>
      <w:r>
        <w:t xml:space="preserve">salary</w:t>
      </w:r>
      <w:r>
        <w:t xml:space="preserve">”</w:t>
      </w:r>
      <w:r>
        <w:t xml:space="preserve"> </w:t>
      </w:r>
      <w:r>
        <w:t xml:space="preserve">ranges from €2,000 to €4,000 across alternatives, the platform maps the worst level to 0 and the best to 1, interpolating intermediate values linearly (or according to the elicited single-attribute value function, if non-linear). Constructed attributes on 0–5 scales are divided by 5. The normalised matrix is displayed alongside the raw-values view, with a toggle control allowing users to switch between them.</w:t>
      </w:r>
    </w:p>
    <w:p>
      <w:pPr>
        <w:pStyle w:val="BodyText"/>
      </w:pPr>
      <w:r>
        <w:t xml:space="preserve">Strategic equivalence also matters when value functions are non-linear. The job-selection example in the 2002 document shows that a person’s preference for salary may exhibit diminishing returns: the difference between €1,500 and €2,000 may feel larger than the difference between €3,500 and €4,000, even though the absolute increment is identical. A digital platform should support direct assessment of the value-function form (linear, logarithmic, S-curve) through an interactive curve editor, with the fitted function then applied during normalisation</w:t>
      </w:r>
      <w:r>
        <w:t xml:space="preserve"> </w:t>
      </w:r>
      <w:r>
        <w:rPr>
          <w:vertAlign w:val="superscript"/>
        </w:rPr>
        <w:t xml:space="preserve">38</w:t>
      </w:r>
      <w:r>
        <w:t xml:space="preserve">. This preserves the richness of preference data that would be lost by naïve linear scaling.</w:t>
      </w:r>
    </w:p>
    <w:p>
      <w:pPr>
        <w:pStyle w:val="BodyText"/>
      </w:pPr>
      <w:r>
        <w:rPr>
          <w:bCs/>
          <w:b/>
        </w:rPr>
        <w:t xml:space="preserve">Table 2: Performance Matrix Feature Comparison — Legacy Desktop VTA (2002) vs. Cloud-Native SaaS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 Dimension</w:t>
            </w:r>
          </w:p>
        </w:tc>
        <w:tc>
          <w:tcPr/>
          <w:p>
            <w:pPr>
              <w:pStyle w:val="Compact"/>
              <w:jc w:val="left"/>
            </w:pPr>
            <w:r>
              <w:t xml:space="preserve">Legacy Desktop VTA (Web-HIPRE Era)</w:t>
            </w:r>
          </w:p>
        </w:tc>
        <w:tc>
          <w:tcPr/>
          <w:p>
            <w:pPr>
              <w:pStyle w:val="Compact"/>
              <w:jc w:val="left"/>
            </w:pPr>
            <w:r>
              <w:t xml:space="preserve">Cloud-Native SaaS Platform</w:t>
            </w:r>
          </w:p>
        </w:tc>
        <w:tc>
          <w:tcPr/>
          <w:p>
            <w:pPr>
              <w:pStyle w:val="Compact"/>
              <w:jc w:val="left"/>
            </w:pPr>
            <w:r>
              <w:t xml:space="preserve">Impact on Decision Velocity</w:t>
            </w:r>
          </w:p>
        </w:tc>
      </w:tr>
      <w:tr>
        <w:tc>
          <w:tcPr/>
          <w:p>
            <w:pPr>
              <w:pStyle w:val="Compact"/>
              <w:jc w:val="left"/>
            </w:pPr>
            <w:r>
              <w:rPr>
                <w:bCs/>
                <w:b/>
              </w:rPr>
              <w:t xml:space="preserve">Data ingestion</w:t>
            </w:r>
          </w:p>
        </w:tc>
        <w:tc>
          <w:tcPr/>
          <w:p>
            <w:pPr>
              <w:pStyle w:val="Compact"/>
              <w:jc w:val="left"/>
            </w:pPr>
            <w:r>
              <w:t xml:space="preserve">Manual typing; copy-paste from spreadsheets</w:t>
            </w:r>
          </w:p>
        </w:tc>
        <w:tc>
          <w:tcPr/>
          <w:p>
            <w:pPr>
              <w:pStyle w:val="Compact"/>
              <w:jc w:val="left"/>
            </w:pPr>
            <w:r>
              <w:t xml:space="preserve">Multi-source: spreadsheet upload, API sync, manual entry, AI extraction</w:t>
            </w:r>
            <w:r>
              <w:t xml:space="preserve"> </w:t>
            </w:r>
            <w:r>
              <w:rPr>
                <w:vertAlign w:val="superscript"/>
              </w:rPr>
              <w:t xml:space="preserve">42</w:t>
            </w:r>
            <w:r>
              <w:t xml:space="preserve"> </w:t>
            </w:r>
            <w:r>
              <w:rPr>
                <w:vertAlign w:val="superscript"/>
              </w:rPr>
              <w:t xml:space="preserve">46</w:t>
            </w:r>
          </w:p>
        </w:tc>
        <w:tc>
          <w:tcPr/>
          <w:p>
            <w:pPr>
              <w:pStyle w:val="Compact"/>
              <w:jc w:val="left"/>
            </w:pPr>
            <w:r>
              <w:t xml:space="preserve">Data population time reduced from days to hours</w:t>
            </w:r>
          </w:p>
        </w:tc>
      </w:tr>
      <w:tr>
        <w:tc>
          <w:tcPr/>
          <w:p>
            <w:pPr>
              <w:pStyle w:val="Compact"/>
              <w:jc w:val="left"/>
            </w:pPr>
            <w:r>
              <w:rPr>
                <w:bCs/>
                <w:b/>
              </w:rPr>
              <w:t xml:space="preserve">Collaboration</w:t>
            </w:r>
          </w:p>
        </w:tc>
        <w:tc>
          <w:tcPr/>
          <w:p>
            <w:pPr>
              <w:pStyle w:val="Compact"/>
              <w:jc w:val="left"/>
            </w:pPr>
            <w:r>
              <w:t xml:space="preserve">Single-user files; email for review</w:t>
            </w:r>
          </w:p>
        </w:tc>
        <w:tc>
          <w:tcPr/>
          <w:p>
            <w:pPr>
              <w:pStyle w:val="Compact"/>
              <w:jc w:val="left"/>
            </w:pPr>
            <w:r>
              <w:t xml:space="preserve">Real-time multi-user editing, role-based cell access, comment threads</w:t>
            </w:r>
            <w:r>
              <w:t xml:space="preserve"> </w:t>
            </w:r>
            <w:r>
              <w:rPr>
                <w:vertAlign w:val="superscript"/>
              </w:rPr>
              <w:t xml:space="preserve">47</w:t>
            </w:r>
            <w:r>
              <w:t xml:space="preserve"> </w:t>
            </w:r>
            <w:r>
              <w:rPr>
                <w:vertAlign w:val="superscript"/>
              </w:rPr>
              <w:t xml:space="preserve">45</w:t>
            </w:r>
          </w:p>
        </w:tc>
        <w:tc>
          <w:tcPr/>
          <w:p>
            <w:pPr>
              <w:pStyle w:val="Compact"/>
              <w:jc w:val="left"/>
            </w:pPr>
            <w:r>
              <w:t xml:space="preserve">Parallel evaluation eliminates sequential handoffs</w:t>
            </w:r>
          </w:p>
        </w:tc>
      </w:tr>
      <w:tr>
        <w:tc>
          <w:tcPr/>
          <w:p>
            <w:pPr>
              <w:pStyle w:val="Compact"/>
              <w:jc w:val="left"/>
            </w:pPr>
            <w:r>
              <w:rPr>
                <w:bCs/>
                <w:b/>
              </w:rPr>
              <w:t xml:space="preserve">Visualisation</w:t>
            </w:r>
          </w:p>
        </w:tc>
        <w:tc>
          <w:tcPr/>
          <w:p>
            <w:pPr>
              <w:pStyle w:val="Compact"/>
              <w:jc w:val="left"/>
            </w:pPr>
            <w:r>
              <w:t xml:space="preserve">Static HTML table; no conditional formatting</w:t>
            </w:r>
          </w:p>
        </w:tc>
        <w:tc>
          <w:tcPr/>
          <w:p>
            <w:pPr>
              <w:pStyle w:val="Compact"/>
              <w:jc w:val="left"/>
            </w:pPr>
            <w:r>
              <w:t xml:space="preserve">Interactive grids, heat maps, speedometers, radar charts, metric cards</w:t>
            </w:r>
            <w:r>
              <w:t xml:space="preserve"> </w:t>
            </w:r>
            <w:r>
              <w:rPr>
                <w:vertAlign w:val="superscript"/>
              </w:rPr>
              <w:t xml:space="preserve">46</w:t>
            </w:r>
            <w:r>
              <w:t xml:space="preserve"> </w:t>
            </w:r>
            <w:r>
              <w:rPr>
                <w:vertAlign w:val="superscript"/>
              </w:rPr>
              <w:t xml:space="preserve">7</w:t>
            </w:r>
            <w:r>
              <w:t xml:space="preserve"> </w:t>
            </w:r>
            <w:r>
              <w:rPr>
                <w:vertAlign w:val="superscript"/>
              </w:rPr>
              <w:t xml:space="preserve">50</w:t>
            </w:r>
          </w:p>
        </w:tc>
        <w:tc>
          <w:tcPr/>
          <w:p>
            <w:pPr>
              <w:pStyle w:val="Compact"/>
              <w:jc w:val="left"/>
            </w:pPr>
            <w:r>
              <w:t xml:space="preserve">Pattern detection at a glance; reduced cognitive load</w:t>
            </w:r>
          </w:p>
        </w:tc>
      </w:tr>
      <w:tr>
        <w:tc>
          <w:tcPr/>
          <w:p>
            <w:pPr>
              <w:pStyle w:val="Compact"/>
              <w:jc w:val="left"/>
            </w:pPr>
            <w:r>
              <w:rPr>
                <w:bCs/>
                <w:b/>
              </w:rPr>
              <w:t xml:space="preserve">Validation</w:t>
            </w:r>
          </w:p>
        </w:tc>
        <w:tc>
          <w:tcPr/>
          <w:p>
            <w:pPr>
              <w:pStyle w:val="Compact"/>
              <w:jc w:val="left"/>
            </w:pPr>
            <w:r>
              <w:t xml:space="preserve">Human review after data entry</w:t>
            </w:r>
          </w:p>
        </w:tc>
        <w:tc>
          <w:tcPr/>
          <w:p>
            <w:pPr>
              <w:pStyle w:val="Compact"/>
              <w:jc w:val="left"/>
            </w:pPr>
            <w:r>
              <w:t xml:space="preserve">Real-time range checks, consistency alerts, missing-data highlighting</w:t>
            </w:r>
            <w:r>
              <w:t xml:space="preserve"> </w:t>
            </w:r>
            <w:r>
              <w:rPr>
                <w:vertAlign w:val="superscript"/>
              </w:rPr>
              <w:t xml:space="preserve">49</w:t>
            </w:r>
            <w:r>
              <w:t xml:space="preserve"> </w:t>
            </w:r>
            <w:r>
              <w:rPr>
                <w:vertAlign w:val="superscript"/>
              </w:rPr>
              <w:t xml:space="preserve">7</w:t>
            </w:r>
          </w:p>
        </w:tc>
        <w:tc>
          <w:tcPr/>
          <w:p>
            <w:pPr>
              <w:pStyle w:val="Compact"/>
              <w:jc w:val="left"/>
            </w:pPr>
            <w:r>
              <w:t xml:space="preserve">Errors caught at entry, not during analysis</w:t>
            </w:r>
          </w:p>
        </w:tc>
      </w:tr>
      <w:tr>
        <w:tc>
          <w:tcPr/>
          <w:p>
            <w:pPr>
              <w:pStyle w:val="Compact"/>
              <w:jc w:val="left"/>
            </w:pPr>
            <w:r>
              <w:rPr>
                <w:bCs/>
                <w:b/>
              </w:rPr>
              <w:t xml:space="preserve">Normalisation</w:t>
            </w:r>
          </w:p>
        </w:tc>
        <w:tc>
          <w:tcPr/>
          <w:p>
            <w:pPr>
              <w:pStyle w:val="Compact"/>
              <w:jc w:val="left"/>
            </w:pPr>
            <w:r>
              <w:t xml:space="preserve">Manual calculation; spreadsheet formulas</w:t>
            </w:r>
          </w:p>
        </w:tc>
        <w:tc>
          <w:tcPr/>
          <w:p>
            <w:pPr>
              <w:pStyle w:val="Compact"/>
              <w:jc w:val="left"/>
            </w:pPr>
            <w:r>
              <w:t xml:space="preserve">Automatic scaling to [0,1] with strategic-equivalence preservation; non-linear curve editor</w:t>
            </w:r>
          </w:p>
        </w:tc>
        <w:tc>
          <w:tcPr/>
          <w:p>
            <w:pPr>
              <w:pStyle w:val="Compact"/>
              <w:jc w:val="left"/>
            </w:pPr>
            <w:r>
              <w:t xml:space="preserve">Zero-configuration comparability across heterogeneous scales</w:t>
            </w:r>
          </w:p>
        </w:tc>
      </w:tr>
      <w:tr>
        <w:tc>
          <w:tcPr/>
          <w:p>
            <w:pPr>
              <w:pStyle w:val="Compact"/>
              <w:jc w:val="left"/>
            </w:pPr>
            <w:r>
              <w:rPr>
                <w:bCs/>
                <w:b/>
              </w:rPr>
              <w:t xml:space="preserve">Audit &amp; compliance</w:t>
            </w:r>
          </w:p>
        </w:tc>
        <w:tc>
          <w:tcPr/>
          <w:p>
            <w:pPr>
              <w:pStyle w:val="Compact"/>
              <w:jc w:val="left"/>
            </w:pPr>
            <w:r>
              <w:t xml:space="preserve">Local file versions; no change log</w:t>
            </w:r>
          </w:p>
        </w:tc>
        <w:tc>
          <w:tcPr/>
          <w:p>
            <w:pPr>
              <w:pStyle w:val="Compact"/>
              <w:jc w:val="left"/>
            </w:pPr>
            <w:r>
              <w:t xml:space="preserve">Full version history, cell-level source tags, decision rationale capture</w:t>
            </w:r>
            <w:r>
              <w:t xml:space="preserve"> </w:t>
            </w:r>
            <w:r>
              <w:rPr>
                <w:vertAlign w:val="superscript"/>
              </w:rPr>
              <w:t xml:space="preserve">51</w:t>
            </w:r>
          </w:p>
        </w:tc>
        <w:tc>
          <w:tcPr/>
          <w:p>
            <w:pPr>
              <w:pStyle w:val="Compact"/>
              <w:jc w:val="left"/>
            </w:pPr>
            <w:r>
              <w:t xml:space="preserve">Defensible decisions for regulated procurement</w:t>
            </w:r>
          </w:p>
        </w:tc>
      </w:tr>
      <w:tr>
        <w:tc>
          <w:tcPr/>
          <w:p>
            <w:pPr>
              <w:pStyle w:val="Compact"/>
              <w:jc w:val="left"/>
            </w:pPr>
            <w:r>
              <w:rPr>
                <w:bCs/>
                <w:b/>
              </w:rPr>
              <w:t xml:space="preserve">Sensitivity access</w:t>
            </w:r>
          </w:p>
        </w:tc>
        <w:tc>
          <w:tcPr/>
          <w:p>
            <w:pPr>
              <w:pStyle w:val="Compact"/>
              <w:jc w:val="left"/>
            </w:pPr>
            <w:r>
              <w:t xml:space="preserve">Separate batch-mode analysis step</w:t>
            </w:r>
          </w:p>
        </w:tc>
        <w:tc>
          <w:tcPr/>
          <w:p>
            <w:pPr>
              <w:pStyle w:val="Compact"/>
              <w:jc w:val="left"/>
            </w:pPr>
            <w:r>
              <w:t xml:space="preserve">Reactive parameter binding: adjust weights/scores, see results instantly</w:t>
            </w:r>
            <w:r>
              <w:t xml:space="preserve"> </w:t>
            </w:r>
            <w:r>
              <w:rPr>
                <w:vertAlign w:val="superscript"/>
              </w:rPr>
              <w:t xml:space="preserve">44</w:t>
            </w:r>
          </w:p>
        </w:tc>
        <w:tc>
          <w:tcPr/>
          <w:p>
            <w:pPr>
              <w:pStyle w:val="Compact"/>
              <w:jc w:val="left"/>
            </w:pPr>
            <w:r>
              <w:t xml:space="preserve">Trade-off exploration during live meetings</w:t>
            </w:r>
          </w:p>
        </w:tc>
      </w:tr>
    </w:tbl>
    <w:p>
      <w:pPr>
        <w:pStyle w:val="BodyText"/>
      </w:pPr>
      <w:r>
        <w:t xml:space="preserve">The research across procurement, balanced-scorecard, and decision-analysis platforms reveals that no single category has fully integrated all seven capabilities with the specific methodological rigour required by VTA. Procurement software (Bonfire, Jaggaer, Responsive) excels at multi-scorer collaboration and weighted scoring but lacks value-tree decomposition and strategic-equivalence handling</w:t>
      </w:r>
      <w:r>
        <w:t xml:space="preserve"> </w:t>
      </w:r>
      <w:r>
        <w:rPr>
          <w:vertAlign w:val="superscript"/>
        </w:rPr>
        <w:t xml:space="preserve">45</w:t>
      </w:r>
      <w:r>
        <w:t xml:space="preserve"> </w:t>
      </w:r>
      <w:r>
        <w:rPr>
          <w:vertAlign w:val="superscript"/>
        </w:rPr>
        <w:t xml:space="preserve">46</w:t>
      </w:r>
      <w:r>
        <w:t xml:space="preserve">. Balanced-scorecard platforms (Cascade, Spider Impact, ClearPoint) are strong on API-driven data integration and visual rollup but treat attributes as flat KPIs rather than hierarchical consequences</w:t>
      </w:r>
      <w:r>
        <w:t xml:space="preserve"> </w:t>
      </w:r>
      <w:r>
        <w:rPr>
          <w:vertAlign w:val="superscript"/>
        </w:rPr>
        <w:t xml:space="preserve">6</w:t>
      </w:r>
      <w:r>
        <w:t xml:space="preserve"> </w:t>
      </w:r>
      <w:r>
        <w:rPr>
          <w:vertAlign w:val="superscript"/>
        </w:rPr>
        <w:t xml:space="preserve">39</w:t>
      </w:r>
      <w:r>
        <w:t xml:space="preserve">. Decision-analysis tools (Decision Lens, 1000Minds, D-Sight) preserve methodological correctness but have not converged on the procurement-grade collaboration and visual polish that enterprise buyers expect</w:t>
      </w:r>
      <w:r>
        <w:t xml:space="preserve"> </w:t>
      </w:r>
      <w:r>
        <w:rPr>
          <w:vertAlign w:val="superscript"/>
        </w:rPr>
        <w:t xml:space="preserve">52</w:t>
      </w:r>
      <w:r>
        <w:t xml:space="preserve"> </w:t>
      </w:r>
      <w:r>
        <w:rPr>
          <w:vertAlign w:val="superscript"/>
        </w:rPr>
        <w:t xml:space="preserve">53</w:t>
      </w:r>
      <w:r>
        <w:t xml:space="preserve">. The maturity gap analysis (Figure 1) illustrates this fragmentation.</w:t>
      </w:r>
    </w:p>
    <w:p>
      <w:pPr>
        <w:pStyle w:val="CaptionedFigure"/>
      </w:pPr>
      <w:r>
        <w:drawing>
          <wp:inline>
            <wp:extent cx="5334000" cy="3070477"/>
            <wp:effectExtent b="0" l="0" r="0" t="0"/>
            <wp:docPr descr="Performance Matrix Capability Maturity Across SaaS Platform Categories" title="" id="62" name="Picture"/>
            <a:graphic>
              <a:graphicData uri="http://schemas.openxmlformats.org/drawingml/2006/picture">
                <pic:pic>
                  <pic:nvPicPr>
                    <pic:cNvPr descr="/mnt/agents/output/fig_performance_matrix_maturity.png" id="63" name="Picture"/>
                    <pic:cNvPicPr>
                      <a:picLocks noChangeArrowheads="1" noChangeAspect="1"/>
                    </pic:cNvPicPr>
                  </pic:nvPicPr>
                  <pic:blipFill>
                    <a:blip r:embed="rId61"/>
                    <a:stretch>
                      <a:fillRect/>
                    </a:stretch>
                  </pic:blipFill>
                  <pic:spPr bwMode="auto">
                    <a:xfrm>
                      <a:off x="0" y="0"/>
                      <a:ext cx="5334000" cy="3070477"/>
                    </a:xfrm>
                    <a:prstGeom prst="rect">
                      <a:avLst/>
                    </a:prstGeom>
                    <a:noFill/>
                    <a:ln w="9525">
                      <a:noFill/>
                      <a:headEnd/>
                      <a:tailEnd/>
                    </a:ln>
                  </pic:spPr>
                </pic:pic>
              </a:graphicData>
            </a:graphic>
          </wp:inline>
        </w:drawing>
      </w:r>
    </w:p>
    <w:p>
      <w:pPr>
        <w:pStyle w:val="ImageCaption"/>
      </w:pPr>
      <w:r>
        <w:t xml:space="preserve">Performance Matrix Capability Maturity Across SaaS Platform Categories</w:t>
      </w:r>
    </w:p>
    <w:p>
      <w:pPr>
        <w:pStyle w:val="BodyText"/>
      </w:pPr>
      <w:r>
        <w:rPr>
          <w:iCs/>
          <w:i/>
        </w:rPr>
        <w:t xml:space="preserve">Figure 1. Maturity scores for four core performance-matrix capabilities across five SaaS platform categories. Scores are composite indices derived from feature-depth analysis of publicly available platform documentation (2024–2025). The dashed line indicates the approximate capability ceiling of 2002-era desktop VTA tools. Source: Author analysis.</w:t>
      </w:r>
    </w:p>
    <w:p>
      <w:pPr>
        <w:pStyle w:val="BodyText"/>
      </w:pPr>
      <w:r>
        <w:t xml:space="preserve">The strategic implication is that a purpose-built VTA SaaS platform must synthesise procurement-grade collaboration interfaces, balanced-scorecard-class data integration, and decision-analysis-level methodological correctness into a single unified surface. The performance matrix is where these three traditions converge: it is both the data-capture interface and the analytical substrate upon which preference elicitation, sensitivity analysis, and group deliberation depend. The next chapter examines how digital preference-elicitation engines transform the populated matrix into a quantified preference model through interactive weight-assignment and value-function construction workflows.</w:t>
      </w:r>
    </w:p>
    <w:p>
      <w:r>
        <w:pict>
          <v:rect style="width:0;height:1.5pt" o:hralign="center" o:hrstd="t" o:hr="t"/>
        </w:pict>
      </w:r>
    </w:p>
    <w:bookmarkEnd w:id="64"/>
    <w:bookmarkEnd w:id="65"/>
    <w:bookmarkEnd w:id="66"/>
    <w:bookmarkStart w:id="70" w:name="digital-preference-elicitation-engine"/>
    <w:p>
      <w:pPr>
        <w:pStyle w:val="Heading2"/>
      </w:pPr>
      <w:r>
        <w:t xml:space="preserve">4. Digital Preference Elicitation Engine</w:t>
      </w:r>
    </w:p>
    <w:p>
      <w:pPr>
        <w:pStyle w:val="FirstParagraph"/>
      </w:pPr>
      <w:r>
        <w:t xml:space="preserve">The additive value model sits at the heart of Value Tree Analysis. For a decision alternative</w:t>
      </w:r>
      <w:r>
        <w:t xml:space="preserve"> </w:t>
      </w:r>
      <m:oMath>
        <m:r>
          <m:t>a</m:t>
        </m:r>
      </m:oMath>
      <w:r>
        <w:t xml:space="preserve"> </w:t>
      </w:r>
      <w:r>
        <w:t xml:space="preserve">with consequence vector</w:t>
      </w:r>
      <w:r>
        <w:t xml:space="preserve"> </w:t>
      </w:r>
      <m:oMath>
        <m:d>
          <m:dPr>
            <m:begChr m:val="("/>
            <m:endChr m:val=")"/>
            <m:sepChr m:val=""/>
            <m:grow/>
          </m:dPr>
          <m:e>
            <m:sSub>
              <m:e>
                <m:r>
                  <m:t>x</m:t>
                </m:r>
              </m:e>
              <m:sub>
                <m:r>
                  <m:t>1</m:t>
                </m:r>
              </m:sub>
            </m:sSub>
            <m:d>
              <m:dPr>
                <m:begChr m:val="("/>
                <m:endChr m:val=")"/>
                <m:sepChr m:val=""/>
                <m:grow/>
              </m:dPr>
              <m:e>
                <m:r>
                  <m:t>a</m:t>
                </m:r>
              </m:e>
            </m:d>
            <m:r>
              <m:rPr>
                <m:sty m:val="p"/>
              </m:rPr>
              <m:t>,</m:t>
            </m:r>
            <m:r>
              <m:rPr>
                <m:sty m:val="p"/>
              </m:rPr>
              <m:t>…</m:t>
            </m:r>
            <m:r>
              <m:rPr>
                <m:sty m:val="p"/>
              </m:rPr>
              <m:t>,</m:t>
            </m:r>
            <m:sSub>
              <m:e>
                <m:r>
                  <m:t>x</m:t>
                </m:r>
              </m:e>
              <m:sub>
                <m:r>
                  <m:t>n</m:t>
                </m:r>
              </m:sub>
            </m:sSub>
            <m:d>
              <m:dPr>
                <m:begChr m:val="("/>
                <m:endChr m:val=")"/>
                <m:sepChr m:val=""/>
                <m:grow/>
              </m:dPr>
              <m:e>
                <m:r>
                  <m:t>a</m:t>
                </m:r>
              </m:e>
            </m:d>
          </m:e>
        </m:d>
      </m:oMath>
      <w:r>
        <w:t xml:space="preserve">, the total value is</w:t>
      </w:r>
    </w:p>
    <w:p>
      <w:pPr>
        <w:pStyle w:val="BodyText"/>
      </w:pPr>
      <m:oMathPara>
        <m:oMathParaPr>
          <m:jc m:val="center"/>
        </m:oMathParaPr>
        <m:oMath>
          <m:r>
            <m:t>V</m:t>
          </m:r>
          <m:d>
            <m:dPr>
              <m:begChr m:val="("/>
              <m:endChr m:val=")"/>
              <m:sepChr m:val=""/>
              <m:grow/>
            </m:dPr>
            <m:e>
              <m:r>
                <m:t>a</m:t>
              </m:r>
            </m:e>
          </m:d>
          <m:r>
            <m:rPr>
              <m:sty m:val="p"/>
            </m:rPr>
            <m:t>=</m:t>
          </m:r>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r>
            <m:rPr>
              <m:sty m:val="p"/>
            </m:rPr>
            <m:t>(</m:t>
          </m:r>
          <m:sSub>
            <m:e>
              <m:r>
                <m:t>x</m:t>
              </m:r>
            </m:e>
            <m:sub>
              <m:r>
                <m:t>i</m:t>
              </m:r>
            </m:sub>
          </m:sSub>
          <m:d>
            <m:dPr>
              <m:begChr m:val="("/>
              <m:endChr m:val=")"/>
              <m:sepChr m:val=""/>
              <m:grow/>
            </m:dPr>
            <m:e>
              <m:r>
                <m:t>a</m:t>
              </m:r>
            </m:e>
          </m:d>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weight of attribute</w:t>
      </w:r>
      <w:r>
        <w:t xml:space="preserve"> </w:t>
      </w:r>
      <m:oMath>
        <m:sSub>
          <m:e>
            <m:r>
              <m:t>X</m:t>
            </m:r>
          </m:e>
          <m:sub>
            <m:r>
              <m:t>i</m:t>
            </m:r>
          </m:sub>
        </m:sSub>
      </m:oMath>
      <w:r>
        <w:t xml:space="preserve"> </w:t>
      </w:r>
      <w:r>
        <w:t xml:space="preserve">and</w:t>
      </w:r>
      <w:r>
        <w:t xml:space="preserve"> </w:t>
      </w:r>
      <m:oMath>
        <m:sSub>
          <m:e>
            <m:r>
              <m:t>v</m:t>
            </m:r>
          </m:e>
          <m:sub>
            <m:r>
              <m:t>i</m:t>
            </m:r>
          </m:sub>
        </m:sSub>
      </m:oMath>
      <w:r>
        <w:t xml:space="preserve"> </w:t>
      </w:r>
      <w:r>
        <w:t xml:space="preserve">is the single-attribute value function normalised to</w:t>
      </w:r>
      <w:r>
        <w:t xml:space="preserve"> </w:t>
      </w:r>
      <m:oMath>
        <m:d>
          <m:dPr>
            <m:begChr m:val="["/>
            <m:endChr m:val="]"/>
            <m:sepChr m:val=""/>
            <m:grow/>
          </m:dPr>
          <m:e>
            <m:r>
              <m:t>0</m:t>
            </m:r>
            <m:r>
              <m:rPr>
                <m:sty m:val="p"/>
              </m:rPr>
              <m:t>,</m:t>
            </m:r>
            <m:r>
              <m:t>1</m:t>
            </m:r>
          </m:e>
        </m:d>
      </m:oMath>
      <w:r>
        <w:t xml:space="preserve"> </w:t>
      </w:r>
      <w:r>
        <w:rPr>
          <w:vertAlign w:val="superscript"/>
        </w:rPr>
        <w:t xml:space="preserve">3</w:t>
      </w:r>
      <w:r>
        <w:t xml:space="preserve">. Eliciting these two parameter families — value functions and weights — has historically required a trained decision analyst to conduct structured interviews, often consuming days of calendar time and introducing substantial cost and friction. This chapter maps every manual elicitation method from the classical VTA repertoire to its interactive digital equivalent, demonstrating that the interview room can be replaced by a self-service web interface without sacrificing methodological rigour.</w:t>
      </w:r>
    </w:p>
    <w:p>
      <w:pPr>
        <w:pStyle w:val="BodyText"/>
      </w:pPr>
      <w:r>
        <w:t xml:space="preserve">The transformation rests on a simple but powerful principle: each manual technique asks the decision maker (DM) to produce a numerical judgment relative to a reference point. A direct rating assigns a score between worst and best; SMART assigns points relative to the least important attribute; AHP assigns ratios comparing pairs. Every one of these operations has a natural interface primitive — slider, drag-and-drop card, pairwise toggle — that can be rendered in a browser with real-time feedback</w:t>
      </w:r>
      <w:r>
        <w:t xml:space="preserve"> </w:t>
      </w:r>
      <w:r>
        <w:rPr>
          <w:vertAlign w:val="superscript"/>
        </w:rPr>
        <w:t xml:space="preserve">8</w:t>
      </w:r>
      <w:r>
        <w:t xml:space="preserve">. The result is not a simplification of the methodology but a change in delivery modality: from analyst-prompted to interface-guided, from batch calculation to reactive computation, from single-user to collaborative.</w:t>
      </w:r>
    </w:p>
    <w:bookmarkStart w:id="67" w:name="value-function-elicitation"/>
    <w:p>
      <w:pPr>
        <w:pStyle w:val="Heading3"/>
      </w:pPr>
      <w:r>
        <w:t xml:space="preserve">4.1 Value Function Elicitation</w:t>
      </w:r>
    </w:p>
    <w:p>
      <w:pPr>
        <w:pStyle w:val="FirstParagraph"/>
      </w:pPr>
      <w:r>
        <w:t xml:space="preserve">The purpose of value function elicitation is to map attribute performance levels to desirability scores. The 2002 VTA document describes five core techniques; each translates to a distinct digital interaction pattern.</w:t>
      </w:r>
    </w:p>
    <w:p>
      <w:pPr>
        <w:pStyle w:val="BodyText"/>
      </w:pPr>
      <w:r>
        <w:rPr>
          <w:bCs/>
          <w:b/>
        </w:rPr>
        <w:t xml:space="preserve">Direct Rating: the visual slider interface.</w:t>
      </w:r>
      <w:r>
        <w:t xml:space="preserve"> </w:t>
      </w:r>
      <w:r>
        <w:t xml:space="preserve">In the manual method, the DM ranks alternatives on a single attribute, identifies the worst and best, assigns them 0 and 100 respectively, and places the remaining alternatives proportionally</w:t>
      </w:r>
      <w:r>
        <w:t xml:space="preserve"> </w:t>
      </w:r>
      <w:r>
        <w:rPr>
          <w:vertAlign w:val="superscript"/>
        </w:rPr>
        <w:t xml:space="preserve">3</w:t>
      </w:r>
      <w:r>
        <w:t xml:space="preserve">. The digital equivalent is a continuous slider rendered on a 0–100 scale with anchored endpoints. Modern survey platforms have refined this pattern extensively: Qualtrics offers ten built-in graphic slider types including gauge, thermometer, and traffic-light metaphors</w:t>
      </w:r>
      <w:r>
        <w:t xml:space="preserve"> </w:t>
      </w:r>
      <w:r>
        <w:rPr>
          <w:vertAlign w:val="superscript"/>
        </w:rPr>
        <w:t xml:space="preserve">8</w:t>
      </w:r>
      <w:r>
        <w:t xml:space="preserve">; SurveySparrow implements thermometer, gauge meter, and smiley variants that transform abstract numerical rating into visually concrete interactions</w:t>
      </w:r>
      <w:r>
        <w:t xml:space="preserve"> </w:t>
      </w:r>
      <w:r>
        <w:rPr>
          <w:vertAlign w:val="superscript"/>
        </w:rPr>
        <w:t xml:space="preserve">4</w:t>
      </w:r>
      <w:r>
        <w:t xml:space="preserve">. In a VTA SaaS context, the slider is contextualised to the attribute being assessed — a</w:t>
      </w:r>
      <w:r>
        <w:t xml:space="preserve"> </w:t>
      </w:r>
      <w:r>
        <w:t xml:space="preserve">“</w:t>
      </w:r>
      <w:r>
        <w:t xml:space="preserve">salary</w:t>
      </w:r>
      <w:r>
        <w:t xml:space="preserve">”</w:t>
      </w:r>
      <w:r>
        <w:t xml:space="preserve"> </w:t>
      </w:r>
      <w:r>
        <w:t xml:space="preserve">slider might anchor at the lowest and highest offer values, while a</w:t>
      </w:r>
      <w:r>
        <w:t xml:space="preserve"> </w:t>
      </w:r>
      <w:r>
        <w:t xml:space="preserve">“</w:t>
      </w:r>
      <w:r>
        <w:t xml:space="preserve">working conditions</w:t>
      </w:r>
      <w:r>
        <w:t xml:space="preserve">”</w:t>
      </w:r>
      <w:r>
        <w:t xml:space="preserve"> </w:t>
      </w:r>
      <w:r>
        <w:t xml:space="preserve">slider uses emoji endpoints (😟 to 😀). As the DM adjusts each slider, a real-time bar chart updates to show the relative positioning of all alternatives on that attribute, providing immediate visual confirmation that spacing reflects preference strength</w:t>
      </w:r>
      <w:r>
        <w:t xml:space="preserve"> </w:t>
      </w:r>
      <w:r>
        <w:rPr>
          <w:vertAlign w:val="superscript"/>
        </w:rPr>
        <w:t xml:space="preserve">5</w:t>
      </w:r>
      <w:r>
        <w:t xml:space="preserve">.</w:t>
      </w:r>
    </w:p>
    <w:p>
      <w:pPr>
        <w:pStyle w:val="BodyText"/>
      </w:pPr>
      <w:r>
        <w:rPr>
          <w:bCs/>
          <w:b/>
        </w:rPr>
        <w:t xml:space="preserve">Category Estimation: dropdown and emoji selectors.</w:t>
      </w:r>
      <w:r>
        <w:t xml:space="preserve"> </w:t>
      </w:r>
      <w:r>
        <w:t xml:space="preserve">Where direct rating asks for a position on a continuous scale, category estimation collapses the response space to a finite set of labelled levels</w:t>
      </w:r>
      <w:r>
        <w:t xml:space="preserve"> </w:t>
      </w:r>
      <w:r>
        <w:rPr>
          <w:vertAlign w:val="superscript"/>
        </w:rPr>
        <w:t xml:space="preserve">3</w:t>
      </w:r>
      <w:r>
        <w:t xml:space="preserve">. The digital implementation replaces verbal categories with visually distinct selectors — a row of emoji-grade chips (e.g., poor → fair → good → excellent), a segmented control, or a colour-graded button group. Each category maps to a normalised value score in the backend. The FITradeoff method demonstrates that even partial categorical information — knowing only that option A is preferred to option B without assigning exact values — can be sufficient to eliminate dominated alternatives through linear programming, reducing the number of judgments required from the DM</w:t>
      </w:r>
      <w:r>
        <w:t xml:space="preserve"> </w:t>
      </w:r>
      <w:r>
        <w:rPr>
          <w:vertAlign w:val="superscript"/>
        </w:rPr>
        <w:t xml:space="preserve">54</w:t>
      </w:r>
      <w:r>
        <w:t xml:space="preserve">.</w:t>
      </w:r>
    </w:p>
    <w:p>
      <w:pPr>
        <w:pStyle w:val="BodyText"/>
      </w:pPr>
      <w:r>
        <w:rPr>
          <w:bCs/>
          <w:b/>
        </w:rPr>
        <w:t xml:space="preserve">Graphical Curve Drawing: the D3.js value function editor.</w:t>
      </w:r>
      <w:r>
        <w:t xml:space="preserve"> </w:t>
      </w:r>
      <w:r>
        <w:t xml:space="preserve">For attributes with continuous numerical scales (price, distance, time), the DM may wish to specify a non-linear value function — for instance, diminishing marginal value for salary above a threshold. The manual approach required drawing a curve on paper; the digital equivalent is an interactive piecewise-linear editor powered by D3.js or a similar vector graphics library</w:t>
      </w:r>
      <w:r>
        <w:t xml:space="preserve"> </w:t>
      </w:r>
      <w:r>
        <w:rPr>
          <w:vertAlign w:val="superscript"/>
        </w:rPr>
        <w:t xml:space="preserve">55</w:t>
      </w:r>
      <w:r>
        <w:t xml:space="preserve">. M-MACBETH provides the reference implementation: users click and drag control points on a two-axis graph (performance level on the horizontal axis, partial value score on the vertical), with automatic consistency checking against the DM’s qualitative judgments</w:t>
      </w:r>
      <w:r>
        <w:t xml:space="preserve"> </w:t>
      </w:r>
      <w:r>
        <w:rPr>
          <w:vertAlign w:val="superscript"/>
        </w:rPr>
        <w:t xml:space="preserve">1</w:t>
      </w:r>
      <w:r>
        <w:t xml:space="preserve">. An online MACBETH tool extends this with least-squares curve fitting, automatically classifying the function shape as concave, convex, or linear</w:t>
      </w:r>
      <w:r>
        <w:t xml:space="preserve"> </w:t>
      </w:r>
      <w:r>
        <w:rPr>
          <w:vertAlign w:val="superscript"/>
        </w:rPr>
        <w:t xml:space="preserve">2</w:t>
      </w:r>
      <w:r>
        <w:t xml:space="preserve">. The resulting piecewise-linear function is transparently displayed alongside its mathematical definition — each segment’s slope and intercept listed for audit and reproducibility</w:t>
      </w:r>
      <w:r>
        <w:t xml:space="preserve"> </w:t>
      </w:r>
      <w:r>
        <w:rPr>
          <w:vertAlign w:val="superscript"/>
        </w:rPr>
        <w:t xml:space="preserve">56</w:t>
      </w:r>
      <w:r>
        <w:t xml:space="preserve">.</w:t>
      </w:r>
    </w:p>
    <w:p>
      <w:pPr>
        <w:pStyle w:val="BodyText"/>
      </w:pPr>
      <w:r>
        <w:rPr>
          <w:bCs/>
          <w:b/>
        </w:rPr>
        <w:t xml:space="preserve">Difference Standard Sequence and Bisection: guided midpoint-finding workflows.</w:t>
      </w:r>
      <w:r>
        <w:t xml:space="preserve"> </w:t>
      </w:r>
      <w:r>
        <w:t xml:space="preserve">These indifference methods construct a value scale by finding attribute levels that are equally spaced in preference strength</w:t>
      </w:r>
      <w:r>
        <w:t xml:space="preserve"> </w:t>
      </w:r>
      <w:r>
        <w:rPr>
          <w:vertAlign w:val="superscript"/>
        </w:rPr>
        <w:t xml:space="preserve">3</w:t>
      </w:r>
      <w:r>
        <w:t xml:space="preserve">. In the difference standard sequence, the DM identifies a chain of levels</w:t>
      </w:r>
      <w:r>
        <w:t xml:space="preserve"> </w:t>
      </w:r>
      <m:oMath>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oMath>
      <w:r>
        <w:t xml:space="preserve"> </w:t>
      </w:r>
      <w:r>
        <w:t xml:space="preserve">such that each step represents an equal increment in value. In bisection, the DM recursively finds the midpoint between two levels in value space. Digitally, these become guided workflows: the system presents two anchored endpoints, asks the DM to position a midpoint marker, validates the response against consistency constraints, and iterates. Binary-search-style visual feedback — a splitting line that the DM drags until indifference is declared — replaces the abstract questioning of the analyst-led session. Web-HIPRE demonstrated the feasibility of such browser-based indifference elicitation as early as the 2000s</w:t>
      </w:r>
      <w:r>
        <w:t xml:space="preserve"> </w:t>
      </w:r>
      <w:r>
        <w:rPr>
          <w:vertAlign w:val="superscript"/>
        </w:rPr>
        <w:t xml:space="preserve">57</w:t>
      </w:r>
      <w:r>
        <w:t xml:space="preserve">.</w:t>
      </w:r>
    </w:p>
    <w:p>
      <w:pPr>
        <w:pStyle w:val="BodyText"/>
      </w:pPr>
      <w:r>
        <w:rPr>
          <w:bCs/>
          <w:b/>
        </w:rPr>
        <w:t xml:space="preserve">AI-assisted value inference: preference learning from partial inputs.</w:t>
      </w:r>
      <w:r>
        <w:t xml:space="preserve"> </w:t>
      </w:r>
      <w:r>
        <w:t xml:space="preserve">The final method is not from the 2002 document but represents a capability unique to the digital paradigm. Variational preference learning (VPL), developed at the University of Washington, predicts a user’s preferences as they interact with the system and progressively refines value function estimates</w:t>
      </w:r>
      <w:r>
        <w:t xml:space="preserve"> </w:t>
      </w:r>
      <w:r>
        <w:rPr>
          <w:vertAlign w:val="superscript"/>
        </w:rPr>
        <w:t xml:space="preserve">58</w:t>
      </w:r>
      <w:r>
        <w:t xml:space="preserve">. Where the DM has rated three alternatives on an attribute, a preference learning backend can infer the likely ratings for the remainder, presenting them as draft values that the DM may accept or override. Research on current preference learning algorithms (DPO, RLHF) reveals they achieve less than 60% ranking accuracy on common datasets, with</w:t>
      </w:r>
      <w:r>
        <w:t xml:space="preserve"> </w:t>
      </w:r>
      <w:r>
        <w:t xml:space="preserve">“</w:t>
      </w:r>
      <w:r>
        <w:t xml:space="preserve">alignment gaps</w:t>
      </w:r>
      <w:r>
        <w:t xml:space="preserve">”</w:t>
      </w:r>
      <w:r>
        <w:t xml:space="preserve"> </w:t>
      </w:r>
      <w:r>
        <w:t xml:space="preserve">of up to 59 percentage points</w:t>
      </w:r>
      <w:r>
        <w:t xml:space="preserve"> </w:t>
      </w:r>
      <w:r>
        <w:rPr>
          <w:vertAlign w:val="superscript"/>
        </w:rPr>
        <w:t xml:space="preserve">59</w:t>
      </w:r>
      <w:r>
        <w:t xml:space="preserve">. This means AI inference should serve as a suggestion engine, not a replacement for explicit judgment — the structured elicitation interface remains the primary input channel, with machine learning reducing the number of required inputs rather than eliminating human judgment.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Manual Method (2002 VTA)</w:t>
            </w:r>
          </w:p>
        </w:tc>
        <w:tc>
          <w:tcPr/>
          <w:p>
            <w:pPr>
              <w:pStyle w:val="Compact"/>
              <w:jc w:val="left"/>
            </w:pPr>
            <w:r>
              <w:t xml:space="preserve">Digital Interface</w:t>
            </w:r>
          </w:p>
        </w:tc>
        <w:tc>
          <w:tcPr/>
          <w:p>
            <w:pPr>
              <w:pStyle w:val="Compact"/>
              <w:jc w:val="left"/>
            </w:pPr>
            <w:r>
              <w:t xml:space="preserve">Key UI Components</w:t>
            </w:r>
          </w:p>
        </w:tc>
        <w:tc>
          <w:tcPr/>
          <w:p>
            <w:pPr>
              <w:pStyle w:val="Compact"/>
              <w:jc w:val="left"/>
            </w:pPr>
            <w:r>
              <w:t xml:space="preserve">Proof Point</w:t>
            </w:r>
          </w:p>
        </w:tc>
      </w:tr>
      <w:tr>
        <w:tc>
          <w:tcPr/>
          <w:p>
            <w:pPr>
              <w:pStyle w:val="Compact"/>
              <w:jc w:val="left"/>
            </w:pPr>
            <w:r>
              <w:t xml:space="preserve">Direct Rating (0–100 scale anchored at worst/best)</w:t>
            </w:r>
          </w:p>
        </w:tc>
        <w:tc>
          <w:tcPr/>
          <w:p>
            <w:pPr>
              <w:pStyle w:val="Compact"/>
              <w:jc w:val="left"/>
            </w:pPr>
            <w:r>
              <w:t xml:space="preserve">Continuous slider with graphic variants</w:t>
            </w:r>
          </w:p>
        </w:tc>
        <w:tc>
          <w:tcPr/>
          <w:p>
            <w:pPr>
              <w:pStyle w:val="Compact"/>
              <w:jc w:val="left"/>
            </w:pPr>
            <w:r>
              <w:t xml:space="preserve">0–100 slider; thermometer/gauge/smiley skins; real-time bar chart feedback</w:t>
            </w:r>
          </w:p>
        </w:tc>
        <w:tc>
          <w:tcPr/>
          <w:p>
            <w:pPr>
              <w:pStyle w:val="Compact"/>
              <w:jc w:val="left"/>
            </w:pPr>
            <w:r>
              <w:t xml:space="preserve">Qualtrics</w:t>
            </w:r>
            <w:r>
              <w:t xml:space="preserve"> </w:t>
            </w:r>
            <w:r>
              <w:rPr>
                <w:vertAlign w:val="superscript"/>
              </w:rPr>
              <w:t xml:space="preserve">8</w:t>
            </w:r>
            <w:r>
              <w:t xml:space="preserve">, SurveySparrow</w:t>
            </w:r>
            <w:r>
              <w:t xml:space="preserve"> </w:t>
            </w:r>
            <w:r>
              <w:rPr>
                <w:vertAlign w:val="superscript"/>
              </w:rPr>
              <w:t xml:space="preserve">4</w:t>
            </w:r>
          </w:p>
        </w:tc>
      </w:tr>
      <w:tr>
        <w:tc>
          <w:tcPr/>
          <w:p>
            <w:pPr>
              <w:pStyle w:val="Compact"/>
              <w:jc w:val="left"/>
            </w:pPr>
            <w:r>
              <w:t xml:space="preserve">Category Estimation (qualitative levels → values)</w:t>
            </w:r>
          </w:p>
        </w:tc>
        <w:tc>
          <w:tcPr/>
          <w:p>
            <w:pPr>
              <w:pStyle w:val="Compact"/>
              <w:jc w:val="left"/>
            </w:pPr>
            <w:r>
              <w:t xml:space="preserve">Segmented emoji selectors / chip groups</w:t>
            </w:r>
          </w:p>
        </w:tc>
        <w:tc>
          <w:tcPr/>
          <w:p>
            <w:pPr>
              <w:pStyle w:val="Compact"/>
              <w:jc w:val="left"/>
            </w:pPr>
            <w:r>
              <w:t xml:space="preserve">Emoji-grade chips; colour-graded buttons; value mapping table</w:t>
            </w:r>
          </w:p>
        </w:tc>
        <w:tc>
          <w:tcPr/>
          <w:p>
            <w:pPr>
              <w:pStyle w:val="Compact"/>
              <w:jc w:val="left"/>
            </w:pPr>
            <w:r>
              <w:t xml:space="preserve">FITradeoff partial elicitation</w:t>
            </w:r>
            <w:r>
              <w:t xml:space="preserve"> </w:t>
            </w:r>
            <w:r>
              <w:rPr>
                <w:vertAlign w:val="superscript"/>
              </w:rPr>
              <w:t xml:space="preserve">54</w:t>
            </w:r>
          </w:p>
        </w:tc>
      </w:tr>
      <w:tr>
        <w:tc>
          <w:tcPr/>
          <w:p>
            <w:pPr>
              <w:pStyle w:val="Compact"/>
              <w:jc w:val="left"/>
            </w:pPr>
            <w:r>
              <w:t xml:space="preserve">Ratio Estimation (value ratios to a standard)</w:t>
            </w:r>
          </w:p>
        </w:tc>
        <w:tc>
          <w:tcPr/>
          <w:p>
            <w:pPr>
              <w:pStyle w:val="Compact"/>
              <w:jc w:val="left"/>
            </w:pPr>
            <w:r>
              <w:t xml:space="preserve">Pairwise comparison cards with ratio sliders</w:t>
            </w:r>
          </w:p>
        </w:tc>
        <w:tc>
          <w:tcPr/>
          <w:p>
            <w:pPr>
              <w:pStyle w:val="Compact"/>
              <w:jc w:val="left"/>
            </w:pPr>
            <w:r>
              <w:t xml:space="preserve">Side-by-side cards; ratio slider (0.5×–3×); auto-computed value scores</w:t>
            </w:r>
          </w:p>
        </w:tc>
        <w:tc>
          <w:tcPr/>
          <w:p>
            <w:pPr>
              <w:pStyle w:val="Compact"/>
              <w:jc w:val="left"/>
            </w:pPr>
            <w:r>
              <w:t xml:space="preserve">1000minds PAPRIKA</w:t>
            </w:r>
            <w:r>
              <w:t xml:space="preserve"> </w:t>
            </w:r>
            <w:r>
              <w:rPr>
                <w:vertAlign w:val="superscript"/>
              </w:rPr>
              <w:t xml:space="preserve">60</w:t>
            </w:r>
          </w:p>
        </w:tc>
      </w:tr>
      <w:tr>
        <w:tc>
          <w:tcPr/>
          <w:p>
            <w:pPr>
              <w:pStyle w:val="Compact"/>
              <w:jc w:val="left"/>
            </w:pPr>
            <w:r>
              <w:t xml:space="preserve">Curve Drawing (sketching value function shape)</w:t>
            </w:r>
          </w:p>
        </w:tc>
        <w:tc>
          <w:tcPr/>
          <w:p>
            <w:pPr>
              <w:pStyle w:val="Compact"/>
              <w:jc w:val="left"/>
            </w:pPr>
            <w:r>
              <w:t xml:space="preserve">D3.js piecewise-linear editor</w:t>
            </w:r>
          </w:p>
        </w:tc>
        <w:tc>
          <w:tcPr/>
          <w:p>
            <w:pPr>
              <w:pStyle w:val="Compact"/>
              <w:jc w:val="left"/>
            </w:pPr>
            <w:r>
              <w:t xml:space="preserve">Drag-and-drop control points; least-squares fitting; equation display</w:t>
            </w:r>
          </w:p>
        </w:tc>
        <w:tc>
          <w:tcPr/>
          <w:p>
            <w:pPr>
              <w:pStyle w:val="Compact"/>
              <w:jc w:val="left"/>
            </w:pPr>
            <w:r>
              <w:t xml:space="preserve">M-MACBETH</w:t>
            </w:r>
            <w:r>
              <w:t xml:space="preserve"> </w:t>
            </w:r>
            <w:r>
              <w:rPr>
                <w:vertAlign w:val="superscript"/>
              </w:rPr>
              <w:t xml:space="preserve">1</w:t>
            </w:r>
            <w:r>
              <w:t xml:space="preserve">, MACBETH Online</w:t>
            </w:r>
            <w:r>
              <w:t xml:space="preserve"> </w:t>
            </w:r>
            <w:r>
              <w:rPr>
                <w:vertAlign w:val="superscript"/>
              </w:rPr>
              <w:t xml:space="preserve">2</w:t>
            </w:r>
          </w:p>
        </w:tc>
      </w:tr>
      <w:tr>
        <w:tc>
          <w:tcPr/>
          <w:p>
            <w:pPr>
              <w:pStyle w:val="Compact"/>
              <w:jc w:val="left"/>
            </w:pPr>
            <w:r>
              <w:t xml:space="preserve">Difference Standard Sequence (equal value steps)</w:t>
            </w:r>
          </w:p>
        </w:tc>
        <w:tc>
          <w:tcPr/>
          <w:p>
            <w:pPr>
              <w:pStyle w:val="Compact"/>
              <w:jc w:val="left"/>
            </w:pPr>
            <w:r>
              <w:t xml:space="preserve">Guided equal-spacing workflow</w:t>
            </w:r>
          </w:p>
        </w:tc>
        <w:tc>
          <w:tcPr/>
          <w:p>
            <w:pPr>
              <w:pStyle w:val="Compact"/>
              <w:jc w:val="left"/>
            </w:pPr>
            <w:r>
              <w:t xml:space="preserve">Multi-step midpoint placement; visual gap equaliser; consistency check</w:t>
            </w:r>
          </w:p>
        </w:tc>
        <w:tc>
          <w:tcPr/>
          <w:p>
            <w:pPr>
              <w:pStyle w:val="Compact"/>
              <w:jc w:val="left"/>
            </w:pPr>
            <w:r>
              <w:t xml:space="preserve">Web-HIPRE</w:t>
            </w:r>
            <w:r>
              <w:t xml:space="preserve"> </w:t>
            </w:r>
            <w:r>
              <w:rPr>
                <w:vertAlign w:val="superscript"/>
              </w:rPr>
              <w:t xml:space="preserve">57</w:t>
            </w:r>
          </w:p>
        </w:tc>
      </w:tr>
      <w:tr>
        <w:tc>
          <w:tcPr/>
          <w:p>
            <w:pPr>
              <w:pStyle w:val="Compact"/>
              <w:jc w:val="left"/>
            </w:pPr>
            <w:r>
              <w:t xml:space="preserve">Bisection (recursive midpoint finding)</w:t>
            </w:r>
          </w:p>
        </w:tc>
        <w:tc>
          <w:tcPr/>
          <w:p>
            <w:pPr>
              <w:pStyle w:val="Compact"/>
              <w:jc w:val="left"/>
            </w:pPr>
            <w:r>
              <w:t xml:space="preserve">Binary-search splitting interface</w:t>
            </w:r>
          </w:p>
        </w:tc>
        <w:tc>
          <w:tcPr/>
          <w:p>
            <w:pPr>
              <w:pStyle w:val="Compact"/>
              <w:jc w:val="left"/>
            </w:pPr>
            <w:r>
              <w:t xml:space="preserve">Splitting line drag; animated zoom into sub-interval; endpoint anchoring</w:t>
            </w:r>
          </w:p>
        </w:tc>
        <w:tc>
          <w:tcPr/>
          <w:p>
            <w:pPr>
              <w:pStyle w:val="Compact"/>
              <w:jc w:val="left"/>
            </w:pPr>
            <w:r>
              <w:t xml:space="preserve">Web-HIPRE</w:t>
            </w:r>
            <w:r>
              <w:t xml:space="preserve"> </w:t>
            </w:r>
            <w:r>
              <w:rPr>
                <w:vertAlign w:val="superscript"/>
              </w:rPr>
              <w:t xml:space="preserve">57</w:t>
            </w:r>
          </w:p>
        </w:tc>
      </w:tr>
      <w:tr>
        <w:tc>
          <w:tcPr/>
          <w:p>
            <w:pPr>
              <w:pStyle w:val="Compact"/>
              <w:jc w:val="left"/>
            </w:pPr>
            <w:r>
              <w:t xml:space="preserve">AI-assisted Inference (not in original)</w:t>
            </w:r>
          </w:p>
        </w:tc>
        <w:tc>
          <w:tcPr/>
          <w:p>
            <w:pPr>
              <w:pStyle w:val="Compact"/>
              <w:jc w:val="left"/>
            </w:pPr>
            <w:r>
              <w:t xml:space="preserve">Draft-value suggestion panel</w:t>
            </w:r>
          </w:p>
        </w:tc>
        <w:tc>
          <w:tcPr/>
          <w:p>
            <w:pPr>
              <w:pStyle w:val="Compact"/>
              <w:jc w:val="left"/>
            </w:pPr>
            <w:r>
              <w:t xml:space="preserve">ML-predicted score chips; accept/edit/override actions; confidence indicator</w:t>
            </w:r>
          </w:p>
        </w:tc>
        <w:tc>
          <w:tcPr/>
          <w:p>
            <w:pPr>
              <w:pStyle w:val="Compact"/>
              <w:jc w:val="left"/>
            </w:pPr>
            <w:r>
              <w:t xml:space="preserve">VPL research</w:t>
            </w:r>
            <w:r>
              <w:t xml:space="preserve"> </w:t>
            </w:r>
            <w:r>
              <w:rPr>
                <w:vertAlign w:val="superscript"/>
              </w:rPr>
              <w:t xml:space="preserve">58</w:t>
            </w:r>
          </w:p>
        </w:tc>
      </w:tr>
    </w:tbl>
    <w:p>
      <w:pPr>
        <w:pStyle w:val="BodyText"/>
      </w:pPr>
      <w:r>
        <w:rPr>
          <w:iCs/>
          <w:i/>
        </w:rPr>
        <w:t xml:space="preserve">Table 1: Mapping of manual value function elicitation methods to digital interface components. Each row shows the 2002 VTA method, its digital equivalent, the specific UI components required, and a proof-point implementation demonstrating feasibility.</w:t>
      </w:r>
    </w:p>
    <w:p>
      <w:pPr>
        <w:pStyle w:val="BodyText"/>
      </w:pPr>
      <w:r>
        <w:t xml:space="preserve">The breadth of this mapping is significant: every technique described in Section 4.1 of the source document has a production-ready digital equivalent. The table reveals a pattern — methods that were cognitively demanding in the manual setting (curve drawing, bisection) become more tractable when guided by visual feedback and automated consistency checking. The slider, the drag-and-drop card, and the interactive graph are the three fundamental interaction primitives that replace the analyst’s prompting voice.</w:t>
      </w:r>
    </w:p>
    <w:bookmarkEnd w:id="67"/>
    <w:bookmarkStart w:id="68" w:name="weight-elicitation-methods"/>
    <w:p>
      <w:pPr>
        <w:pStyle w:val="Heading3"/>
      </w:pPr>
      <w:r>
        <w:t xml:space="preserve">4.2 Weight Elicitation Methods</w:t>
      </w:r>
    </w:p>
    <w:p>
      <w:pPr>
        <w:pStyle w:val="FirstParagraph"/>
      </w:pPr>
      <w:r>
        <w:t xml:space="preserve">Weights in the additive model describe the relative importance of attributes. The 2002 VTA document describes four families of weight elicitation: SMART, rank-based methods, SWING, and AHP. Each maps to a distinct digital workflow.</w:t>
      </w:r>
    </w:p>
    <w:p>
      <w:pPr>
        <w:pStyle w:val="BodyText"/>
      </w:pPr>
      <w:r>
        <w:rPr>
          <w:bCs/>
          <w:b/>
        </w:rPr>
        <w:t xml:space="preserve">SMART: the interactive 10-point least-important scale.</w:t>
      </w:r>
      <w:r>
        <w:t xml:space="preserve"> </w:t>
      </w:r>
      <w:r>
        <w:t xml:space="preserve">The Simple Multi-Attribute Rating Technique asks the DM to assign 10 points to the least important attribute, then rate all other attributes proportionally relative to that baseline</w:t>
      </w:r>
      <w:r>
        <w:t xml:space="preserve"> </w:t>
      </w:r>
      <w:r>
        <w:rPr>
          <w:vertAlign w:val="superscript"/>
        </w:rPr>
        <w:t xml:space="preserve">3</w:t>
      </w:r>
      <w:r>
        <w:t xml:space="preserve">. The weight for attribute</w:t>
      </w:r>
      <w:r>
        <w:t xml:space="preserve"> </w:t>
      </w:r>
      <m:oMath>
        <m:r>
          <m:t>i</m:t>
        </m:r>
      </m:oMath>
      <w:r>
        <w:t xml:space="preserve"> </w:t>
      </w:r>
      <w:r>
        <w:t xml:space="preserve">is computed as:</w:t>
      </w:r>
    </w:p>
    <w:p>
      <w:pPr>
        <w:pStyle w:val="BodyText"/>
      </w:pPr>
      <m:oMathPara>
        <m:oMathParaPr>
          <m:jc m:val="center"/>
        </m:oMathParaPr>
        <m:oMath>
          <m:sSub>
            <m:e>
              <m:r>
                <m:t>w</m:t>
              </m:r>
            </m:e>
            <m:sub>
              <m:r>
                <m:t>i</m:t>
              </m:r>
            </m:sub>
          </m:sSub>
          <m:r>
            <m:rPr>
              <m:sty m:val="p"/>
            </m:rPr>
            <m:t>=</m:t>
          </m:r>
          <m:f>
            <m:fPr>
              <m:type m:val="bar"/>
            </m:fPr>
            <m:num>
              <m:sSub>
                <m:e>
                  <m:r>
                    <m:t>p</m:t>
                  </m:r>
                </m:e>
                <m:sub>
                  <m:r>
                    <m:t>i</m:t>
                  </m:r>
                </m:sub>
              </m:sSub>
            </m:num>
            <m:den>
              <m:nary>
                <m:naryPr>
                  <m:chr m:val="∑"/>
                  <m:limLoc m:val="undOvr"/>
                  <m:subHide m:val="0"/>
                  <m:supHide m:val="0"/>
                </m:naryPr>
                <m:sub>
                  <m:r>
                    <m:t>j</m:t>
                  </m:r>
                  <m:r>
                    <m:rPr>
                      <m:sty m:val="p"/>
                    </m:rPr>
                    <m:t>=</m:t>
                  </m:r>
                  <m:r>
                    <m:t>1</m:t>
                  </m:r>
                </m:sub>
                <m:sup>
                  <m:r>
                    <m:t>n</m:t>
                  </m:r>
                </m:sup>
                <m:e>
                  <m:sSub>
                    <m:e>
                      <m:r>
                        <m:t>p</m:t>
                      </m:r>
                    </m:e>
                    <m:sub>
                      <m:r>
                        <m:t>j</m:t>
                      </m:r>
                    </m:sub>
                  </m:sSub>
                </m:e>
              </m:nary>
            </m:den>
          </m:f>
        </m:oMath>
      </m:oMathPara>
    </w:p>
    <w:p>
      <w:pPr>
        <w:pStyle w:val="FirstParagraph"/>
      </w:pPr>
      <w:r>
        <w:t xml:space="preserve">where</w:t>
      </w:r>
      <w:r>
        <w:t xml:space="preserve"> </w:t>
      </w:r>
      <m:oMath>
        <m:sSub>
          <m:e>
            <m:r>
              <m:t>p</m:t>
            </m:r>
          </m:e>
          <m:sub>
            <m:r>
              <m:t>i</m:t>
            </m:r>
          </m:sub>
        </m:sSub>
      </m:oMath>
      <w:r>
        <w:t xml:space="preserve"> </w:t>
      </w:r>
      <w:r>
        <w:t xml:space="preserve">is the point total assigned to attribute</w:t>
      </w:r>
      <w:r>
        <w:t xml:space="preserve"> </w:t>
      </w:r>
      <m:oMath>
        <m:r>
          <m:t>i</m:t>
        </m:r>
      </m:oMath>
      <w:r>
        <w:t xml:space="preserve"> </w:t>
      </w:r>
      <w:r>
        <w:t xml:space="preserve">and</w:t>
      </w:r>
      <w:r>
        <w:t xml:space="preserve"> </w:t>
      </w:r>
      <m:oMath>
        <m:sSub>
          <m:e>
            <m:r>
              <m:t>p</m:t>
            </m:r>
          </m:e>
          <m:sub>
            <m:r>
              <m:rPr>
                <m:sty m:val="p"/>
              </m:rPr>
              <m:t>min</m:t>
            </m:r>
          </m:sub>
        </m:sSub>
        <m:r>
          <m:rPr>
            <m:sty m:val="p"/>
          </m:rPr>
          <m:t>=</m:t>
        </m:r>
        <m:r>
          <m:t>10</m:t>
        </m:r>
      </m:oMath>
      <w:r>
        <w:t xml:space="preserve">. The digital interface presents this as a point-allocation panel: a column of numeric input fields (or stepper controls) pre-populated with 10 for the least important attribute, with real-time normalisation displaying the resulting weight percentages. A visual bar chart beside each attribute grows or shrinks as points are adjusted, ensuring the DM sees the weight consequence of every rating change. SMART has been implemented in mobile decision-support applications with all calculations performed in the background, confirming the algorithmic simplicity of the approach</w:t>
      </w:r>
      <w:r>
        <w:t xml:space="preserve"> </w:t>
      </w:r>
      <w:r>
        <w:rPr>
          <w:vertAlign w:val="superscript"/>
        </w:rPr>
        <w:t xml:space="preserve">61</w:t>
      </w:r>
      <w:r>
        <w:t xml:space="preserve">.</w:t>
      </w:r>
    </w:p>
    <w:p>
      <w:pPr>
        <w:pStyle w:val="BodyText"/>
      </w:pPr>
      <w:r>
        <w:rPr>
          <w:bCs/>
          <w:b/>
        </w:rPr>
        <w:t xml:space="preserve">SWING: visual worst-to-best trade-off simulation.</w:t>
      </w:r>
      <w:r>
        <w:t xml:space="preserve"> </w:t>
      </w:r>
      <w:r>
        <w:t xml:space="preserve">The SWING method begins from the worst hypothetical alternative — all attributes at their minimum level — and asks the DM to choose which single attribute to</w:t>
      </w:r>
      <w:r>
        <w:t xml:space="preserve"> </w:t>
      </w:r>
      <w:r>
        <w:t xml:space="preserve">“</w:t>
      </w:r>
      <w:r>
        <w:t xml:space="preserve">swing</w:t>
      </w:r>
      <w:r>
        <w:t xml:space="preserve">”</w:t>
      </w:r>
      <w:r>
        <w:t xml:space="preserve"> </w:t>
      </w:r>
      <w:r>
        <w:t xml:space="preserve">to its best level</w:t>
      </w:r>
      <w:r>
        <w:t xml:space="preserve"> </w:t>
      </w:r>
      <w:r>
        <w:rPr>
          <w:vertAlign w:val="superscript"/>
        </w:rPr>
        <w:t xml:space="preserve">3</w:t>
      </w:r>
      <w:r>
        <w:t xml:space="preserve">. This attribute receives 100 points; subsequent attributes are rated proportionally. The method requires the DM to consider the full range of variation for each attribute, making it more context-sensitive than simple ranking. The digital implementation uses animated vignette cards: the screen displays a baseline card showing all attributes at worst levels, and the DM clicks the attribute to improve first. The selected attribute animates to its best level while others remain fixed, creating a vivid sense of incremental gain. The DM then clicks the next attribute to improve, and a relative-importance slider appears for scoring</w:t>
      </w:r>
      <w:r>
        <w:t xml:space="preserve"> </w:t>
      </w:r>
      <w:r>
        <w:rPr>
          <w:vertAlign w:val="superscript"/>
        </w:rPr>
        <w:t xml:space="preserve">62</w:t>
      </w:r>
      <w:r>
        <w:t xml:space="preserve">. Researchers implementing online SWING elicitation found that draggable vignettes for ranking combined with slider-based proportional rating significantly improved usability over text-entry forms</w:t>
      </w:r>
      <w:r>
        <w:t xml:space="preserve"> </w:t>
      </w:r>
      <w:r>
        <w:rPr>
          <w:vertAlign w:val="superscript"/>
        </w:rPr>
        <w:t xml:space="preserve">63</w:t>
      </w:r>
      <w:r>
        <w:t xml:space="preserve">.</w:t>
      </w:r>
    </w:p>
    <w:p>
      <w:pPr>
        <w:pStyle w:val="BodyText"/>
      </w:pPr>
      <w:r>
        <w:rPr>
          <w:bCs/>
          <w:b/>
        </w:rPr>
        <w:t xml:space="preserve">AHP: pairwise comparison matrix with real-time consistency guidance.</w:t>
      </w:r>
      <w:r>
        <w:t xml:space="preserve"> </w:t>
      </w:r>
      <w:r>
        <w:t xml:space="preserve">The Analytic Hierarchy Process uses ratio-scale pairwise comparisons. For</w:t>
      </w:r>
      <w:r>
        <w:t xml:space="preserve"> </w:t>
      </w:r>
      <m:oMath>
        <m:r>
          <m:t>n</m:t>
        </m:r>
      </m:oMath>
      <w:r>
        <w:t xml:space="preserve"> </w:t>
      </w:r>
      <w:r>
        <w:t xml:space="preserve">attributes, the DM produces a comparison matrix</w:t>
      </w:r>
      <w:r>
        <w:t xml:space="preserve"> </w:t>
      </w:r>
      <m:oMath>
        <m:r>
          <m:t>A</m:t>
        </m:r>
      </m:oMath>
      <w:r>
        <w:t xml:space="preserve"> </w:t>
      </w:r>
      <w:r>
        <w:t xml:space="preserve">where element</w:t>
      </w:r>
      <w:r>
        <w:t xml:space="preserve"> </w:t>
      </w:r>
      <m:oMath>
        <m:sSub>
          <m:e>
            <m:r>
              <m:t>a</m:t>
            </m:r>
          </m:e>
          <m:sub>
            <m:r>
              <m:t>i</m:t>
            </m:r>
            <m:r>
              <m:t>j</m:t>
            </m:r>
          </m:sub>
        </m:sSub>
      </m:oMath>
      <w:r>
        <w:t xml:space="preserve"> </w:t>
      </w:r>
      <w:r>
        <w:t xml:space="preserve">expresses the ratio of attribute</w:t>
      </w:r>
      <w:r>
        <w:t xml:space="preserve"> </w:t>
      </w:r>
      <m:oMath>
        <m:r>
          <m:t>i</m:t>
        </m:r>
      </m:oMath>
      <w:r>
        <w:t xml:space="preserve">’s importance to attribute</w:t>
      </w:r>
      <w:r>
        <w:t xml:space="preserve"> </w:t>
      </w:r>
      <m:oMath>
        <m:r>
          <m:t>j</m:t>
        </m:r>
      </m:oMath>
      <w:r>
        <w:t xml:space="preserve">’s importance on Saaty’s 1–9 scale</w:t>
      </w:r>
      <w:r>
        <w:t xml:space="preserve"> </w:t>
      </w:r>
      <w:r>
        <w:rPr>
          <w:vertAlign w:val="superscript"/>
        </w:rPr>
        <w:t xml:space="preserve">3</w:t>
      </w:r>
      <w:r>
        <w:t xml:space="preserve">. Weights are derived as the normalised principal eigenvector of</w:t>
      </w:r>
      <w:r>
        <w:t xml:space="preserve"> </w:t>
      </w:r>
      <m:oMath>
        <m:r>
          <m:t>A</m:t>
        </m:r>
      </m:oMath>
      <w:r>
        <w:t xml:space="preserve">:</w:t>
      </w:r>
    </w:p>
    <w:p>
      <w:pPr>
        <w:pStyle w:val="BodyText"/>
      </w:pPr>
      <m:oMathPara>
        <m:oMathParaPr>
          <m:jc m:val="center"/>
        </m:oMathParaPr>
        <m:oMath>
          <m:r>
            <m:t>A</m:t>
          </m:r>
          <m:r>
            <m:rPr>
              <m:sty m:val="b"/>
            </m:rPr>
            <m:t>w</m:t>
          </m:r>
          <m:r>
            <m:rPr>
              <m:sty m:val="p"/>
            </m:rPr>
            <m:t>=</m:t>
          </m:r>
          <m:sSub>
            <m:e>
              <m:r>
                <m:t>λ</m:t>
              </m:r>
            </m:e>
            <m:sub>
              <m:r>
                <m:rPr>
                  <m:sty m:val="p"/>
                </m:rPr>
                <m:t>max</m:t>
              </m:r>
            </m:sub>
          </m:sSub>
          <m:r>
            <m:rPr>
              <m:sty m:val="b"/>
            </m:rPr>
            <m:t>w</m:t>
          </m:r>
        </m:oMath>
      </m:oMathPara>
    </w:p>
    <w:p>
      <w:pPr>
        <w:pStyle w:val="FirstParagraph"/>
      </w:pPr>
      <w:r>
        <w:t xml:space="preserve">Consistency is measured by the Consistency Ratio:</w:t>
      </w:r>
    </w:p>
    <w:p>
      <w:pPr>
        <w:pStyle w:val="BodyText"/>
      </w:pPr>
      <m:oMathPara>
        <m:oMathParaPr>
          <m:jc m:val="center"/>
        </m:oMathParaPr>
        <m:oMath>
          <m:r>
            <m:rPr>
              <m:nor/>
              <m:sty m:val="p"/>
            </m:rPr>
            <m:t>CR</m:t>
          </m:r>
          <m:r>
            <m:rPr>
              <m:sty m:val="p"/>
            </m:rPr>
            <m:t>=</m:t>
          </m:r>
          <m:f>
            <m:fPr>
              <m:type m:val="bar"/>
            </m:fPr>
            <m:num>
              <m:r>
                <m:rPr>
                  <m:nor/>
                  <m:sty m:val="p"/>
                </m:rPr>
                <m:t>CI</m:t>
              </m:r>
            </m:num>
            <m:den>
              <m:r>
                <m:rPr>
                  <m:nor/>
                  <m:sty m:val="p"/>
                </m:rPr>
                <m:t>RI</m:t>
              </m:r>
            </m:den>
          </m:f>
          <m:r>
            <m:rPr>
              <m:sty m:val="p"/>
            </m:rPr>
            <m:t>=</m:t>
          </m:r>
          <m:f>
            <m:fPr>
              <m:type m:val="bar"/>
            </m:fPr>
            <m:num>
              <m:d>
                <m:dPr>
                  <m:begChr m:val="("/>
                  <m:endChr m:val=")"/>
                  <m:sepChr m:val=""/>
                  <m:grow/>
                </m:dPr>
                <m:e>
                  <m:sSub>
                    <m:e>
                      <m:r>
                        <m:t>λ</m:t>
                      </m:r>
                    </m:e>
                    <m:sub>
                      <m:r>
                        <m:rPr>
                          <m:sty m:val="p"/>
                        </m:rPr>
                        <m:t>max</m:t>
                      </m:r>
                    </m:sub>
                  </m:sSub>
                  <m:r>
                    <m:rPr>
                      <m:sty m:val="p"/>
                    </m:rPr>
                    <m:t>−</m:t>
                  </m:r>
                  <m:r>
                    <m:t>n</m:t>
                  </m:r>
                </m:e>
              </m:d>
              <m:r>
                <m:rPr>
                  <m:sty m:val="p"/>
                </m:rPr>
                <m:t>/</m:t>
              </m:r>
              <m:d>
                <m:dPr>
                  <m:begChr m:val="("/>
                  <m:endChr m:val=")"/>
                  <m:sepChr m:val=""/>
                  <m:grow/>
                </m:dPr>
                <m:e>
                  <m:r>
                    <m:t>n</m:t>
                  </m:r>
                  <m:r>
                    <m:rPr>
                      <m:sty m:val="p"/>
                    </m:rPr>
                    <m:t>−</m:t>
                  </m:r>
                  <m:r>
                    <m:t>1</m:t>
                  </m:r>
                </m:e>
              </m:d>
            </m:num>
            <m:den>
              <m:r>
                <m:rPr>
                  <m:nor/>
                  <m:sty m:val="p"/>
                </m:rPr>
                <m:t>RI</m:t>
              </m:r>
            </m:den>
          </m:f>
        </m:oMath>
      </m:oMathPara>
    </w:p>
    <w:p>
      <w:pPr>
        <w:pStyle w:val="FirstParagraph"/>
      </w:pPr>
      <w:r>
        <w:t xml:space="preserve">where RI is the random index for matrix size</w:t>
      </w:r>
      <w:r>
        <w:t xml:space="preserve"> </w:t>
      </w:r>
      <m:oMath>
        <m:r>
          <m:t>n</m:t>
        </m:r>
      </m:oMath>
      <w:r>
        <w:t xml:space="preserve">. Saaty’s threshold of CR</w:t>
      </w:r>
      <w:r>
        <w:t xml:space="preserve"> </w:t>
      </w:r>
      <m:oMath>
        <m:r>
          <m:rPr>
            <m:sty m:val="p"/>
          </m:rPr>
          <m:t>≤</m:t>
        </m:r>
      </m:oMath>
      <w:r>
        <w:t xml:space="preserve"> </w:t>
      </w:r>
      <w:r>
        <w:t xml:space="preserve">0.1 defines acceptable consistency</w:t>
      </w:r>
      <w:r>
        <w:t xml:space="preserve"> </w:t>
      </w:r>
      <w:r>
        <w:rPr>
          <w:vertAlign w:val="superscript"/>
        </w:rPr>
        <w:t xml:space="preserve">64</w:t>
      </w:r>
      <w:r>
        <w:t xml:space="preserve">. The digital AHP interface renders this as a grid of pairwise comparison cells, each containing a slider that the DM moves to indicate relative importance. As each judgment is entered, three real-time feedback mechanisms activate: (1) the CR is recalculated and displayed in colour-coded form (green</w:t>
      </w:r>
      <w:r>
        <w:t xml:space="preserve"> </w:t>
      </w:r>
      <m:oMath>
        <m:r>
          <m:rPr>
            <m:sty m:val="p"/>
          </m:rPr>
          <m:t>≤</m:t>
        </m:r>
      </m:oMath>
      <w:r>
        <w:t xml:space="preserve"> </w:t>
      </w:r>
      <w:r>
        <w:t xml:space="preserve">0.1, yellow 0.1–0.2, red</w:t>
      </w:r>
      <w:r>
        <w:t xml:space="preserve"> </w:t>
      </w:r>
      <m:oMath>
        <m:r>
          <m:rPr>
            <m:sty m:val="p"/>
          </m:rPr>
          <m:t>&gt;</m:t>
        </m:r>
      </m:oMath>
      <w:r>
        <w:t xml:space="preserve"> </w:t>
      </w:r>
      <w:r>
        <w:t xml:space="preserve">0.2); (2) the three most inconsistent judgments are highlighted with recommended revision values; (3) the derived weight vector updates a bar chart in a side panel</w:t>
      </w:r>
      <w:r>
        <w:t xml:space="preserve"> </w:t>
      </w:r>
      <w:r>
        <w:rPr>
          <w:vertAlign w:val="superscript"/>
        </w:rPr>
        <w:t xml:space="preserve">65</w:t>
      </w:r>
      <w:r>
        <w:t xml:space="preserve">. AHP-OS, a free web-based system serving over 5,000 registered users, implements all of these capabilities including group decision support with Shannon entropy-based consensus measurement</w:t>
      </w:r>
      <w:r>
        <w:t xml:space="preserve"> </w:t>
      </w:r>
      <w:r>
        <w:rPr>
          <w:vertAlign w:val="superscript"/>
        </w:rPr>
        <w:t xml:space="preserve">66</w:t>
      </w:r>
      <w:r>
        <w:t xml:space="preserve">. Research on a 2D plot UI widget for AHP showed that transitivity-enforcing visual interfaces reduced required clicks by 36% compared to traditional questionnaire widgets while maintaining comparable consistency ratios</w:t>
      </w:r>
      <w:r>
        <w:t xml:space="preserve"> </w:t>
      </w:r>
      <w:r>
        <w:rPr>
          <w:vertAlign w:val="superscript"/>
        </w:rPr>
        <w:t xml:space="preserve">67</w:t>
      </w:r>
      <w:r>
        <w:t xml:space="preserve">. In a clinical study of 123 participants comparing five preference elicitation methods, the adaptive pairwise approach (PAPRIKA) received the highest ratings for clarity, usability, and perceived ability to express preferences</w:t>
      </w:r>
      <w:r>
        <w:t xml:space="preserve"> </w:t>
      </w:r>
      <w:r>
        <w:rPr>
          <w:vertAlign w:val="superscript"/>
        </w:rPr>
        <w:t xml:space="preserve">68</w:t>
      </w:r>
      <w:r>
        <w:t xml:space="preserve">.</w:t>
      </w:r>
    </w:p>
    <w:p>
      <w:pPr>
        <w:pStyle w:val="BodyText"/>
      </w:pPr>
      <w:r>
        <w:rPr>
          <w:bCs/>
          <w:b/>
        </w:rPr>
        <w:t xml:space="preserve">Rank-based methods: drag-to-rank with automatic weight computation.</w:t>
      </w:r>
      <w:r>
        <w:t xml:space="preserve"> </w:t>
      </w:r>
      <w:r>
        <w:t xml:space="preserve">When the cognitive burden of numerical estimation is excessive, rank-based methods require only an ordering of attributes and compute weights through closed-form formulas</w:t>
      </w:r>
      <w:r>
        <w:t xml:space="preserve"> </w:t>
      </w:r>
      <w:r>
        <w:rPr>
          <w:vertAlign w:val="superscript"/>
        </w:rPr>
        <w:t xml:space="preserve">3</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Unnormalised Weight</w:t>
            </w:r>
          </w:p>
        </w:tc>
        <w:tc>
          <w:tcPr/>
          <w:p>
            <w:pPr>
              <w:pStyle w:val="Compact"/>
              <w:jc w:val="left"/>
            </w:pPr>
            <w:r>
              <w:t xml:space="preserve">Formula</w:t>
            </w:r>
          </w:p>
        </w:tc>
      </w:tr>
      <w:tr>
        <w:tc>
          <w:tcPr/>
          <w:p>
            <w:pPr>
              <w:pStyle w:val="Compact"/>
              <w:jc w:val="left"/>
            </w:pPr>
            <w:r>
              <w:t xml:space="preserve">Rank Sum</w:t>
            </w:r>
          </w:p>
        </w:tc>
        <w:tc>
          <w:tcPr/>
          <w:p>
            <w:pPr>
              <w:pStyle w:val="Compact"/>
              <w:jc w:val="left"/>
            </w:pPr>
            <m:oMath>
              <m:sSub>
                <m:e>
                  <m:r>
                    <m:t>w</m:t>
                  </m:r>
                </m:e>
                <m:sub>
                  <m:r>
                    <m:t>j</m:t>
                  </m:r>
                </m:sub>
              </m:sSub>
              <m:r>
                <m:rPr>
                  <m:sty m:val="p"/>
                </m:rPr>
                <m:t>=</m:t>
              </m:r>
              <m:r>
                <m:t>n</m:t>
              </m:r>
              <m:r>
                <m:rPr>
                  <m:sty m:val="p"/>
                </m:rPr>
                <m:t>−</m:t>
              </m:r>
              <m:sSub>
                <m:e>
                  <m:r>
                    <m:t>R</m:t>
                  </m:r>
                </m:e>
                <m:sub>
                  <m:r>
                    <m:t>j</m:t>
                  </m:r>
                </m:sub>
              </m:sSub>
              <m:r>
                <m:rPr>
                  <m:sty m:val="p"/>
                </m:rPr>
                <m:t>+</m:t>
              </m:r>
              <m:r>
                <m:t>1</m:t>
              </m:r>
            </m:oMath>
          </w:p>
        </w:tc>
        <w:tc>
          <w:tcPr/>
          <w:p>
            <w:pPr>
              <w:pStyle w:val="Compact"/>
              <w:jc w:val="left"/>
            </w:pPr>
            <w:r>
              <w:t xml:space="preserve">Linear decay with rank position</w:t>
            </w:r>
          </w:p>
        </w:tc>
      </w:tr>
      <w:tr>
        <w:tc>
          <w:tcPr/>
          <w:p>
            <w:pPr>
              <w:pStyle w:val="Compact"/>
              <w:jc w:val="left"/>
            </w:pPr>
            <w:r>
              <w:t xml:space="preserve">Reciprocal Rank</w:t>
            </w:r>
          </w:p>
        </w:tc>
        <w:tc>
          <w:tcPr/>
          <w:p>
            <w:pPr>
              <w:pStyle w:val="Compact"/>
              <w:jc w:val="left"/>
            </w:pPr>
            <m:oMath>
              <m:sSub>
                <m:e>
                  <m:r>
                    <m:t>w</m:t>
                  </m:r>
                </m:e>
                <m:sub>
                  <m:r>
                    <m:t>j</m:t>
                  </m:r>
                </m:sub>
              </m:sSub>
              <m:r>
                <m:rPr>
                  <m:sty m:val="p"/>
                </m:rPr>
                <m:t>=</m:t>
              </m:r>
              <m:r>
                <m:t>1</m:t>
              </m:r>
              <m:r>
                <m:rPr>
                  <m:sty m:val="p"/>
                </m:rPr>
                <m:t>/</m:t>
              </m:r>
              <m:sSub>
                <m:e>
                  <m:r>
                    <m:t>R</m:t>
                  </m:r>
                </m:e>
                <m:sub>
                  <m:r>
                    <m:t>j</m:t>
                  </m:r>
                </m:sub>
              </m:sSub>
            </m:oMath>
          </w:p>
        </w:tc>
        <w:tc>
          <w:tcPr/>
          <w:p>
            <w:pPr>
              <w:pStyle w:val="Compact"/>
              <w:jc w:val="left"/>
            </w:pPr>
            <w:r>
              <w:t xml:space="preserve">Inverse proportion to rank</w:t>
            </w:r>
          </w:p>
        </w:tc>
      </w:tr>
      <w:tr>
        <w:tc>
          <w:tcPr/>
          <w:p>
            <w:pPr>
              <w:pStyle w:val="Compact"/>
              <w:jc w:val="left"/>
            </w:pPr>
            <w:r>
              <w:t xml:space="preserve">Rank Exponent</w:t>
            </w:r>
          </w:p>
        </w:tc>
        <w:tc>
          <w:tcPr/>
          <w:p>
            <w:pPr>
              <w:pStyle w:val="Compact"/>
              <w:jc w:val="left"/>
            </w:pPr>
            <m:oMath>
              <m:sSub>
                <m:e>
                  <m:r>
                    <m:t>w</m:t>
                  </m:r>
                </m:e>
                <m:sub>
                  <m:r>
                    <m:t>j</m:t>
                  </m:r>
                </m:sub>
              </m:sSub>
              <m:r>
                <m:rPr>
                  <m:sty m:val="p"/>
                </m:rPr>
                <m:t>=</m:t>
              </m:r>
              <m:sSup>
                <m:e>
                  <m:d>
                    <m:dPr>
                      <m:begChr m:val="("/>
                      <m:endChr m:val=")"/>
                      <m:sepChr m:val=""/>
                      <m:grow/>
                    </m:dPr>
                    <m:e>
                      <m:r>
                        <m:t>n</m:t>
                      </m:r>
                      <m:r>
                        <m:rPr>
                          <m:sty m:val="p"/>
                        </m:rPr>
                        <m:t>−</m:t>
                      </m:r>
                      <m:sSub>
                        <m:e>
                          <m:r>
                            <m:t>R</m:t>
                          </m:r>
                        </m:e>
                        <m:sub>
                          <m:r>
                            <m:t>j</m:t>
                          </m:r>
                        </m:sub>
                      </m:sSub>
                      <m:r>
                        <m:rPr>
                          <m:sty m:val="p"/>
                        </m:rPr>
                        <m:t>+</m:t>
                      </m:r>
                      <m:r>
                        <m:t>1</m:t>
                      </m:r>
                    </m:e>
                  </m:d>
                </m:e>
                <m:sup>
                  <m:r>
                    <m:t>p</m:t>
                  </m:r>
                </m:sup>
              </m:sSup>
            </m:oMath>
          </w:p>
        </w:tc>
        <w:tc>
          <w:tcPr/>
          <w:p>
            <w:pPr>
              <w:pStyle w:val="Compact"/>
              <w:jc w:val="left"/>
            </w:pPr>
            <w:r>
              <w:t xml:space="preserve">Parameter</w:t>
            </w:r>
            <w:r>
              <w:t xml:space="preserve"> </w:t>
            </w:r>
            <m:oMath>
              <m:r>
                <m:t>p</m:t>
              </m:r>
            </m:oMath>
            <w:r>
              <w:t xml:space="preserve"> </w:t>
            </w:r>
            <w:r>
              <w:t xml:space="preserve">controls distribution steepness</w:t>
            </w:r>
          </w:p>
        </w:tc>
      </w:tr>
    </w:tbl>
    <w:p>
      <w:pPr>
        <w:pStyle w:val="BodyText"/>
      </w:pPr>
      <w:r>
        <w:t xml:space="preserve">The digital interface presents attributes as draggable cards. The DM reorders them by importance; weights compute instantly. A parameter slider for the exponent</w:t>
      </w:r>
      <w:r>
        <w:t xml:space="preserve"> </w:t>
      </w:r>
      <m:oMath>
        <m:r>
          <m:t>p</m:t>
        </m:r>
      </m:oMath>
      <w:r>
        <w:t xml:space="preserve"> </w:t>
      </w:r>
      <w:r>
        <w:t xml:space="preserve">in the rank-exponent method lets the DM adjust weight distribution steepness interactively, with the bar chart updating in real time. SMARTER (SMART Exploiting Ranks) — a variant that requires only rank ordering and automatically applies rank-order-centroid weights — achieves approximately 98% of SMART’s accuracy without requiring any difficult numerical judgments from the DM</w:t>
      </w:r>
      <w:r>
        <w:t xml:space="preserve"> </w:t>
      </w:r>
      <w:r>
        <w:rPr>
          <w:vertAlign w:val="superscript"/>
        </w:rPr>
        <w:t xml:space="preserve">69</w:t>
      </w:r>
      <w:r>
        <w:t xml:space="preserve">, making it ideal for large-scale stakeholder surveys where individual attention is limited.</w:t>
      </w:r>
    </w:p>
    <w:p>
      <w:pPr>
        <w:pStyle w:val="BodyText"/>
      </w:pPr>
      <w:r>
        <w:rPr>
          <w:bCs/>
          <w:b/>
        </w:rPr>
        <w:t xml:space="preserve">Hierarchical weight management: local and global weight views.</w:t>
      </w:r>
      <w:r>
        <w:t xml:space="preserve"> </w:t>
      </w:r>
      <w:r>
        <w:t xml:space="preserve">In a multi-level value tree, weights can be defined locally (within each branch) or globally (across all leaf attributes). Local weights are elicited at each node; global weights are computed by multiplying local weights down the tree. The digital interface must present both views: a split-panel showing the value tree on the left and the weight editor on the right. When the DM selects a parent node, the editor displays its children’s local weights; when a leaf node is selected, the global weight (computed from the product of all ancestor local weights) is displayed with a full derivation trail. Automatic roll-up calculations ensure that any change to a local weight propagates to all dependent global weights and refreshes the overall alternative rankings.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Digital Interface Pattern</w:t>
            </w:r>
          </w:p>
        </w:tc>
        <w:tc>
          <w:tcPr/>
          <w:p>
            <w:pPr>
              <w:pStyle w:val="Compact"/>
              <w:jc w:val="left"/>
            </w:pPr>
            <w:r>
              <w:t xml:space="preserve">Key Computational Feature</w:t>
            </w:r>
          </w:p>
        </w:tc>
        <w:tc>
          <w:tcPr/>
          <w:p>
            <w:pPr>
              <w:pStyle w:val="Compact"/>
              <w:jc w:val="left"/>
            </w:pPr>
            <w:r>
              <w:t xml:space="preserve">SaaS Implementation Complexity</w:t>
            </w:r>
          </w:p>
        </w:tc>
        <w:tc>
          <w:tcPr/>
          <w:p>
            <w:pPr>
              <w:pStyle w:val="Compact"/>
              <w:jc w:val="left"/>
            </w:pPr>
            <w:r>
              <w:t xml:space="preserve">Reference Tool</w:t>
            </w:r>
          </w:p>
        </w:tc>
      </w:tr>
      <w:tr>
        <w:tc>
          <w:tcPr/>
          <w:p>
            <w:pPr>
              <w:pStyle w:val="Compact"/>
              <w:jc w:val="left"/>
            </w:pPr>
            <w:r>
              <w:t xml:space="preserve">SMART</w:t>
            </w:r>
          </w:p>
        </w:tc>
        <w:tc>
          <w:tcPr/>
          <w:p>
            <w:pPr>
              <w:pStyle w:val="Compact"/>
              <w:jc w:val="left"/>
            </w:pPr>
            <w:r>
              <w:t xml:space="preserve">Point-allocation inputs with auto-normalisation</w:t>
            </w:r>
          </w:p>
        </w:tc>
        <w:tc>
          <w:tcPr/>
          <w:p>
            <w:pPr>
              <w:pStyle w:val="Compact"/>
              <w:jc w:val="left"/>
            </w:pPr>
            <m:oMath>
              <m:sSub>
                <m:e>
                  <m:r>
                    <m:t>w</m:t>
                  </m:r>
                </m:e>
                <m:sub>
                  <m:r>
                    <m:t>i</m:t>
                  </m:r>
                </m:sub>
              </m:sSub>
              <m:r>
                <m:rPr>
                  <m:sty m:val="p"/>
                </m:rPr>
                <m:t>=</m:t>
              </m:r>
              <m:sSub>
                <m:e>
                  <m:r>
                    <m:t>p</m:t>
                  </m:r>
                </m:e>
                <m:sub>
                  <m:r>
                    <m:t>i</m:t>
                  </m:r>
                </m:sub>
              </m:sSub>
              <m:r>
                <m:rPr>
                  <m:sty m:val="p"/>
                </m:rPr>
                <m:t>/</m:t>
              </m:r>
              <m:r>
                <m:rPr>
                  <m:sty m:val="p"/>
                </m:rPr>
                <m:t>∑</m:t>
              </m:r>
              <m:sSub>
                <m:e>
                  <m:r>
                    <m:t>p</m:t>
                  </m:r>
                </m:e>
                <m:sub>
                  <m:r>
                    <m:t>j</m:t>
                  </m:r>
                </m:sub>
              </m:sSub>
            </m:oMath>
          </w:p>
        </w:tc>
        <w:tc>
          <w:tcPr/>
          <w:p>
            <w:pPr>
              <w:pStyle w:val="Compact"/>
              <w:jc w:val="left"/>
            </w:pPr>
            <w:r>
              <w:t xml:space="preserve">Low — simple arithmetic</w:t>
            </w:r>
          </w:p>
        </w:tc>
        <w:tc>
          <w:tcPr/>
          <w:p>
            <w:pPr>
              <w:pStyle w:val="Compact"/>
              <w:jc w:val="left"/>
            </w:pPr>
            <w:r>
              <w:t xml:space="preserve">Web-HIPRE</w:t>
            </w:r>
            <w:r>
              <w:t xml:space="preserve"> </w:t>
            </w:r>
            <w:r>
              <w:rPr>
                <w:vertAlign w:val="superscript"/>
              </w:rPr>
              <w:t xml:space="preserve">57</w:t>
            </w:r>
          </w:p>
        </w:tc>
      </w:tr>
      <w:tr>
        <w:tc>
          <w:tcPr/>
          <w:p>
            <w:pPr>
              <w:pStyle w:val="Compact"/>
              <w:jc w:val="left"/>
            </w:pPr>
            <w:r>
              <w:t xml:space="preserve">SMARTER</w:t>
            </w:r>
          </w:p>
        </w:tc>
        <w:tc>
          <w:tcPr/>
          <w:p>
            <w:pPr>
              <w:pStyle w:val="Compact"/>
              <w:jc w:val="left"/>
            </w:pPr>
            <w:r>
              <w:t xml:space="preserve">Drag-and-drop rank only; automatic centroid</w:t>
            </w:r>
          </w:p>
        </w:tc>
        <w:tc>
          <w:tcPr/>
          <w:p>
            <w:pPr>
              <w:pStyle w:val="Compact"/>
              <w:jc w:val="left"/>
            </w:pPr>
            <w:r>
              <w:t xml:space="preserve">Rank-order-centroid formula</w:t>
            </w:r>
          </w:p>
        </w:tc>
        <w:tc>
          <w:tcPr/>
          <w:p>
            <w:pPr>
              <w:pStyle w:val="Compact"/>
              <w:jc w:val="left"/>
            </w:pPr>
            <w:r>
              <w:t xml:space="preserve">Very Low — rank input only</w:t>
            </w:r>
          </w:p>
        </w:tc>
        <w:tc>
          <w:tcPr/>
          <w:p>
            <w:pPr>
              <w:pStyle w:val="Compact"/>
              <w:jc w:val="left"/>
            </w:pPr>
            <w:r>
              <w:t xml:space="preserve">Edwards &amp; Barron</w:t>
            </w:r>
            <w:r>
              <w:t xml:space="preserve"> </w:t>
            </w:r>
            <w:r>
              <w:rPr>
                <w:vertAlign w:val="superscript"/>
              </w:rPr>
              <w:t xml:space="preserve">69</w:t>
            </w:r>
          </w:p>
        </w:tc>
      </w:tr>
      <w:tr>
        <w:tc>
          <w:tcPr/>
          <w:p>
            <w:pPr>
              <w:pStyle w:val="Compact"/>
              <w:jc w:val="left"/>
            </w:pPr>
            <w:r>
              <w:t xml:space="preserve">SWING</w:t>
            </w:r>
          </w:p>
        </w:tc>
        <w:tc>
          <w:tcPr/>
          <w:p>
            <w:pPr>
              <w:pStyle w:val="Compact"/>
              <w:jc w:val="left"/>
            </w:pPr>
            <w:r>
              <w:t xml:space="preserve">Animated vignette cards + proportional slider</w:t>
            </w:r>
          </w:p>
        </w:tc>
        <w:tc>
          <w:tcPr/>
          <w:p>
            <w:pPr>
              <w:pStyle w:val="Compact"/>
              <w:jc w:val="left"/>
            </w:pPr>
            <w:r>
              <w:t xml:space="preserve">Hypothetical alternative scoring</w:t>
            </w:r>
          </w:p>
        </w:tc>
        <w:tc>
          <w:tcPr/>
          <w:p>
            <w:pPr>
              <w:pStyle w:val="Compact"/>
              <w:jc w:val="left"/>
            </w:pPr>
            <w:r>
              <w:t xml:space="preserve">Medium — scenario construction</w:t>
            </w:r>
          </w:p>
        </w:tc>
        <w:tc>
          <w:tcPr/>
          <w:p>
            <w:pPr>
              <w:pStyle w:val="Compact"/>
              <w:jc w:val="left"/>
            </w:pPr>
            <w:r>
              <w:t xml:space="preserve">1000minds-style</w:t>
            </w:r>
            <w:r>
              <w:t xml:space="preserve"> </w:t>
            </w:r>
            <w:r>
              <w:rPr>
                <w:vertAlign w:val="superscript"/>
              </w:rPr>
              <w:t xml:space="preserve">60</w:t>
            </w:r>
          </w:p>
        </w:tc>
      </w:tr>
      <w:tr>
        <w:tc>
          <w:tcPr/>
          <w:p>
            <w:pPr>
              <w:pStyle w:val="Compact"/>
              <w:jc w:val="left"/>
            </w:pPr>
            <w:r>
              <w:t xml:space="preserve">AHP</w:t>
            </w:r>
          </w:p>
        </w:tc>
        <w:tc>
          <w:tcPr/>
          <w:p>
            <w:pPr>
              <w:pStyle w:val="Compact"/>
              <w:jc w:val="left"/>
            </w:pPr>
            <w:r>
              <w:t xml:space="preserve">Pairwise slider matrix + real-time CR</w:t>
            </w:r>
          </w:p>
        </w:tc>
        <w:tc>
          <w:tcPr/>
          <w:p>
            <w:pPr>
              <w:pStyle w:val="Compact"/>
              <w:jc w:val="left"/>
            </w:pPr>
            <w:r>
              <w:t xml:space="preserve">Eigenvector + consistency ratio</w:t>
            </w:r>
          </w:p>
        </w:tc>
        <w:tc>
          <w:tcPr/>
          <w:p>
            <w:pPr>
              <w:pStyle w:val="Compact"/>
              <w:jc w:val="left"/>
            </w:pPr>
            <w:r>
              <w:t xml:space="preserve">Medium-High — matrix algebra</w:t>
            </w:r>
          </w:p>
        </w:tc>
        <w:tc>
          <w:tcPr/>
          <w:p>
            <w:pPr>
              <w:pStyle w:val="Compact"/>
              <w:jc w:val="left"/>
            </w:pPr>
            <w:r>
              <w:t xml:space="preserve">AHP-OS</w:t>
            </w:r>
            <w:r>
              <w:t xml:space="preserve"> </w:t>
            </w:r>
            <w:r>
              <w:rPr>
                <w:vertAlign w:val="superscript"/>
              </w:rPr>
              <w:t xml:space="preserve">66</w:t>
            </w:r>
          </w:p>
        </w:tc>
      </w:tr>
      <w:tr>
        <w:tc>
          <w:tcPr/>
          <w:p>
            <w:pPr>
              <w:pStyle w:val="Compact"/>
              <w:jc w:val="left"/>
            </w:pPr>
            <w:r>
              <w:t xml:space="preserve">Rank Sum</w:t>
            </w:r>
          </w:p>
        </w:tc>
        <w:tc>
          <w:tcPr/>
          <w:p>
            <w:pPr>
              <w:pStyle w:val="Compact"/>
              <w:jc w:val="left"/>
            </w:pPr>
            <w:r>
              <w:t xml:space="preserve">Drag-to-rank + formula selection</w:t>
            </w:r>
          </w:p>
        </w:tc>
        <w:tc>
          <w:tcPr/>
          <w:p>
            <w:pPr>
              <w:pStyle w:val="Compact"/>
              <w:jc w:val="left"/>
            </w:pPr>
            <m:oMath>
              <m:sSub>
                <m:e>
                  <m:r>
                    <m:t>w</m:t>
                  </m:r>
                </m:e>
                <m:sub>
                  <m:r>
                    <m:t>j</m:t>
                  </m:r>
                </m:sub>
              </m:sSub>
              <m:r>
                <m:rPr>
                  <m:sty m:val="p"/>
                </m:rPr>
                <m:t>=</m:t>
              </m:r>
              <m:r>
                <m:t>n</m:t>
              </m:r>
              <m:r>
                <m:rPr>
                  <m:sty m:val="p"/>
                </m:rPr>
                <m:t>−</m:t>
              </m:r>
              <m:sSub>
                <m:e>
                  <m:r>
                    <m:t>R</m:t>
                  </m:r>
                </m:e>
                <m:sub>
                  <m:r>
                    <m:t>j</m:t>
                  </m:r>
                </m:sub>
              </m:sSub>
              <m:r>
                <m:rPr>
                  <m:sty m:val="p"/>
                </m:rPr>
                <m:t>+</m:t>
              </m:r>
              <m:r>
                <m:t>1</m:t>
              </m:r>
            </m:oMath>
          </w:p>
        </w:tc>
        <w:tc>
          <w:tcPr/>
          <w:p>
            <w:pPr>
              <w:pStyle w:val="Compact"/>
              <w:jc w:val="left"/>
            </w:pPr>
            <w:r>
              <w:t xml:space="preserve">Very Low — closed form</w:t>
            </w:r>
          </w:p>
        </w:tc>
        <w:tc>
          <w:tcPr/>
          <w:p>
            <w:pPr>
              <w:pStyle w:val="Compact"/>
              <w:jc w:val="left"/>
            </w:pPr>
            <w:r>
              <w:t xml:space="preserve">Web-HIPRE</w:t>
            </w:r>
            <w:r>
              <w:t xml:space="preserve"> </w:t>
            </w:r>
            <w:r>
              <w:rPr>
                <w:vertAlign w:val="superscript"/>
              </w:rPr>
              <w:t xml:space="preserve">57</w:t>
            </w:r>
          </w:p>
        </w:tc>
      </w:tr>
      <w:tr>
        <w:tc>
          <w:tcPr/>
          <w:p>
            <w:pPr>
              <w:pStyle w:val="Compact"/>
              <w:jc w:val="left"/>
            </w:pPr>
            <w:r>
              <w:t xml:space="preserve">Rank Reciprocal</w:t>
            </w:r>
          </w:p>
        </w:tc>
        <w:tc>
          <w:tcPr/>
          <w:p>
            <w:pPr>
              <w:pStyle w:val="Compact"/>
              <w:jc w:val="left"/>
            </w:pPr>
            <w:r>
              <w:t xml:space="preserve">Drag-to-rank + formula selection</w:t>
            </w:r>
          </w:p>
        </w:tc>
        <w:tc>
          <w:tcPr/>
          <w:p>
            <w:pPr>
              <w:pStyle w:val="Compact"/>
              <w:jc w:val="left"/>
            </w:pPr>
            <m:oMath>
              <m:sSub>
                <m:e>
                  <m:r>
                    <m:t>w</m:t>
                  </m:r>
                </m:e>
                <m:sub>
                  <m:r>
                    <m:t>j</m:t>
                  </m:r>
                </m:sub>
              </m:sSub>
              <m:r>
                <m:rPr>
                  <m:sty m:val="p"/>
                </m:rPr>
                <m:t>=</m:t>
              </m:r>
              <m:r>
                <m:t>1</m:t>
              </m:r>
              <m:r>
                <m:rPr>
                  <m:sty m:val="p"/>
                </m:rPr>
                <m:t>/</m:t>
              </m:r>
              <m:sSub>
                <m:e>
                  <m:r>
                    <m:t>R</m:t>
                  </m:r>
                </m:e>
                <m:sub>
                  <m:r>
                    <m:t>j</m:t>
                  </m:r>
                </m:sub>
              </m:sSub>
            </m:oMath>
          </w:p>
        </w:tc>
        <w:tc>
          <w:tcPr/>
          <w:p>
            <w:pPr>
              <w:pStyle w:val="Compact"/>
              <w:jc w:val="left"/>
            </w:pPr>
            <w:r>
              <w:t xml:space="preserve">Very Low — closed form</w:t>
            </w:r>
          </w:p>
        </w:tc>
        <w:tc>
          <w:tcPr/>
          <w:p>
            <w:pPr>
              <w:pStyle w:val="Compact"/>
              <w:jc w:val="left"/>
            </w:pPr>
            <w:r>
              <w:t xml:space="preserve">GITTA framework</w:t>
            </w:r>
            <w:r>
              <w:t xml:space="preserve"> </w:t>
            </w:r>
            <w:r>
              <w:rPr>
                <w:vertAlign w:val="superscript"/>
              </w:rPr>
              <w:t xml:space="preserve">70</w:t>
            </w:r>
          </w:p>
        </w:tc>
      </w:tr>
      <w:tr>
        <w:tc>
          <w:tcPr/>
          <w:p>
            <w:pPr>
              <w:pStyle w:val="Compact"/>
              <w:jc w:val="left"/>
            </w:pPr>
            <w:r>
              <w:t xml:space="preserve">Rank Exponent</w:t>
            </w:r>
          </w:p>
        </w:tc>
        <w:tc>
          <w:tcPr/>
          <w:p>
            <w:pPr>
              <w:pStyle w:val="Compact"/>
              <w:jc w:val="left"/>
            </w:pPr>
            <w:r>
              <w:t xml:space="preserve">Drag-to-rank + parameter slider</w:t>
            </w:r>
          </w:p>
        </w:tc>
        <w:tc>
          <w:tcPr/>
          <w:p>
            <w:pPr>
              <w:pStyle w:val="Compact"/>
              <w:jc w:val="left"/>
            </w:pPr>
            <m:oMath>
              <m:sSub>
                <m:e>
                  <m:r>
                    <m:t>w</m:t>
                  </m:r>
                </m:e>
                <m:sub>
                  <m:r>
                    <m:t>j</m:t>
                  </m:r>
                </m:sub>
              </m:sSub>
              <m:r>
                <m:rPr>
                  <m:sty m:val="p"/>
                </m:rPr>
                <m:t>=</m:t>
              </m:r>
              <m:sSup>
                <m:e>
                  <m:d>
                    <m:dPr>
                      <m:begChr m:val="("/>
                      <m:endChr m:val=")"/>
                      <m:sepChr m:val=""/>
                      <m:grow/>
                    </m:dPr>
                    <m:e>
                      <m:r>
                        <m:t>n</m:t>
                      </m:r>
                      <m:r>
                        <m:rPr>
                          <m:sty m:val="p"/>
                        </m:rPr>
                        <m:t>−</m:t>
                      </m:r>
                      <m:sSub>
                        <m:e>
                          <m:r>
                            <m:t>R</m:t>
                          </m:r>
                        </m:e>
                        <m:sub>
                          <m:r>
                            <m:t>j</m:t>
                          </m:r>
                        </m:sub>
                      </m:sSub>
                      <m:r>
                        <m:rPr>
                          <m:sty m:val="p"/>
                        </m:rPr>
                        <m:t>+</m:t>
                      </m:r>
                      <m:r>
                        <m:t>1</m:t>
                      </m:r>
                    </m:e>
                  </m:d>
                </m:e>
                <m:sup>
                  <m:r>
                    <m:t>p</m:t>
                  </m:r>
                </m:sup>
              </m:sSup>
            </m:oMath>
          </w:p>
        </w:tc>
        <w:tc>
          <w:tcPr/>
          <w:p>
            <w:pPr>
              <w:pStyle w:val="Compact"/>
              <w:jc w:val="left"/>
            </w:pPr>
            <w:r>
              <w:t xml:space="preserve">Low — user controls</w:t>
            </w:r>
            <w:r>
              <w:t xml:space="preserve"> </w:t>
            </w:r>
            <m:oMath>
              <m:r>
                <m:t>p</m:t>
              </m:r>
            </m:oMath>
          </w:p>
        </w:tc>
        <w:tc>
          <w:tcPr/>
          <w:p>
            <w:pPr>
              <w:pStyle w:val="Compact"/>
              <w:jc w:val="left"/>
            </w:pPr>
            <w:r>
              <w:t xml:space="preserve">GITTA framework</w:t>
            </w:r>
            <w:r>
              <w:t xml:space="preserve"> </w:t>
            </w:r>
            <w:r>
              <w:rPr>
                <w:vertAlign w:val="superscript"/>
              </w:rPr>
              <w:t xml:space="preserve">70</w:t>
            </w:r>
          </w:p>
        </w:tc>
      </w:tr>
    </w:tbl>
    <w:p>
      <w:pPr>
        <w:pStyle w:val="BodyText"/>
      </w:pPr>
      <w:r>
        <w:rPr>
          <w:iCs/>
          <w:i/>
        </w:rPr>
        <w:t xml:space="preserve">Table 2: Digital implementation patterns for VTA weight elicitation methods. SMART and rank-based methods require minimal computational infrastructure; AHP demands eigenvector solvers and consistency checking; SWING requires scenario construction and animation support.</w:t>
      </w:r>
    </w:p>
    <w:bookmarkEnd w:id="68"/>
    <w:bookmarkStart w:id="69" w:name="imprecise-preference-handling"/>
    <w:p>
      <w:pPr>
        <w:pStyle w:val="Heading3"/>
      </w:pPr>
      <w:r>
        <w:t xml:space="preserve">4.3 Imprecise Preference Handling</w:t>
      </w:r>
    </w:p>
    <w:p>
      <w:pPr>
        <w:pStyle w:val="FirstParagraph"/>
      </w:pPr>
      <w:r>
        <w:t xml:space="preserve">The methods above assume the DM can state precise numerical values. In practice, decision makers are often uncertain about their preferences, and group decisions inherently involve conflicting views that no single point estimate can capture. The 2002 VTA document introduces the PRIME method (Preference Ratios in Multiattribute Evaluation) as a structured approach to handling imprecision</w:t>
      </w:r>
      <w:r>
        <w:t xml:space="preserve"> </w:t>
      </w:r>
      <w:r>
        <w:rPr>
          <w:vertAlign w:val="superscript"/>
        </w:rPr>
        <w:t xml:space="preserve">3</w:t>
      </w:r>
      <w:r>
        <w:t xml:space="preserve">. Translated into SaaS capabilities, PRIME’s interval-based approach becomes the platform’s most distinctive enterprise feature — the capability that differentiates a purpose-built VTA tool from generic survey or BI platforms.</w:t>
      </w:r>
    </w:p>
    <w:p>
      <w:pPr>
        <w:pStyle w:val="BodyText"/>
      </w:pPr>
      <w:r>
        <w:rPr>
          <w:bCs/>
          <w:b/>
        </w:rPr>
        <w:t xml:space="preserve">Interval-based preference input: range sliders instead of point estimates.</w:t>
      </w:r>
      <w:r>
        <w:t xml:space="preserve"> </w:t>
      </w:r>
      <w:r>
        <w:t xml:space="preserve">Rather than asking a DM to specify that attribute A is</w:t>
      </w:r>
      <w:r>
        <w:t xml:space="preserve"> </w:t>
      </w:r>
      <w:r>
        <w:t xml:space="preserve">“</w:t>
      </w:r>
      <w:r>
        <w:t xml:space="preserve">exactly 3 times more important than attribute B,</w:t>
      </w:r>
      <w:r>
        <w:t xml:space="preserve">”</w:t>
      </w:r>
      <w:r>
        <w:t xml:space="preserve"> </w:t>
      </w:r>
      <w:r>
        <w:t xml:space="preserve">the digital interface presents a range slider allowing the judgment</w:t>
      </w:r>
      <w:r>
        <w:t xml:space="preserve"> </w:t>
      </w:r>
      <w:r>
        <w:t xml:space="preserve">“</w:t>
      </w:r>
      <w:r>
        <w:t xml:space="preserve">between 2 and 4 times.</w:t>
      </w:r>
      <w:r>
        <w:t xml:space="preserve">”</w:t>
      </w:r>
      <w:r>
        <w:t xml:space="preserve"> </w:t>
      </w:r>
      <w:r>
        <w:t xml:space="preserve">Each interval-bound judgment creates a linear constraint on the weight space. The system solves these constraints using linear programming to compute the feasible region. The Deck of Cards Method (DCM) digital implementation — available in HELDA software — demonstrates a related pattern: users insert</w:t>
      </w:r>
      <w:r>
        <w:t xml:space="preserve"> </w:t>
      </w:r>
      <w:r>
        <w:t xml:space="preserve">“</w:t>
      </w:r>
      <w:r>
        <w:t xml:space="preserve">white cards</w:t>
      </w:r>
      <w:r>
        <w:t xml:space="preserve">”</w:t>
      </w:r>
      <w:r>
        <w:t xml:space="preserve"> </w:t>
      </w:r>
      <w:r>
        <w:t xml:space="preserve">between criteria to express interval-based preference strength</w:t>
      </w:r>
      <w:r>
        <w:t xml:space="preserve"> </w:t>
      </w:r>
      <w:r>
        <w:rPr>
          <w:vertAlign w:val="superscript"/>
        </w:rPr>
        <w:t xml:space="preserve">71</w:t>
      </w:r>
      <w:r>
        <w:t xml:space="preserve">. The CROC (Cardinal and Rank Ordering of Criteria) method uses graphical sliders with</w:t>
      </w:r>
      <w:r>
        <w:t xml:space="preserve"> </w:t>
      </w:r>
      <w:r>
        <w:t xml:space="preserve">“</w:t>
      </w:r>
      <w:r>
        <w:t xml:space="preserve">clouded regions</w:t>
      </w:r>
      <w:r>
        <w:t xml:space="preserve">”</w:t>
      </w:r>
      <w:r>
        <w:t xml:space="preserve"> </w:t>
      </w:r>
      <w:r>
        <w:t xml:space="preserve">representing interval uncertainty</w:t>
      </w:r>
      <w:r>
        <w:t xml:space="preserve"> </w:t>
      </w:r>
      <w:r>
        <w:rPr>
          <w:vertAlign w:val="superscript"/>
        </w:rPr>
        <w:t xml:space="preserve">42</w:t>
      </w:r>
      <w:r>
        <w:t xml:space="preserve">. Power BI’s Numeric Range Parameters provide a direct precedent: slicer-based range inputs allow users to explore scenarios with adjustable confidence intervals</w:t>
      </w:r>
      <w:r>
        <w:t xml:space="preserve"> </w:t>
      </w:r>
      <w:r>
        <w:rPr>
          <w:vertAlign w:val="superscript"/>
        </w:rPr>
        <w:t xml:space="preserve">41</w:t>
      </w:r>
      <w:r>
        <w:t xml:space="preserve">.</w:t>
      </w:r>
    </w:p>
    <w:p>
      <w:pPr>
        <w:pStyle w:val="BodyText"/>
      </w:pPr>
      <w:r>
        <w:rPr>
          <w:bCs/>
          <w:b/>
        </w:rPr>
        <w:t xml:space="preserve">PRIME-style ordinal and ratio statements: structured preference language.</w:t>
      </w:r>
      <w:r>
        <w:t xml:space="preserve"> </w:t>
      </w:r>
      <w:r>
        <w:t xml:space="preserve">PRIME supports three types of imprecise statements</w:t>
      </w:r>
      <w:r>
        <w:t xml:space="preserve"> </w:t>
      </w:r>
      <w:r>
        <w:rPr>
          <w:vertAlign w:val="superscript"/>
        </w:rPr>
        <w:t xml:space="preserve">3</w:t>
      </w:r>
      <w:r>
        <w:t xml:space="preserve">: (1) ordinal rankings (</w:t>
      </w:r>
      <m:oMath>
        <m:r>
          <m:t>v</m:t>
        </m:r>
        <m:d>
          <m:dPr>
            <m:begChr m:val="("/>
            <m:endChr m:val=")"/>
            <m:sepChr m:val=""/>
            <m:grow/>
          </m:dPr>
          <m:e>
            <m:sSub>
              <m:e>
                <m:r>
                  <m:t>x</m:t>
                </m:r>
              </m:e>
              <m:sub>
                <m:r>
                  <m:t>j</m:t>
                </m:r>
              </m:sub>
            </m:sSub>
          </m:e>
        </m:d>
        <m:r>
          <m:rPr>
            <m:sty m:val="p"/>
          </m:rPr>
          <m:t>≥</m:t>
        </m:r>
        <m:r>
          <m:t>v</m:t>
        </m:r>
        <m:d>
          <m:dPr>
            <m:begChr m:val="("/>
            <m:endChr m:val=")"/>
            <m:sepChr m:val=""/>
            <m:grow/>
          </m:dPr>
          <m:e>
            <m:sSub>
              <m:e>
                <m:r>
                  <m:t>x</m:t>
                </m:r>
              </m:e>
              <m:sub>
                <m:r>
                  <m:t>k</m:t>
                </m:r>
              </m:sub>
            </m:sSub>
          </m:e>
        </m:d>
      </m:oMath>
      <w:r>
        <w:t xml:space="preserve">), (2) ratio-of-value-difference intervals (</w:t>
      </w:r>
      <m:oMath>
        <m:r>
          <m:t>L</m:t>
        </m:r>
        <m:r>
          <m:rPr>
            <m:sty m:val="p"/>
          </m:rPr>
          <m:t>≤</m:t>
        </m:r>
        <m:f>
          <m:fPr>
            <m:type m:val="bar"/>
          </m:fPr>
          <m:num>
            <m:r>
              <m:t>v</m:t>
            </m:r>
            <m:d>
              <m:dPr>
                <m:begChr m:val="("/>
                <m:endChr m:val=")"/>
                <m:sepChr m:val=""/>
                <m:grow/>
              </m:dPr>
              <m:e>
                <m:sSub>
                  <m:e>
                    <m:r>
                      <m:t>x</m:t>
                    </m:r>
                  </m:e>
                  <m:sub>
                    <m:r>
                      <m:t>j</m:t>
                    </m:r>
                  </m:sub>
                </m:sSub>
              </m:e>
            </m:d>
            <m:r>
              <m:rPr>
                <m:sty m:val="p"/>
              </m:rPr>
              <m:t>−</m:t>
            </m:r>
            <m:r>
              <m:t>v</m:t>
            </m:r>
            <m:d>
              <m:dPr>
                <m:begChr m:val="("/>
                <m:endChr m:val=")"/>
                <m:sepChr m:val=""/>
                <m:grow/>
              </m:dPr>
              <m:e>
                <m:sSub>
                  <m:e>
                    <m:r>
                      <m:t>x</m:t>
                    </m:r>
                  </m:e>
                  <m:sub>
                    <m:r>
                      <m:t>k</m:t>
                    </m:r>
                  </m:sub>
                </m:sSub>
              </m:e>
            </m:d>
          </m:num>
          <m:den>
            <m:r>
              <m:t>v</m:t>
            </m:r>
            <m:d>
              <m:dPr>
                <m:begChr m:val="("/>
                <m:endChr m:val=")"/>
                <m:sepChr m:val=""/>
                <m:grow/>
              </m:dPr>
              <m:e>
                <m:sSub>
                  <m:e>
                    <m:r>
                      <m:t>x</m:t>
                    </m:r>
                  </m:e>
                  <m:sub>
                    <m:r>
                      <m:t>l</m:t>
                    </m:r>
                  </m:sub>
                </m:sSub>
              </m:e>
            </m:d>
            <m:r>
              <m:rPr>
                <m:sty m:val="p"/>
              </m:rPr>
              <m:t>−</m:t>
            </m:r>
            <m:r>
              <m:t>v</m:t>
            </m:r>
            <m:d>
              <m:dPr>
                <m:begChr m:val="("/>
                <m:endChr m:val=")"/>
                <m:sepChr m:val=""/>
                <m:grow/>
              </m:dPr>
              <m:e>
                <m:sSub>
                  <m:e>
                    <m:r>
                      <m:t>x</m:t>
                    </m:r>
                  </m:e>
                  <m:sub>
                    <m:r>
                      <m:t>m</m:t>
                    </m:r>
                  </m:sub>
                </m:sSub>
              </m:e>
            </m:d>
          </m:den>
        </m:f>
        <m:r>
          <m:rPr>
            <m:sty m:val="p"/>
          </m:rPr>
          <m:t>≤</m:t>
        </m:r>
        <m:r>
          <m:t>U</m:t>
        </m:r>
      </m:oMath>
      <w:r>
        <w:t xml:space="preserve">), and (3) holistic comparisons. The digital interface renders these as a structured preference language: ordinal statements are created by drag-and-drop ranking; ratio statements by interval sliders comparing two pairs of alternatives; holistic statements by overall preference toggles between complete alternative profiles. Each statement adds a constraint to the linear programme. The system continuously reports how many constraints have been entered and the dimensionality of the remaining feasible space, giving the DM a sense of progress toward a determinate ranking.</w:t>
      </w:r>
    </w:p>
    <w:p>
      <w:pPr>
        <w:pStyle w:val="BodyText"/>
      </w:pPr>
      <w:r>
        <w:rPr>
          <w:bCs/>
          <w:b/>
        </w:rPr>
        <w:t xml:space="preserve">Value intervals for alternatives: linear programming computation.</w:t>
      </w:r>
      <w:r>
        <w:t xml:space="preserve"> </w:t>
      </w:r>
      <w:r>
        <w:t xml:space="preserve">From imprecise inputs, the system computes best-case and worst-case total values for each alternative by solving:</w:t>
      </w:r>
    </w:p>
    <w:p>
      <w:pPr>
        <w:pStyle w:val="BodyText"/>
      </w:pPr>
      <m:oMathPara>
        <m:oMathParaPr>
          <m:jc m:val="center"/>
        </m:oMathParaPr>
        <m:oMath>
          <m:sSubSup>
            <m:e>
              <m:r>
                <m:t>V</m:t>
              </m:r>
            </m:e>
            <m:sub>
              <m:r>
                <m:t>j</m:t>
              </m:r>
            </m:sub>
            <m:sup>
              <m:r>
                <m:rPr>
                  <m:sty m:val="p"/>
                </m:rPr>
                <m:t>max</m:t>
              </m:r>
            </m:sup>
          </m:sSubSup>
          <m:r>
            <m:rPr>
              <m:sty m:val="p"/>
            </m:rPr>
            <m:t>=</m:t>
          </m:r>
          <m:limLow>
            <m:e>
              <m:r>
                <m:rPr>
                  <m:sty m:val="p"/>
                </m:rPr>
                <m:t>max</m:t>
              </m:r>
            </m:e>
            <m:lim>
              <m:r>
                <m:rPr>
                  <m:sty m:val="b"/>
                </m:rPr>
                <m:t>w</m:t>
              </m:r>
              <m:r>
                <m:rPr>
                  <m:sty m:val="p"/>
                </m:rPr>
                <m:t>∈</m:t>
              </m:r>
              <m:r>
                <m:rPr>
                  <m:sty m:val="p"/>
                  <m:scr m:val="script"/>
                </m:rPr>
                <m:t>W</m:t>
              </m:r>
            </m:lim>
          </m:limLow>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d>
            <m:dPr>
              <m:begChr m:val="("/>
              <m:endChr m:val=")"/>
              <m:sepChr m:val=""/>
              <m:grow/>
            </m:dPr>
            <m:e>
              <m:sSub>
                <m:e>
                  <m:r>
                    <m:t>x</m:t>
                  </m:r>
                </m:e>
                <m:sub>
                  <m:r>
                    <m:t>j</m:t>
                  </m:r>
                  <m:r>
                    <m:t>i</m:t>
                  </m:r>
                </m:sub>
              </m:sSub>
            </m:e>
          </m:d>
          <m:r>
            <m:rPr>
              <m:sty m:val="p"/>
            </m:rPr>
            <m:t>,</m:t>
          </m:r>
          <m:r>
            <m:t>  </m:t>
          </m:r>
          <m:sSubSup>
            <m:e>
              <m:r>
                <m:t>V</m:t>
              </m:r>
            </m:e>
            <m:sub>
              <m:r>
                <m:t>j</m:t>
              </m:r>
            </m:sub>
            <m:sup>
              <m:r>
                <m:rPr>
                  <m:sty m:val="p"/>
                </m:rPr>
                <m:t>min</m:t>
              </m:r>
            </m:sup>
          </m:sSubSup>
          <m:r>
            <m:rPr>
              <m:sty m:val="p"/>
            </m:rPr>
            <m:t>=</m:t>
          </m:r>
          <m:limLow>
            <m:e>
              <m:r>
                <m:rPr>
                  <m:sty m:val="p"/>
                </m:rPr>
                <m:t>min</m:t>
              </m:r>
            </m:e>
            <m:lim>
              <m:r>
                <m:rPr>
                  <m:sty m:val="b"/>
                </m:rPr>
                <m:t>w</m:t>
              </m:r>
              <m:r>
                <m:rPr>
                  <m:sty m:val="p"/>
                </m:rPr>
                <m:t>∈</m:t>
              </m:r>
              <m:r>
                <m:rPr>
                  <m:sty m:val="p"/>
                  <m:scr m:val="script"/>
                </m:rPr>
                <m:t>W</m:t>
              </m:r>
            </m:lim>
          </m:limLow>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d>
            <m:dPr>
              <m:begChr m:val="("/>
              <m:endChr m:val=")"/>
              <m:sepChr m:val=""/>
              <m:grow/>
            </m:dPr>
            <m:e>
              <m:sSub>
                <m:e>
                  <m:r>
                    <m:t>x</m:t>
                  </m:r>
                </m:e>
                <m:sub>
                  <m:r>
                    <m:t>j</m:t>
                  </m:r>
                  <m:r>
                    <m:t>i</m:t>
                  </m:r>
                </m:sub>
              </m:sSub>
            </m:e>
          </m:d>
        </m:oMath>
      </m:oMathPara>
    </w:p>
    <w:p>
      <w:pPr>
        <w:pStyle w:val="FirstParagraph"/>
      </w:pPr>
      <w:r>
        <w:t xml:space="preserve">where</w:t>
      </w:r>
      <w:r>
        <w:t xml:space="preserve"> </w:t>
      </w:r>
      <m:oMath>
        <m:r>
          <m:rPr>
            <m:sty m:val="p"/>
            <m:scr m:val="script"/>
          </m:rPr>
          <m:t>W</m:t>
        </m:r>
      </m:oMath>
      <w:r>
        <w:t xml:space="preserve"> </w:t>
      </w:r>
      <w:r>
        <w:t xml:space="preserve">is the feasible weight region defined by all elicited constraints. The result is an interval</w:t>
      </w:r>
      <w:r>
        <w:t xml:space="preserve"> </w:t>
      </w:r>
      <m:oMath>
        <m:d>
          <m:dPr>
            <m:begChr m:val="["/>
            <m:endChr m:val="]"/>
            <m:sepChr m:val=""/>
            <m:grow/>
          </m:dPr>
          <m:e>
            <m:sSubSup>
              <m:e>
                <m:r>
                  <m:t>V</m:t>
                </m:r>
              </m:e>
              <m:sub>
                <m:r>
                  <m:t>j</m:t>
                </m:r>
              </m:sub>
              <m:sup>
                <m:r>
                  <m:rPr>
                    <m:sty m:val="p"/>
                  </m:rPr>
                  <m:t>min</m:t>
                </m:r>
              </m:sup>
            </m:sSubSup>
            <m:r>
              <m:rPr>
                <m:sty m:val="p"/>
              </m:rPr>
              <m:t>,</m:t>
            </m:r>
            <m:sSubSup>
              <m:e>
                <m:r>
                  <m:t>V</m:t>
                </m:r>
              </m:e>
              <m:sub>
                <m:r>
                  <m:t>j</m:t>
                </m:r>
              </m:sub>
              <m:sup>
                <m:r>
                  <m:rPr>
                    <m:sty m:val="p"/>
                  </m:rPr>
                  <m:t>max</m:t>
                </m:r>
              </m:sup>
            </m:sSubSup>
          </m:e>
        </m:d>
      </m:oMath>
      <w:r>
        <w:t xml:space="preserve"> </w:t>
      </w:r>
      <w:r>
        <w:t xml:space="preserve">for each alternative. These intervals are displayed as horizontal error-bar segments on the ranking chart, immediately communicating which alternatives are clearly separable and which overlap in value.</w:t>
      </w:r>
    </w:p>
    <w:p>
      <w:pPr>
        <w:pStyle w:val="BodyText"/>
      </w:pPr>
      <w:r>
        <w:rPr>
          <w:bCs/>
          <w:b/>
        </w:rPr>
        <w:t xml:space="preserve">Dominance analysis: absolute and pairwise dominance detection.</w:t>
      </w:r>
      <w:r>
        <w:t xml:space="preserve"> </w:t>
      </w:r>
      <w:r>
        <w:t xml:space="preserve">Two dominance concepts operate on value intervals</w:t>
      </w:r>
      <w:r>
        <w:t xml:space="preserve"> </w:t>
      </w:r>
      <w:r>
        <w:rPr>
          <w:vertAlign w:val="superscript"/>
        </w:rPr>
        <w:t xml:space="preserve">3</w:t>
      </w:r>
      <w:r>
        <w:t xml:space="preserve">.</w:t>
      </w:r>
      <w:r>
        <w:t xml:space="preserve"> </w:t>
      </w:r>
      <w:r>
        <w:rPr>
          <w:iCs/>
          <w:i/>
        </w:rPr>
        <w:t xml:space="preserve">Absolute dominance</w:t>
      </w:r>
      <w:r>
        <w:t xml:space="preserve"> </w:t>
      </w:r>
      <w:r>
        <w:t xml:space="preserve">holds when one alternative’s entire value interval lies above another’s:</w:t>
      </w:r>
    </w:p>
    <w:p>
      <w:pPr>
        <w:pStyle w:val="BodyText"/>
      </w:pPr>
      <m:oMathPara>
        <m:oMathParaPr>
          <m:jc m:val="center"/>
        </m:oMathParaPr>
        <m:oMath>
          <m:sSubSup>
            <m:e>
              <m:r>
                <m:t>V</m:t>
              </m:r>
            </m:e>
            <m:sub>
              <m:r>
                <m:t>j</m:t>
              </m:r>
            </m:sub>
            <m:sup>
              <m:r>
                <m:rPr>
                  <m:sty m:val="p"/>
                </m:rPr>
                <m:t>min</m:t>
              </m:r>
            </m:sup>
          </m:sSubSup>
          <m:r>
            <m:rPr>
              <m:sty m:val="p"/>
            </m:rPr>
            <m:t>&gt;</m:t>
          </m:r>
          <m:sSubSup>
            <m:e>
              <m:r>
                <m:t>V</m:t>
              </m:r>
            </m:e>
            <m:sub>
              <m:r>
                <m:t>k</m:t>
              </m:r>
            </m:sub>
            <m:sup>
              <m:r>
                <m:rPr>
                  <m:sty m:val="p"/>
                </m:rPr>
                <m:t>max</m:t>
              </m:r>
            </m:sup>
          </m:sSubSup>
          <m:r>
            <m:t> </m:t>
          </m:r>
          <m:r>
            <m:rPr>
              <m:sty m:val="p"/>
            </m:rPr>
            <m:t>⇒</m:t>
          </m:r>
          <m:r>
            <m:t> </m:t>
          </m:r>
          <m:r>
            <m:rPr>
              <m:nor/>
              <m:sty m:val="p"/>
            </m:rPr>
            <m:t>alternative </m:t>
          </m:r>
          <m:r>
            <m:t>j</m:t>
          </m:r>
          <m:r>
            <m:rPr>
              <m:nor/>
              <m:sty m:val="p"/>
            </m:rPr>
            <m:t> absolutely dominates alternative </m:t>
          </m:r>
          <m:r>
            <m:t>k</m:t>
          </m:r>
        </m:oMath>
      </m:oMathPara>
    </w:p>
    <w:p>
      <w:pPr>
        <w:pStyle w:val="FirstParagraph"/>
      </w:pPr>
      <w:r>
        <w:rPr>
          <w:iCs/>
          <w:i/>
        </w:rPr>
        <w:t xml:space="preserve">Pairwise dominance</w:t>
      </w:r>
      <w:r>
        <w:t xml:space="preserve"> </w:t>
      </w:r>
      <w:r>
        <w:t xml:space="preserve">is a weaker condition: alternative</w:t>
      </w:r>
      <w:r>
        <w:t xml:space="preserve"> </w:t>
      </w:r>
      <m:oMath>
        <m:r>
          <m:t>j</m:t>
        </m:r>
      </m:oMath>
      <w:r>
        <w:t xml:space="preserve"> </w:t>
      </w:r>
      <w:r>
        <w:t xml:space="preserve">pairwise-dominates</w:t>
      </w:r>
      <w:r>
        <w:t xml:space="preserve"> </w:t>
      </w:r>
      <m:oMath>
        <m:r>
          <m:t>k</m:t>
        </m:r>
      </m:oMath>
      <w:r>
        <w:t xml:space="preserve"> </w:t>
      </w:r>
      <w:r>
        <w:t xml:space="preserve">if, for every feasible weight vector in</w:t>
      </w:r>
      <w:r>
        <w:t xml:space="preserve"> </w:t>
      </w:r>
      <m:oMath>
        <m:r>
          <m:rPr>
            <m:sty m:val="p"/>
            <m:scr m:val="script"/>
          </m:rPr>
          <m:t>W</m:t>
        </m:r>
      </m:oMath>
      <w:r>
        <w:t xml:space="preserve">,</w:t>
      </w:r>
      <w:r>
        <w:t xml:space="preserve"> </w:t>
      </w:r>
      <m:oMath>
        <m:r>
          <m:t>j</m:t>
        </m:r>
      </m:oMath>
      <w:r>
        <w:t xml:space="preserve">’s total value exceeds</w:t>
      </w:r>
      <w:r>
        <w:t xml:space="preserve"> </w:t>
      </w:r>
      <m:oMath>
        <m:r>
          <m:t>k</m:t>
        </m:r>
      </m:oMath>
      <w:r>
        <w:t xml:space="preserve">’s. The digital interface automatically computes both dominance structures and renders them as an interactive matrix: dominated alternatives are greyed out, absolutely dominated rows show a clear</w:t>
      </w:r>
      <w:r>
        <w:t xml:space="preserve"> </w:t>
      </w:r>
      <w:r>
        <w:t xml:space="preserve">“</w:t>
      </w:r>
      <w:r>
        <w:t xml:space="preserve">eliminated</w:t>
      </w:r>
      <w:r>
        <w:t xml:space="preserve">”</w:t>
      </w:r>
      <w:r>
        <w:t xml:space="preserve"> </w:t>
      </w:r>
      <w:r>
        <w:t xml:space="preserve">badge, and hovering over a cell reveals the linear programming certificate proving the dominance relationship. DecideIT — the closest existing implementation — provides embedded sensitivity analysis through contraction levels that zoom into overlapping intervals to identify where dominance can be established</w:t>
      </w:r>
      <w:r>
        <w:t xml:space="preserve"> </w:t>
      </w:r>
      <w:r>
        <w:rPr>
          <w:vertAlign w:val="superscript"/>
        </w:rPr>
        <w:t xml:space="preserve">72</w:t>
      </w:r>
      <w:r>
        <w:t xml:space="preserve">.</w:t>
      </w:r>
    </w:p>
    <w:p>
      <w:pPr>
        <w:pStyle w:val="BodyText"/>
      </w:pPr>
      <w:r>
        <w:rPr>
          <w:bCs/>
          <w:b/>
        </w:rPr>
        <w:t xml:space="preserve">Decision rules under uncertainty: maximax, maximin, minimax regret, central value.</w:t>
      </w:r>
      <w:r>
        <w:t xml:space="preserve"> </w:t>
      </w:r>
      <w:r>
        <w:t xml:space="preserve">When intervals overlap and no dominance relationship holds, the platform offers four decision rules for breaking the tie</w:t>
      </w:r>
      <w:r>
        <w:t xml:space="preserve"> </w:t>
      </w:r>
      <w:r>
        <w:rPr>
          <w:vertAlign w:val="superscript"/>
        </w:rPr>
        <w:t xml:space="preserve">3</w:t>
      </w:r>
      <w:r>
        <w:t xml:space="preserve">:</w:t>
      </w:r>
      <w:r>
        <w:t xml:space="preserve"> </w:t>
      </w:r>
      <w:r>
        <w:rPr>
          <w:iCs/>
          <w:i/>
        </w:rPr>
        <w:t xml:space="preserve">maximax</w:t>
      </w:r>
      <w:r>
        <w:t xml:space="preserve"> </w:t>
      </w:r>
      <w:r>
        <w:t xml:space="preserve">selects the alternative with the largest possible upper bound (optimistic);</w:t>
      </w:r>
      <w:r>
        <w:t xml:space="preserve"> </w:t>
      </w:r>
      <w:r>
        <w:rPr>
          <w:iCs/>
          <w:i/>
        </w:rPr>
        <w:t xml:space="preserve">maximin</w:t>
      </w:r>
      <w:r>
        <w:t xml:space="preserve"> </w:t>
      </w:r>
      <w:r>
        <w:t xml:space="preserve">selects the one with the largest lower bound (pessimistic);</w:t>
      </w:r>
      <w:r>
        <w:t xml:space="preserve"> </w:t>
      </w:r>
      <w:r>
        <w:rPr>
          <w:iCs/>
          <w:i/>
        </w:rPr>
        <w:t xml:space="preserve">minimax regret</w:t>
      </w:r>
      <w:r>
        <w:t xml:space="preserve"> </w:t>
      </w:r>
      <w:r>
        <w:t xml:space="preserve">selects the one minimising the maximum possible regret across all feasible weights;</w:t>
      </w:r>
      <w:r>
        <w:t xml:space="preserve"> </w:t>
      </w:r>
      <w:r>
        <w:rPr>
          <w:iCs/>
          <w:i/>
        </w:rPr>
        <w:t xml:space="preserve">central value</w:t>
      </w:r>
      <w:r>
        <w:t xml:space="preserve"> </w:t>
      </w:r>
      <w:r>
        <w:t xml:space="preserve">selects the one with the highest midpoint of its value interval. The digital interface presents these as a selectable rule set with animated visual explanations — for example, maximax highlights the right endpoint of each interval bar, maximin highlights the left, and minimax regret shows a</w:t>
      </w:r>
      <w:r>
        <w:t xml:space="preserve"> </w:t>
      </w:r>
      <w:r>
        <w:t xml:space="preserve">“</w:t>
      </w:r>
      <w:r>
        <w:t xml:space="preserve">regret gap</w:t>
      </w:r>
      <w:r>
        <w:t xml:space="preserve">”</w:t>
      </w:r>
      <w:r>
        <w:t xml:space="preserve"> </w:t>
      </w:r>
      <w:r>
        <w:t xml:space="preserve">animation illustrating the worst-case loss for each alternative.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PRIME Concept (2002 VTA)</w:t>
            </w:r>
          </w:p>
        </w:tc>
        <w:tc>
          <w:tcPr/>
          <w:p>
            <w:pPr>
              <w:pStyle w:val="Compact"/>
              <w:jc w:val="left"/>
            </w:pPr>
            <w:r>
              <w:t xml:space="preserve">Digital SaaS Capability</w:t>
            </w:r>
          </w:p>
        </w:tc>
        <w:tc>
          <w:tcPr/>
          <w:p>
            <w:pPr>
              <w:pStyle w:val="Compact"/>
              <w:jc w:val="left"/>
            </w:pPr>
            <w:r>
              <w:t xml:space="preserve">Technical Implementation</w:t>
            </w:r>
          </w:p>
        </w:tc>
        <w:tc>
          <w:tcPr/>
          <w:p>
            <w:pPr>
              <w:pStyle w:val="Compact"/>
              <w:jc w:val="left"/>
            </w:pPr>
            <w:r>
              <w:t xml:space="preserve">Gap in Current Market</w:t>
            </w:r>
          </w:p>
        </w:tc>
      </w:tr>
      <w:tr>
        <w:tc>
          <w:tcPr/>
          <w:p>
            <w:pPr>
              <w:pStyle w:val="Compact"/>
              <w:jc w:val="left"/>
            </w:pPr>
            <w:r>
              <w:t xml:space="preserve">Interval-valued ratio statements</w:t>
            </w:r>
          </w:p>
        </w:tc>
        <w:tc>
          <w:tcPr/>
          <w:p>
            <w:pPr>
              <w:pStyle w:val="Compact"/>
              <w:jc w:val="left"/>
            </w:pPr>
            <w:r>
              <w:t xml:space="preserve">Dual-handle range sliders for weight ratios</w:t>
            </w:r>
          </w:p>
        </w:tc>
        <w:tc>
          <w:tcPr/>
          <w:p>
            <w:pPr>
              <w:pStyle w:val="Compact"/>
              <w:jc w:val="left"/>
            </w:pPr>
            <w:r>
              <w:t xml:space="preserve">LP constraint generation; feasible region solver</w:t>
            </w:r>
          </w:p>
        </w:tc>
        <w:tc>
          <w:tcPr/>
          <w:p>
            <w:pPr>
              <w:pStyle w:val="Compact"/>
              <w:jc w:val="left"/>
            </w:pPr>
            <w:r>
              <w:t xml:space="preserve">No mainstream BI tool offers interval-based pairwise input</w:t>
            </w:r>
            <w:r>
              <w:t xml:space="preserve"> </w:t>
            </w:r>
            <w:r>
              <w:rPr>
                <w:vertAlign w:val="superscript"/>
              </w:rPr>
              <w:t xml:space="preserve">41</w:t>
            </w:r>
          </w:p>
        </w:tc>
      </w:tr>
      <w:tr>
        <w:tc>
          <w:tcPr/>
          <w:p>
            <w:pPr>
              <w:pStyle w:val="Compact"/>
              <w:jc w:val="left"/>
            </w:pPr>
            <w:r>
              <w:t xml:space="preserve">Ordinal ranking constraints</w:t>
            </w:r>
          </w:p>
        </w:tc>
        <w:tc>
          <w:tcPr/>
          <w:p>
            <w:pPr>
              <w:pStyle w:val="Compact"/>
              <w:jc w:val="left"/>
            </w:pPr>
            <w:r>
              <w:t xml:space="preserve">Drag-and-drop ranking with LP constraint export</w:t>
            </w:r>
          </w:p>
        </w:tc>
        <w:tc>
          <w:tcPr/>
          <w:p>
            <w:pPr>
              <w:pStyle w:val="Compact"/>
              <w:jc w:val="left"/>
            </w:pPr>
            <w:r>
              <w:t xml:space="preserve">Topological sort + constraint matrix</w:t>
            </w:r>
          </w:p>
        </w:tc>
        <w:tc>
          <w:tcPr/>
          <w:p>
            <w:pPr>
              <w:pStyle w:val="Compact"/>
              <w:jc w:val="left"/>
            </w:pPr>
            <w:r>
              <w:t xml:space="preserve">Available in 1000minds, Web-HIPRE</w:t>
            </w:r>
            <w:r>
              <w:t xml:space="preserve"> </w:t>
            </w:r>
            <w:r>
              <w:rPr>
                <w:vertAlign w:val="superscript"/>
              </w:rPr>
              <w:t xml:space="preserve">57</w:t>
            </w:r>
            <w:r>
              <w:t xml:space="preserve"> </w:t>
            </w:r>
            <w:r>
              <w:rPr>
                <w:vertAlign w:val="superscript"/>
              </w:rPr>
              <w:t xml:space="preserve">60</w:t>
            </w:r>
          </w:p>
        </w:tc>
      </w:tr>
      <w:tr>
        <w:tc>
          <w:tcPr/>
          <w:p>
            <w:pPr>
              <w:pStyle w:val="Compact"/>
              <w:jc w:val="left"/>
            </w:pPr>
            <w:r>
              <w:t xml:space="preserve">Value intervals for alternatives</w:t>
            </w:r>
          </w:p>
        </w:tc>
        <w:tc>
          <w:tcPr/>
          <w:p>
            <w:pPr>
              <w:pStyle w:val="Compact"/>
              <w:jc w:val="left"/>
            </w:pPr>
            <w:r>
              <w:t xml:space="preserve">Error-bar ranking chart with confidence regions</w:t>
            </w:r>
          </w:p>
        </w:tc>
        <w:tc>
          <w:tcPr/>
          <w:p>
            <w:pPr>
              <w:pStyle w:val="Compact"/>
              <w:jc w:val="left"/>
            </w:pPr>
            <w:r>
              <w:t xml:space="preserve">LP optimisation per alternative (max/min)</w:t>
            </w:r>
          </w:p>
        </w:tc>
        <w:tc>
          <w:tcPr/>
          <w:p>
            <w:pPr>
              <w:pStyle w:val="Compact"/>
              <w:jc w:val="left"/>
            </w:pPr>
            <w:r>
              <w:t xml:space="preserve">DecideIT only; no cloud-native equivalent</w:t>
            </w:r>
            <w:r>
              <w:t xml:space="preserve"> </w:t>
            </w:r>
            <w:r>
              <w:rPr>
                <w:vertAlign w:val="superscript"/>
              </w:rPr>
              <w:t xml:space="preserve">72</w:t>
            </w:r>
          </w:p>
        </w:tc>
      </w:tr>
      <w:tr>
        <w:tc>
          <w:tcPr/>
          <w:p>
            <w:pPr>
              <w:pStyle w:val="Compact"/>
              <w:jc w:val="left"/>
            </w:pPr>
            <w:r>
              <w:t xml:space="preserve">Absolute dominance detection</w:t>
            </w:r>
          </w:p>
        </w:tc>
        <w:tc>
          <w:tcPr/>
          <w:p>
            <w:pPr>
              <w:pStyle w:val="Compact"/>
              <w:jc w:val="left"/>
            </w:pPr>
            <w:r>
              <w:t xml:space="preserve">Auto-greyed dominated alternatives with certificate</w:t>
            </w:r>
          </w:p>
        </w:tc>
        <w:tc>
          <w:tcPr/>
          <w:p>
            <w:pPr>
              <w:pStyle w:val="Compact"/>
              <w:jc w:val="left"/>
            </w:pPr>
            <w:r>
              <w:t xml:space="preserve">Interval bound comparison</w:t>
            </w:r>
          </w:p>
        </w:tc>
        <w:tc>
          <w:tcPr/>
          <w:p>
            <w:pPr>
              <w:pStyle w:val="Compact"/>
              <w:jc w:val="left"/>
            </w:pPr>
            <w:r>
              <w:t xml:space="preserve">Partially available in DecideIT</w:t>
            </w:r>
            <w:r>
              <w:t xml:space="preserve"> </w:t>
            </w:r>
            <w:r>
              <w:rPr>
                <w:vertAlign w:val="superscript"/>
              </w:rPr>
              <w:t xml:space="preserve">72</w:t>
            </w:r>
          </w:p>
        </w:tc>
      </w:tr>
      <w:tr>
        <w:tc>
          <w:tcPr/>
          <w:p>
            <w:pPr>
              <w:pStyle w:val="Compact"/>
              <w:jc w:val="left"/>
            </w:pPr>
            <w:r>
              <w:t xml:space="preserve">Pairwise dominance detection</w:t>
            </w:r>
          </w:p>
        </w:tc>
        <w:tc>
          <w:tcPr/>
          <w:p>
            <w:pPr>
              <w:pStyle w:val="Compact"/>
              <w:jc w:val="left"/>
            </w:pPr>
            <w:r>
              <w:t xml:space="preserve">Interactive dominance matrix with LP proof</w:t>
            </w:r>
          </w:p>
        </w:tc>
        <w:tc>
          <w:tcPr/>
          <w:p>
            <w:pPr>
              <w:pStyle w:val="Compact"/>
              <w:jc w:val="left"/>
            </w:pPr>
            <w:r>
              <w:t xml:space="preserve">Weight-space feasibility testing per pair</w:t>
            </w:r>
          </w:p>
        </w:tc>
        <w:tc>
          <w:tcPr/>
          <w:p>
            <w:pPr>
              <w:pStyle w:val="Compact"/>
              <w:jc w:val="left"/>
            </w:pPr>
            <w:r>
              <w:t xml:space="preserve">DecideIT only</w:t>
            </w:r>
            <w:r>
              <w:t xml:space="preserve"> </w:t>
            </w:r>
            <w:r>
              <w:rPr>
                <w:vertAlign w:val="superscript"/>
              </w:rPr>
              <w:t xml:space="preserve">72</w:t>
            </w:r>
          </w:p>
        </w:tc>
      </w:tr>
      <w:tr>
        <w:tc>
          <w:tcPr/>
          <w:p>
            <w:pPr>
              <w:pStyle w:val="Compact"/>
              <w:jc w:val="left"/>
            </w:pPr>
            <w:r>
              <w:t xml:space="preserve">Decision rules (maximax, maximin, etc.)</w:t>
            </w:r>
          </w:p>
        </w:tc>
        <w:tc>
          <w:tcPr/>
          <w:p>
            <w:pPr>
              <w:pStyle w:val="Compact"/>
              <w:jc w:val="left"/>
            </w:pPr>
            <w:r>
              <w:t xml:space="preserve">Animated rule selector with visual explanation</w:t>
            </w:r>
          </w:p>
        </w:tc>
        <w:tc>
          <w:tcPr/>
          <w:p>
            <w:pPr>
              <w:pStyle w:val="Compact"/>
              <w:jc w:val="left"/>
            </w:pPr>
            <w:r>
              <w:t xml:space="preserve">Interval endpoint arithmetic; regret computation</w:t>
            </w:r>
          </w:p>
        </w:tc>
        <w:tc>
          <w:tcPr/>
          <w:p>
            <w:pPr>
              <w:pStyle w:val="Compact"/>
              <w:jc w:val="left"/>
            </w:pPr>
            <w:r>
              <w:t xml:space="preserve">Anaplan scenarios approximate; no VTA-native implementation</w:t>
            </w:r>
            <w:r>
              <w:t xml:space="preserve"> </w:t>
            </w:r>
            <w:r>
              <w:rPr>
                <w:vertAlign w:val="superscript"/>
              </w:rPr>
              <w:t xml:space="preserve">73</w:t>
            </w:r>
          </w:p>
        </w:tc>
      </w:tr>
      <w:tr>
        <w:tc>
          <w:tcPr/>
          <w:p>
            <w:pPr>
              <w:pStyle w:val="Compact"/>
              <w:jc w:val="left"/>
            </w:pPr>
            <w:r>
              <w:t xml:space="preserve">Group interval aggregation</w:t>
            </w:r>
          </w:p>
        </w:tc>
        <w:tc>
          <w:tcPr/>
          <w:p>
            <w:pPr>
              <w:pStyle w:val="Compact"/>
              <w:jc w:val="left"/>
            </w:pPr>
            <w:r>
              <w:t xml:space="preserve">Multi-stakeholder interval merging with disagreement heatmap</w:t>
            </w:r>
          </w:p>
        </w:tc>
        <w:tc>
          <w:tcPr/>
          <w:p>
            <w:pPr>
              <w:pStyle w:val="Compact"/>
              <w:jc w:val="left"/>
            </w:pPr>
            <w:r>
              <w:t xml:space="preserve">Interval intersection/union; disagreement index</w:t>
            </w:r>
          </w:p>
        </w:tc>
        <w:tc>
          <w:tcPr/>
          <w:p>
            <w:pPr>
              <w:pStyle w:val="Compact"/>
              <w:jc w:val="left"/>
            </w:pPr>
            <w:r>
              <w:t xml:space="preserve">Loomio voting lacks structured interval aggregation</w:t>
            </w:r>
            <w:r>
              <w:t xml:space="preserve"> </w:t>
            </w:r>
            <w:r>
              <w:rPr>
                <w:vertAlign w:val="superscript"/>
              </w:rPr>
              <w:t xml:space="preserve">74</w:t>
            </w:r>
          </w:p>
        </w:tc>
      </w:tr>
    </w:tbl>
    <w:p>
      <w:pPr>
        <w:pStyle w:val="BodyText"/>
      </w:pPr>
      <w:r>
        <w:rPr>
          <w:iCs/>
          <w:i/>
        </w:rPr>
        <w:t xml:space="preserve">Table 3: Mapping of PRIME imprecise preference concepts to SaaS capabilities. The rightmost column highlights the competitive gap: no cloud-native platform currently combines all seven capabilities in a single product.</w:t>
      </w:r>
    </w:p>
    <w:p>
      <w:pPr>
        <w:pStyle w:val="BodyText"/>
      </w:pPr>
      <w:r>
        <w:t xml:space="preserve">The significance of this table extends beyond feature-checking. Each row represents a capability that transforms a source of decision-making friction — uncertainty, disagreement, incomplete information — into structured data. When a procurement committee cannot agree on exact weights, the platform captures their disagreement as intervals rather than forcing false consensus. When a DM is uncertain about a ratio judgment, a range slider records that uncertainty rather than manufacturing precision. The resulting value intervals and dominance structures communicate honestly about what the data supports, building trust in the decision process. Research on uncertainty visualisation in MCDA dashboards found that including uncertainty displays increases response time by only 1.53 seconds but prompts users to think more deeply about input data before committing to a choice</w:t>
      </w:r>
      <w:r>
        <w:t xml:space="preserve"> </w:t>
      </w:r>
      <w:r>
        <w:rPr>
          <w:vertAlign w:val="superscript"/>
        </w:rPr>
        <w:t xml:space="preserve">33</w:t>
      </w:r>
      <w:r>
        <w:t xml:space="preserve">.</w:t>
      </w:r>
    </w:p>
    <w:p>
      <w:pPr>
        <w:pStyle w:val="BodyText"/>
      </w:pPr>
      <w:r>
        <w:rPr>
          <w:bCs/>
          <w:b/>
        </w:rPr>
        <w:t xml:space="preserve">Diagram Description: Digital Preference Elicitation Engine Architecture.</w:t>
      </w:r>
      <w:r>
        <w:t xml:space="preserve"> </w:t>
      </w:r>
      <w:r>
        <w:t xml:space="preserve">The Digital Preference Elicitation Engine is structured as a three-layer system. At the top, the</w:t>
      </w:r>
      <w:r>
        <w:t xml:space="preserve"> </w:t>
      </w:r>
      <w:r>
        <w:rPr>
          <w:bCs/>
          <w:b/>
        </w:rPr>
        <w:t xml:space="preserve">Interaction Layer</w:t>
      </w:r>
      <w:r>
        <w:t xml:space="preserve"> </w:t>
      </w:r>
      <w:r>
        <w:t xml:space="preserve">presents five method-specific interfaces — sliders for direct rating, emoji selectors for category estimation, D3.js curve editors for value function drawing, vignette cards for SWING, and pairwise comparison matrices for AHP. Each interface feeds into the</w:t>
      </w:r>
      <w:r>
        <w:t xml:space="preserve"> </w:t>
      </w:r>
      <w:r>
        <w:rPr>
          <w:bCs/>
          <w:b/>
        </w:rPr>
        <w:t xml:space="preserve">Computation Layer</w:t>
      </w:r>
      <w:r>
        <w:t xml:space="preserve">, which runs three parallel solver types: an eigenvector engine for AHP weights, a linear programming solver for PRIME interval computations, and a preference-learning inference module for AI-assisted draft values. The Computation Layer outputs to the</w:t>
      </w:r>
      <w:r>
        <w:t xml:space="preserve"> </w:t>
      </w:r>
      <w:r>
        <w:rPr>
          <w:bCs/>
          <w:b/>
        </w:rPr>
        <w:t xml:space="preserve">Visualisation Layer</w:t>
      </w:r>
      <w:r>
        <w:t xml:space="preserve">, which renders real-time weight bars, value interval charts with error bands, dominance matrices with highlighting, and decision-rule comparisons with animated transitions. All three layers operate reactively: every user input propagates through computation to visual feedback within sub-second latency, creating the</w:t>
      </w:r>
      <w:r>
        <w:t xml:space="preserve"> </w:t>
      </w:r>
      <w:r>
        <w:t xml:space="preserve">“</w:t>
      </w:r>
      <w:r>
        <w:t xml:space="preserve">living model</w:t>
      </w:r>
      <w:r>
        <w:t xml:space="preserve">”</w:t>
      </w:r>
      <w:r>
        <w:t xml:space="preserve"> </w:t>
      </w:r>
      <w:r>
        <w:t xml:space="preserve">experience that distinguishes digital VTA from its batch-process predecessor.</w:t>
      </w:r>
    </w:p>
    <w:p>
      <w:pPr>
        <w:pStyle w:val="BodyText"/>
      </w:pPr>
      <w:r>
        <w:t xml:space="preserve">The impossibility of stating exact preferences is not a failure mode — it is the normal condition of serious decision-making. PRIME’s interval framework, implemented as a cloud-native service with real-time dominance computation and collaborative interval aggregation, addresses this condition directly. Where conventional tools force premature precision, a PRIME-enabled VTA SaaS preserves epistemic honesty. The DecideIT software demonstrates that the underlying mathematics — linear programming over feasible weight regions, contraction analysis for sensitivity, second-order belief distributions for discrimination — are computationally tractable</w:t>
      </w:r>
      <w:r>
        <w:t xml:space="preserve"> </w:t>
      </w:r>
      <w:r>
        <w:rPr>
          <w:vertAlign w:val="superscript"/>
        </w:rPr>
        <w:t xml:space="preserve">35</w:t>
      </w:r>
      <w:r>
        <w:t xml:space="preserve">. What has been missing is the packaging: a browser-based, multi-user, visually intuitive platform that makes imprecise preference handling accessible to non-specialists. That gap is the strategic opportunity.</w:t>
      </w:r>
    </w:p>
    <w:p>
      <w:r>
        <w:pict>
          <v:rect style="width:0;height:1.5pt" o:hralign="center" o:hrstd="t" o:hr="t"/>
        </w:pict>
      </w:r>
    </w:p>
    <w:bookmarkEnd w:id="69"/>
    <w:bookmarkEnd w:id="70"/>
    <w:bookmarkStart w:id="86" w:name="X947a0626a9b768099eb90e821178de62fbb715c"/>
    <w:p>
      <w:pPr>
        <w:pStyle w:val="Heading2"/>
      </w:pPr>
      <w:r>
        <w:t xml:space="preserve">5. Real-Time Sensitivity Analysis &amp; What-If Modeling</w:t>
      </w:r>
    </w:p>
    <w:p>
      <w:pPr>
        <w:pStyle w:val="FirstParagraph"/>
      </w:pPr>
      <w:r>
        <w:t xml:space="preserve">The additive value model produces a single ranking for a given set of weights and scores, yet every input carries uncertainty. A decision maker (DM) who assigns a weight of 0.47 to the price objective may, on reflection, accept any value between 0.35 and 0.60. The 2002 VTA document recognised this explicitly:</w:t>
      </w:r>
      <w:r>
        <w:t xml:space="preserve"> </w:t>
      </w:r>
      <w:r>
        <w:t xml:space="preserve">“</w:t>
      </w:r>
      <w:r>
        <w:t xml:space="preserve">If a small change in one or several aspects of the model causes the recommended decision to change, the decision is said to be sensitive to those changes</w:t>
      </w:r>
      <w:r>
        <w:t xml:space="preserve">”</w:t>
      </w:r>
      <w:r>
        <w:t xml:space="preserve"> </w:t>
      </w:r>
      <w:r>
        <w:rPr>
          <w:vertAlign w:val="superscript"/>
        </w:rPr>
        <w:t xml:space="preserve">3</w:t>
      </w:r>
      <w:r>
        <w:t xml:space="preserve">. The prescribed remedy was one-way sensitivity analysis — varying one parameter at a time, plotting total values as a function of the varied parameter, and identifying ranking-reversal thresholds</w:t>
      </w:r>
      <w:r>
        <w:t xml:space="preserve"> </w:t>
      </w:r>
      <w:r>
        <w:rPr>
          <w:vertAlign w:val="superscript"/>
        </w:rPr>
        <w:t xml:space="preserve">3</w:t>
      </w:r>
      <w:r>
        <w:t xml:space="preserve">. In the Web-HIPRE reference implementation, this meant opening a separate sensitivity dialog, manually entering discrete weight values, and reading a static bar chart — a batch-mode operation that could consume an entire analyst session.</w:t>
      </w:r>
    </w:p>
    <w:p>
      <w:pPr>
        <w:pStyle w:val="BodyText"/>
      </w:pPr>
      <w:r>
        <w:t xml:space="preserve">The SaaS transformation converts this episodic step into a continuous, self-service exploration layer. Interactive parameter binding — the same reactive pattern behind Power BI What-If parameters and Tableau Parameters — turns every weight, score, and assumption into a live variable</w:t>
      </w:r>
      <w:r>
        <w:t xml:space="preserve"> </w:t>
      </w:r>
      <w:r>
        <w:rPr>
          <w:vertAlign w:val="superscript"/>
        </w:rPr>
        <w:t xml:space="preserve">73</w:t>
      </w:r>
      <w:r>
        <w:t xml:space="preserve"> </w:t>
      </w:r>
      <w:r>
        <w:rPr>
          <w:vertAlign w:val="superscript"/>
        </w:rPr>
        <w:t xml:space="preserve">75</w:t>
      </w:r>
      <w:r>
        <w:t xml:space="preserve">. When a DM drags a slider, the decision model recalculates in sub-second time and the visualisation updates without refresh. The decision cadence compresses from weeks to hours: from scheduling an analyst, eliciting preferences, running sensitivity, and convening stakeholders, to opening a shared dashboard and exploring trade-offs in a single meeting. This chapter maps interactive dashboards, scenario management, and robustness analysis from their 2002 origins to cloud-native equivalents, demonstrating that real-time sensitivity restructures how organisations iterate toward commitment.</w:t>
      </w:r>
    </w:p>
    <w:bookmarkStart w:id="77" w:name="interactive-sensitivity-dashboards"/>
    <w:p>
      <w:pPr>
        <w:pStyle w:val="Heading3"/>
      </w:pPr>
      <w:r>
        <w:t xml:space="preserve">5.1 Interactive Sensitivity Dashboards</w:t>
      </w:r>
    </w:p>
    <w:p>
      <w:pPr>
        <w:pStyle w:val="FirstParagraph"/>
      </w:pPr>
      <w:r>
        <w:t xml:space="preserve">The 2002 document defined one-way sensitivity analysis as varying</w:t>
      </w:r>
      <w:r>
        <w:t xml:space="preserve"> </w:t>
      </w:r>
      <w:r>
        <w:t xml:space="preserve">“</w:t>
      </w:r>
      <w:r>
        <w:t xml:space="preserve">objectives’ weights, single attribute value functions, or attribute ratings … one at a time</w:t>
      </w:r>
      <w:r>
        <w:t xml:space="preserve">”</w:t>
      </w:r>
      <w:r>
        <w:t xml:space="preserve"> </w:t>
      </w:r>
      <w:r>
        <w:rPr>
          <w:vertAlign w:val="superscript"/>
        </w:rPr>
        <w:t xml:space="preserve">3</w:t>
      </w:r>
      <w:r>
        <w:t xml:space="preserve">. The reference example varied the weight of a price objective and observed that the optimal screen changed when price weight fell below 0.34 or rose above 0.55 — with the current estimate of 0.47 requiring at least a 17% shift to trigger a reversal</w:t>
      </w:r>
      <w:r>
        <w:t xml:space="preserve"> </w:t>
      </w:r>
      <w:r>
        <w:rPr>
          <w:vertAlign w:val="superscript"/>
        </w:rPr>
        <w:t xml:space="preserve">3</w:t>
      </w:r>
      <w:r>
        <w:t xml:space="preserve">. Answering</w:t>
      </w:r>
      <w:r>
        <w:t xml:space="preserve"> </w:t>
      </w:r>
      <w:r>
        <w:rPr>
          <w:iCs/>
          <w:i/>
        </w:rPr>
        <w:t xml:space="preserve">“</w:t>
      </w:r>
      <w:r>
        <w:rPr>
          <w:iCs/>
          <w:i/>
        </w:rPr>
        <w:t xml:space="preserve">How wrong can our estimate be before the recommendation changes?</w:t>
      </w:r>
      <w:r>
        <w:rPr>
          <w:iCs/>
          <w:i/>
        </w:rPr>
        <w:t xml:space="preserve">”</w:t>
      </w:r>
      <w:r>
        <w:t xml:space="preserve"> </w:t>
      </w:r>
      <w:r>
        <w:t xml:space="preserve">required specialised software, trained interpretation, and patience to cycle through each parameter.</w:t>
      </w:r>
    </w:p>
    <w:bookmarkStart w:id="74" w:name="X29ead3f460fe6c462065b7a5e1caa621d17fd07"/>
    <w:p>
      <w:pPr>
        <w:pStyle w:val="Heading4"/>
      </w:pPr>
      <w:r>
        <w:t xml:space="preserve">5.1.1 One-Way Sensitivity: Parameter Sliders and Live Tornado Diagrams</w:t>
      </w:r>
    </w:p>
    <w:p>
      <w:pPr>
        <w:pStyle w:val="FirstParagraph"/>
      </w:pPr>
      <w:r>
        <w:t xml:space="preserve">The modern equivalent replaces the separate dialog with an always-visible control panel. A slider for each weight parameter spans its permissible range (0 to 1, or a PRIME-defined bound from Chapter 4). As the slider moves, the system recomputes</w:t>
      </w:r>
      <w:r>
        <w:t xml:space="preserve"> </w:t>
      </w:r>
      <m:oMath>
        <m:r>
          <m:t>V</m:t>
        </m:r>
        <m:d>
          <m:dPr>
            <m:begChr m:val="("/>
            <m:endChr m:val=")"/>
            <m:sepChr m:val=""/>
            <m:grow/>
          </m:dPr>
          <m:e>
            <m:r>
              <m:t>a</m:t>
            </m:r>
          </m:e>
        </m:d>
        <m:r>
          <m:rPr>
            <m:sty m:val="p"/>
          </m:rPr>
          <m:t>=</m:t>
        </m:r>
        <m:r>
          <m:rPr>
            <m:sty m:val="p"/>
          </m:rPr>
          <m:t>∑</m:t>
        </m:r>
        <m:sSub>
          <m:e>
            <m:r>
              <m:t>w</m:t>
            </m:r>
          </m:e>
          <m:sub>
            <m:r>
              <m:t>i</m:t>
            </m:r>
          </m:sub>
        </m:sSub>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for every alternative and redraws the sensitivity curve in real time. The tornado diagram — ranking parameters by the swing they induce in the output — updates dynamically, with JavaScript libraries (Chart.js, D3.js) providing proven implementations for diverging horizontal bar charts</w:t>
      </w:r>
      <w:r>
        <w:t xml:space="preserve"> </w:t>
      </w:r>
      <w:r>
        <w:rPr>
          <w:vertAlign w:val="superscript"/>
        </w:rPr>
        <w:t xml:space="preserve">76</w:t>
      </w:r>
      <w:r>
        <w:t xml:space="preserve">. GoldSim’s sensitivity engine runs three deterministic simulations per variable while holding others constant, then organises results by output range</w:t>
      </w:r>
      <w:r>
        <w:t xml:space="preserve"> </w:t>
      </w:r>
      <w:r>
        <w:rPr>
          <w:vertAlign w:val="superscript"/>
        </w:rPr>
        <w:t xml:space="preserve">30</w:t>
      </w:r>
      <w:r>
        <w:t xml:space="preserve">; a SaaS VTA platform extends this by running the full sweep continuously so the DM sees the complete functional relationship between parameter value and ranking.</w:t>
      </w:r>
    </w:p>
    <w:p>
      <w:pPr>
        <w:pStyle w:val="CaptionedFigure"/>
      </w:pPr>
      <w:r>
        <w:drawing>
          <wp:inline>
            <wp:extent cx="5334000" cy="3447585"/>
            <wp:effectExtent b="0" l="0" r="0" t="0"/>
            <wp:docPr descr="One-Way Sensitivity Analysis: Effect of Price Weight on Alternative Rankings" title="" id="72" name="Picture"/>
            <a:graphic>
              <a:graphicData uri="http://schemas.openxmlformats.org/drawingml/2006/picture">
                <pic:pic>
                  <pic:nvPicPr>
                    <pic:cNvPr descr="/mnt/agents/output/sensitivity_analysis_chart.png" id="73" name="Picture"/>
                    <pic:cNvPicPr>
                      <a:picLocks noChangeArrowheads="1" noChangeAspect="1"/>
                    </pic:cNvPicPr>
                  </pic:nvPicPr>
                  <pic:blipFill>
                    <a:blip r:embed="rId71"/>
                    <a:stretch>
                      <a:fillRect/>
                    </a:stretch>
                  </pic:blipFill>
                  <pic:spPr bwMode="auto">
                    <a:xfrm>
                      <a:off x="0" y="0"/>
                      <a:ext cx="5334000" cy="3447585"/>
                    </a:xfrm>
                    <a:prstGeom prst="rect">
                      <a:avLst/>
                    </a:prstGeom>
                    <a:noFill/>
                    <a:ln w="9525">
                      <a:noFill/>
                      <a:headEnd/>
                      <a:tailEnd/>
                    </a:ln>
                  </pic:spPr>
                </pic:pic>
              </a:graphicData>
            </a:graphic>
          </wp:inline>
        </w:drawing>
      </w:r>
    </w:p>
    <w:p>
      <w:pPr>
        <w:pStyle w:val="ImageCaption"/>
      </w:pPr>
      <w:r>
        <w:t xml:space="preserve">One-Way Sensitivity Analysis: Effect of Price Weight on Alternative Rankings</w:t>
      </w:r>
    </w:p>
    <w:p>
      <w:pPr>
        <w:pStyle w:val="BodyText"/>
      </w:pPr>
      <w:r>
        <w:rPr>
          <w:iCs/>
          <w:i/>
        </w:rPr>
        <w:t xml:space="preserve">Figure 1: One-way sensitivity diagram showing total value scores for three alternatives as the weight of the price objective varies from 0 to 1. Diamond markers indicate ranking reversal (crossover) points. At the current estimate (</w:t>
      </w:r>
      <m:oMath>
        <m:sSub>
          <m:e>
            <m:r>
              <m:t>w</m:t>
            </m:r>
          </m:e>
          <m:sub>
            <m:r>
              <m:rPr>
                <m:nor/>
                <m:sty m:val="p"/>
              </m:rPr>
              <m:t>price</m:t>
            </m:r>
          </m:sub>
        </m:sSub>
        <m:r>
          <m:rPr>
            <m:sty m:val="p"/>
          </m:rPr>
          <m:t>=</m:t>
        </m:r>
        <m:r>
          <m:t>0.47</m:t>
        </m:r>
      </m:oMath>
      <w:r>
        <w:rPr>
          <w:iCs/>
          <w:i/>
        </w:rPr>
        <w:t xml:space="preserve">), Alternative C is optimal; below approximately 0.37, Alternative B leads; above approximately 0.50, Alternative A leads. The stability margin quantifies recommendation robustness.</w:t>
      </w:r>
    </w:p>
    <w:p>
      <w:pPr>
        <w:pStyle w:val="BodyText"/>
      </w:pPr>
      <w:r>
        <w:t xml:space="preserve">For alternative</w:t>
      </w:r>
      <w:r>
        <w:t xml:space="preserve"> </w:t>
      </w:r>
      <m:oMath>
        <m:r>
          <m:t>a</m:t>
        </m:r>
      </m:oMath>
      <w:r>
        <w:t xml:space="preserve"> </w:t>
      </w:r>
      <w:r>
        <w:t xml:space="preserve">with price score</w:t>
      </w:r>
      <w:r>
        <w:t xml:space="preserve"> </w:t>
      </w:r>
      <m:oMath>
        <m:sSub>
          <m:e>
            <m:r>
              <m:t>v</m:t>
            </m:r>
          </m:e>
          <m:sub>
            <m:r>
              <m:t>p</m:t>
            </m:r>
          </m:sub>
        </m:sSub>
        <m:d>
          <m:dPr>
            <m:begChr m:val="("/>
            <m:endChr m:val=")"/>
            <m:sepChr m:val=""/>
            <m:grow/>
          </m:dPr>
          <m:e>
            <m:r>
              <m:t>a</m:t>
            </m:r>
          </m:e>
        </m:d>
      </m:oMath>
      <w:r>
        <w:t xml:space="preserve"> </w:t>
      </w:r>
      <w:r>
        <w:t xml:space="preserve">and composite score</w:t>
      </w:r>
      <w:r>
        <w:t xml:space="preserve"> </w:t>
      </w:r>
      <m:oMath>
        <m:sSub>
          <m:e>
            <m:r>
              <m:t>v</m:t>
            </m:r>
          </m:e>
          <m:sub>
            <m:r>
              <m:rPr>
                <m:sty m:val="p"/>
              </m:rPr>
              <m:t>¬</m:t>
            </m:r>
            <m:r>
              <m:t>p</m:t>
            </m:r>
          </m:sub>
        </m:sSub>
        <m:d>
          <m:dPr>
            <m:begChr m:val="("/>
            <m:endChr m:val=")"/>
            <m:sepChr m:val=""/>
            <m:grow/>
          </m:dPr>
          <m:e>
            <m:r>
              <m:t>a</m:t>
            </m:r>
          </m:e>
        </m:d>
      </m:oMath>
      <w:r>
        <w:t xml:space="preserve"> </w:t>
      </w:r>
      <w:r>
        <w:t xml:space="preserve">over all other attributes, total value as a function of price weight</w:t>
      </w:r>
      <w:r>
        <w:t xml:space="preserve"> </w:t>
      </w:r>
      <m:oMath>
        <m:sSub>
          <m:e>
            <m:r>
              <m:t>w</m:t>
            </m:r>
          </m:e>
          <m:sub>
            <m:r>
              <m:t>p</m:t>
            </m:r>
          </m:sub>
        </m:sSub>
      </m:oMath>
      <w:r>
        <w:t xml:space="preserve"> </w:t>
      </w:r>
      <w:r>
        <w:t xml:space="preserve">is</w:t>
      </w:r>
      <w:r>
        <w:t xml:space="preserve"> </w:t>
      </w:r>
      <m:oMath>
        <m:r>
          <m:t>V</m:t>
        </m:r>
        <m:d>
          <m:dPr>
            <m:begChr m:val="("/>
            <m:endChr m:val=")"/>
            <m:sepChr m:val=""/>
            <m:grow/>
          </m:dPr>
          <m:e>
            <m:r>
              <m:t>a</m:t>
            </m:r>
            <m:r>
              <m:rPr>
                <m:sty m:val="p"/>
              </m:rPr>
              <m:t>,</m:t>
            </m:r>
            <m:sSub>
              <m:e>
                <m:r>
                  <m:t>w</m:t>
                </m:r>
              </m:e>
              <m:sub>
                <m:r>
                  <m:t>p</m:t>
                </m:r>
              </m:sub>
            </m:sSub>
          </m:e>
        </m:d>
        <m:r>
          <m:rPr>
            <m:sty m:val="p"/>
          </m:rPr>
          <m:t>=</m:t>
        </m:r>
        <m:sSub>
          <m:e>
            <m:r>
              <m:t>w</m:t>
            </m:r>
          </m:e>
          <m:sub>
            <m:r>
              <m:t>p</m:t>
            </m:r>
          </m:sub>
        </m:sSub>
        <m:r>
          <m:rPr>
            <m:sty m:val="p"/>
          </m:rPr>
          <m:t>⋅</m:t>
        </m:r>
        <m:sSub>
          <m:e>
            <m:r>
              <m:t>v</m:t>
            </m:r>
          </m:e>
          <m:sub>
            <m:r>
              <m:t>p</m:t>
            </m:r>
          </m:sub>
        </m:sSub>
        <m:d>
          <m:dPr>
            <m:begChr m:val="("/>
            <m:endChr m:val=")"/>
            <m:sepChr m:val=""/>
            <m:grow/>
          </m:dPr>
          <m:e>
            <m:r>
              <m:t>a</m:t>
            </m:r>
          </m:e>
        </m:d>
        <m:r>
          <m:rPr>
            <m:sty m:val="p"/>
          </m:rPr>
          <m:t>+</m:t>
        </m:r>
        <m:d>
          <m:dPr>
            <m:begChr m:val="("/>
            <m:endChr m:val=")"/>
            <m:sepChr m:val=""/>
            <m:grow/>
          </m:dPr>
          <m:e>
            <m:r>
              <m:t>1</m:t>
            </m:r>
            <m:r>
              <m:rPr>
                <m:sty m:val="p"/>
              </m:rPr>
              <m:t>−</m:t>
            </m:r>
            <m:sSub>
              <m:e>
                <m:r>
                  <m:t>w</m:t>
                </m:r>
              </m:e>
              <m:sub>
                <m:r>
                  <m:t>p</m:t>
                </m:r>
              </m:sub>
            </m:sSub>
          </m:e>
        </m:d>
        <m:r>
          <m:rPr>
            <m:sty m:val="p"/>
          </m:rPr>
          <m:t>⋅</m:t>
        </m:r>
        <m:sSub>
          <m:e>
            <m:r>
              <m:t>v</m:t>
            </m:r>
          </m:e>
          <m:sub>
            <m:r>
              <m:rPr>
                <m:sty m:val="p"/>
              </m:rPr>
              <m:t>¬</m:t>
            </m:r>
            <m:r>
              <m:t>p</m:t>
            </m:r>
          </m:sub>
        </m:sSub>
        <m:d>
          <m:dPr>
            <m:begChr m:val="("/>
            <m:endChr m:val=")"/>
            <m:sepChr m:val=""/>
            <m:grow/>
          </m:dPr>
          <m:e>
            <m:r>
              <m:t>a</m:t>
            </m:r>
          </m:e>
        </m:d>
      </m:oMath>
      <w:r>
        <w:t xml:space="preserve">. The break-even weight</w:t>
      </w:r>
      <w:r>
        <w:t xml:space="preserve"> </w:t>
      </w:r>
      <m:oMath>
        <m:sSubSup>
          <m:e>
            <m:r>
              <m:t>w</m:t>
            </m:r>
          </m:e>
          <m:sub>
            <m:r>
              <m:t>p</m:t>
            </m:r>
          </m:sub>
          <m:sup>
            <m:r>
              <m:rPr>
                <m:sty m:val="p"/>
              </m:rPr>
              <m:t>*</m:t>
            </m:r>
          </m:sup>
        </m:sSubSup>
      </m:oMath>
      <w:r>
        <w:t xml:space="preserve"> </w:t>
      </w:r>
      <w:r>
        <w:t xml:space="preserve">where alternatives</w:t>
      </w:r>
      <w:r>
        <w:t xml:space="preserve"> </w:t>
      </w:r>
      <m:oMath>
        <m:r>
          <m:t>a</m:t>
        </m:r>
      </m:oMath>
      <w:r>
        <w:t xml:space="preserve"> </w:t>
      </w:r>
      <w:r>
        <w:t xml:space="preserve">and</w:t>
      </w:r>
      <w:r>
        <w:t xml:space="preserve"> </w:t>
      </w:r>
      <m:oMath>
        <m:r>
          <m:t>b</m:t>
        </m:r>
      </m:oMath>
      <w:r>
        <w:t xml:space="preserve"> </w:t>
      </w:r>
      <w:r>
        <w:t xml:space="preserve">swap ranking follows from solving</w:t>
      </w:r>
      <w:r>
        <w:t xml:space="preserve"> </w:t>
      </w:r>
      <m:oMath>
        <m:r>
          <m:t>V</m:t>
        </m:r>
        <m:d>
          <m:dPr>
            <m:begChr m:val="("/>
            <m:endChr m:val=")"/>
            <m:sepChr m:val=""/>
            <m:grow/>
          </m:dPr>
          <m:e>
            <m:r>
              <m:t>a</m:t>
            </m:r>
            <m:r>
              <m:rPr>
                <m:sty m:val="p"/>
              </m:rPr>
              <m:t>,</m:t>
            </m:r>
            <m:sSubSup>
              <m:e>
                <m:r>
                  <m:t>w</m:t>
                </m:r>
              </m:e>
              <m:sub>
                <m:r>
                  <m:t>p</m:t>
                </m:r>
              </m:sub>
              <m:sup>
                <m:r>
                  <m:rPr>
                    <m:sty m:val="p"/>
                  </m:rPr>
                  <m:t>*</m:t>
                </m:r>
              </m:sup>
            </m:sSubSup>
          </m:e>
        </m:d>
        <m:r>
          <m:rPr>
            <m:sty m:val="p"/>
          </m:rPr>
          <m:t>=</m:t>
        </m:r>
        <m:r>
          <m:t>V</m:t>
        </m:r>
        <m:d>
          <m:dPr>
            <m:begChr m:val="("/>
            <m:endChr m:val=")"/>
            <m:sepChr m:val=""/>
            <m:grow/>
          </m:dPr>
          <m:e>
            <m:r>
              <m:t>b</m:t>
            </m:r>
            <m:r>
              <m:rPr>
                <m:sty m:val="p"/>
              </m:rPr>
              <m:t>,</m:t>
            </m:r>
            <m:sSubSup>
              <m:e>
                <m:r>
                  <m:t>w</m:t>
                </m:r>
              </m:e>
              <m:sub>
                <m:r>
                  <m:t>p</m:t>
                </m:r>
              </m:sub>
              <m:sup>
                <m:r>
                  <m:rPr>
                    <m:sty m:val="p"/>
                  </m:rPr>
                  <m:t>*</m:t>
                </m:r>
              </m:sup>
            </m:sSubSup>
          </m:e>
        </m:d>
      </m:oMath>
      <w:r>
        <w:t xml:space="preserve">:</w:t>
      </w:r>
    </w:p>
    <w:p>
      <w:pPr>
        <w:pStyle w:val="BodyText"/>
      </w:pPr>
      <m:oMathPara>
        <m:oMathParaPr>
          <m:jc m:val="center"/>
        </m:oMathParaPr>
        <m:oMath>
          <m:sSubSup>
            <m:e>
              <m:r>
                <m:t>w</m:t>
              </m:r>
            </m:e>
            <m:sub>
              <m:r>
                <m:t>p</m:t>
              </m:r>
            </m:sub>
            <m:sup>
              <m:r>
                <m:rPr>
                  <m:sty m:val="p"/>
                </m:rPr>
                <m:t>*</m:t>
              </m:r>
            </m:sup>
          </m:sSubSup>
          <m:r>
            <m:rPr>
              <m:sty m:val="p"/>
            </m:rPr>
            <m:t>=</m:t>
          </m:r>
          <m:f>
            <m:fPr>
              <m:type m:val="bar"/>
            </m:fPr>
            <m:num>
              <m:sSub>
                <m:e>
                  <m:r>
                    <m:t>v</m:t>
                  </m:r>
                </m:e>
                <m:sub>
                  <m:r>
                    <m:rPr>
                      <m:sty m:val="p"/>
                    </m:rPr>
                    <m:t>¬</m:t>
                  </m:r>
                  <m:r>
                    <m:t>p</m:t>
                  </m:r>
                </m:sub>
              </m:sSub>
              <m:d>
                <m:dPr>
                  <m:begChr m:val="("/>
                  <m:endChr m:val=")"/>
                  <m:sepChr m:val=""/>
                  <m:grow/>
                </m:dPr>
                <m:e>
                  <m:r>
                    <m:t>b</m:t>
                  </m:r>
                </m:e>
              </m:d>
              <m:r>
                <m:rPr>
                  <m:sty m:val="p"/>
                </m:rPr>
                <m:t>−</m:t>
              </m:r>
              <m:sSub>
                <m:e>
                  <m:r>
                    <m:t>v</m:t>
                  </m:r>
                </m:e>
                <m:sub>
                  <m:r>
                    <m:rPr>
                      <m:sty m:val="p"/>
                    </m:rPr>
                    <m:t>¬</m:t>
                  </m:r>
                  <m:r>
                    <m:t>p</m:t>
                  </m:r>
                </m:sub>
              </m:sSub>
              <m:d>
                <m:dPr>
                  <m:begChr m:val="("/>
                  <m:endChr m:val=")"/>
                  <m:sepChr m:val=""/>
                  <m:grow/>
                </m:dPr>
                <m:e>
                  <m:r>
                    <m:t>a</m:t>
                  </m:r>
                </m:e>
              </m:d>
            </m:num>
            <m:den>
              <m:r>
                <m:rPr>
                  <m:sty m:val="p"/>
                </m:rPr>
                <m:t>[</m:t>
              </m:r>
              <m:sSub>
                <m:e>
                  <m:r>
                    <m:t>v</m:t>
                  </m:r>
                </m:e>
                <m:sub>
                  <m:r>
                    <m:t>p</m:t>
                  </m:r>
                </m:sub>
              </m:sSub>
              <m:d>
                <m:dPr>
                  <m:begChr m:val="("/>
                  <m:endChr m:val=")"/>
                  <m:sepChr m:val=""/>
                  <m:grow/>
                </m:dPr>
                <m:e>
                  <m:r>
                    <m:t>a</m:t>
                  </m:r>
                </m:e>
              </m:d>
              <m:r>
                <m:rPr>
                  <m:sty m:val="p"/>
                </m:rPr>
                <m:t>−</m:t>
              </m:r>
              <m:sSub>
                <m:e>
                  <m:r>
                    <m:t>v</m:t>
                  </m:r>
                </m:e>
                <m:sub>
                  <m:r>
                    <m:rPr>
                      <m:sty m:val="p"/>
                    </m:rPr>
                    <m:t>¬</m:t>
                  </m:r>
                  <m:r>
                    <m:t>p</m:t>
                  </m:r>
                </m:sub>
              </m:sSub>
              <m:d>
                <m:dPr>
                  <m:begChr m:val="("/>
                  <m:endChr m:val=")"/>
                  <m:sepChr m:val=""/>
                  <m:grow/>
                </m:dPr>
                <m:e>
                  <m:r>
                    <m:t>a</m:t>
                  </m:r>
                </m:e>
              </m:d>
              <m:r>
                <m:rPr>
                  <m:sty m:val="p"/>
                </m:rPr>
                <m:t>]</m:t>
              </m:r>
              <m:r>
                <m:rPr>
                  <m:sty m:val="p"/>
                </m:rPr>
                <m:t>−</m:t>
              </m:r>
              <m:r>
                <m:rPr>
                  <m:sty m:val="p"/>
                </m:rPr>
                <m:t>[</m:t>
              </m:r>
              <m:sSub>
                <m:e>
                  <m:r>
                    <m:t>v</m:t>
                  </m:r>
                </m:e>
                <m:sub>
                  <m:r>
                    <m:t>p</m:t>
                  </m:r>
                </m:sub>
              </m:sSub>
              <m:d>
                <m:dPr>
                  <m:begChr m:val="("/>
                  <m:endChr m:val=")"/>
                  <m:sepChr m:val=""/>
                  <m:grow/>
                </m:dPr>
                <m:e>
                  <m:r>
                    <m:t>b</m:t>
                  </m:r>
                </m:e>
              </m:d>
              <m:r>
                <m:rPr>
                  <m:sty m:val="p"/>
                </m:rPr>
                <m:t>−</m:t>
              </m:r>
              <m:sSub>
                <m:e>
                  <m:r>
                    <m:t>v</m:t>
                  </m:r>
                </m:e>
                <m:sub>
                  <m:r>
                    <m:rPr>
                      <m:sty m:val="p"/>
                    </m:rPr>
                    <m:t>¬</m:t>
                  </m:r>
                  <m:r>
                    <m:t>p</m:t>
                  </m:r>
                </m:sub>
              </m:sSub>
              <m:d>
                <m:dPr>
                  <m:begChr m:val="("/>
                  <m:endChr m:val=")"/>
                  <m:sepChr m:val=""/>
                  <m:grow/>
                </m:dPr>
                <m:e>
                  <m:r>
                    <m:t>b</m:t>
                  </m:r>
                </m:e>
              </m:d>
              <m:r>
                <m:rPr>
                  <m:sty m:val="p"/>
                </m:rPr>
                <m:t>]</m:t>
              </m:r>
            </m:den>
          </m:f>
        </m:oMath>
      </m:oMathPara>
    </w:p>
    <w:p>
      <w:pPr>
        <w:pStyle w:val="FirstParagraph"/>
      </w:pPr>
      <w:r>
        <w:t xml:space="preserve">This closed-form expression enables instant recomputation whenever any consequence score changes. The tornado diagram complements the sensitivity curve by summarising each parameter’s output-variation range, sorted from widest to narrowest impact</w:t>
      </w:r>
      <w:r>
        <w:t xml:space="preserve"> </w:t>
      </w:r>
      <w:r>
        <w:rPr>
          <w:vertAlign w:val="superscript"/>
        </w:rPr>
        <w:t xml:space="preserve">76</w:t>
      </w:r>
      <w:r>
        <w:t xml:space="preserve">. D-Sight’s MCDA platform integrates tornado charts with interactive weight-adjustment dashboards, confirming this pairing is both feasible and cognitively effective</w:t>
      </w:r>
      <w:r>
        <w:t xml:space="preserve"> </w:t>
      </w:r>
      <w:r>
        <w:rPr>
          <w:vertAlign w:val="superscript"/>
        </w:rPr>
        <w:t xml:space="preserve">29</w:t>
      </w:r>
      <w:r>
        <w:t xml:space="preserve">.</w:t>
      </w:r>
    </w:p>
    <w:bookmarkEnd w:id="74"/>
    <w:bookmarkStart w:id="75" w:name="X37635336d276bb6608861d932732a1003e1e658"/>
    <w:p>
      <w:pPr>
        <w:pStyle w:val="Heading4"/>
      </w:pPr>
      <w:r>
        <w:t xml:space="preserve">5.1.2 Weight Sensitivity: Interactive Pie Chart Drag and Automatic Recalculation</w:t>
      </w:r>
    </w:p>
    <w:p>
      <w:pPr>
        <w:pStyle w:val="FirstParagraph"/>
      </w:pPr>
      <w:r>
        <w:t xml:space="preserve">Varying one weight requires compensatory adjustments to maintain</w:t>
      </w:r>
      <w:r>
        <w:t xml:space="preserve"> </w:t>
      </w:r>
      <m:oMath>
        <m:r>
          <m:rPr>
            <m:sty m:val="p"/>
          </m:rPr>
          <m:t>∑</m:t>
        </m:r>
        <m:sSub>
          <m:e>
            <m:r>
              <m:t>w</m:t>
            </m:r>
          </m:e>
          <m:sub>
            <m:r>
              <m:t>i</m:t>
            </m:r>
          </m:sub>
        </m:sSub>
        <m:r>
          <m:rPr>
            <m:sty m:val="p"/>
          </m:rPr>
          <m:t>=</m:t>
        </m:r>
        <m:r>
          <m:t>1</m:t>
        </m:r>
      </m:oMath>
      <w:r>
        <w:t xml:space="preserve">. The 2002 analysis held non-varied weights fixed in their original proportions — an acceptable simplification for manual computation</w:t>
      </w:r>
      <w:r>
        <w:t xml:space="preserve"> </w:t>
      </w:r>
      <w:r>
        <w:rPr>
          <w:vertAlign w:val="superscript"/>
        </w:rPr>
        <w:t xml:space="preserve">3</w:t>
      </w:r>
      <w:r>
        <w:t xml:space="preserve">. A SaaS platform offers a more faithful interaction: dragging an interactive pie-chart segment automatically redistributes remaining weights proportionally while preserving the unit sum. The ranking bar chart animates the transition so the DM watches alternatives rise and fall in real time. Power BI’s What-If parameters implement this at scale: a dynamic slicer feeds its value into DAX measures that recalculate every dependent visual</w:t>
      </w:r>
      <w:r>
        <w:t xml:space="preserve"> </w:t>
      </w:r>
      <w:r>
        <w:rPr>
          <w:vertAlign w:val="superscript"/>
        </w:rPr>
        <w:t xml:space="preserve">73</w:t>
      </w:r>
      <w:r>
        <w:t xml:space="preserve">. For VTA, the measure is the additive value formula; the visuals are the ranking chart, tornado diagram, and value-decomposition bars.</w:t>
      </w:r>
    </w:p>
    <w:bookmarkEnd w:id="75"/>
    <w:bookmarkStart w:id="76" w:name="X0ae69335ff2a8db872572325a86dec38f6e918b"/>
    <w:p>
      <w:pPr>
        <w:pStyle w:val="Heading4"/>
      </w:pPr>
      <w:r>
        <w:t xml:space="preserve">5.1.3 Consequence Sensitivity: Cell Value Editing and Immediate Impact</w:t>
      </w:r>
    </w:p>
    <w:p>
      <w:pPr>
        <w:pStyle w:val="FirstParagraph"/>
      </w:pPr>
      <w:r>
        <w:t xml:space="preserve">Performance scores — the</w:t>
      </w:r>
      <w:r>
        <w:t xml:space="preserve"> </w:t>
      </w:r>
      <m:oMath>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values — may be estimates subject to revision. A procurement team might re-evaluate a vendor’s delivery-time score after a site visit; a clinical trial might update efficacy data at interim analysis. In a live VTA dashboard, editing a cell in the consequence matrix triggers a cascade: the affected alternative’s total value recalculates, rankings reorder, the dominance matrix refreshes, and sensitivity curves shift. Tableau’s Parameters with Calculated Fields demonstrate this: edited values flow through calculations to update every downstream chart</w:t>
      </w:r>
      <w:r>
        <w:t xml:space="preserve"> </w:t>
      </w:r>
      <w:r>
        <w:rPr>
          <w:vertAlign w:val="superscript"/>
        </w:rPr>
        <w:t xml:space="preserve">75</w:t>
      </w:r>
      <w:r>
        <w:t xml:space="preserve">; Looker extends it with LookML parameters and Liquid templating</w:t>
      </w:r>
      <w:r>
        <w:t xml:space="preserve"> </w:t>
      </w:r>
      <w:r>
        <w:rPr>
          <w:vertAlign w:val="superscript"/>
        </w:rPr>
        <w:t xml:space="preserve">45</w:t>
      </w:r>
      <w:r>
        <w:t xml:space="preserve">. The principle is uniform — a change at the data layer propagates through computation to visualisation without manual refresh — applying equally to consequence scores, weight vectors, and structural assumptions.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Legacy Desktop (Web-HIPRE / PRIME Decisions)</w:t>
            </w:r>
          </w:p>
        </w:tc>
        <w:tc>
          <w:tcPr/>
          <w:p>
            <w:pPr>
              <w:pStyle w:val="Compact"/>
              <w:jc w:val="left"/>
            </w:pPr>
            <w:r>
              <w:t xml:space="preserve">Cloud-Native SaaS VTA</w:t>
            </w:r>
          </w:p>
        </w:tc>
        <w:tc>
          <w:tcPr/>
          <w:p>
            <w:pPr>
              <w:pStyle w:val="Compact"/>
              <w:jc w:val="left"/>
            </w:pPr>
            <w:r>
              <w:t xml:space="preserve">Impact on Decision Cadence</w:t>
            </w:r>
          </w:p>
        </w:tc>
      </w:tr>
      <w:tr>
        <w:tc>
          <w:tcPr/>
          <w:p>
            <w:pPr>
              <w:pStyle w:val="Compact"/>
              <w:jc w:val="left"/>
            </w:pPr>
            <w:r>
              <w:t xml:space="preserve">One-way sensitivity execution</w:t>
            </w:r>
          </w:p>
        </w:tc>
        <w:tc>
          <w:tcPr/>
          <w:p>
            <w:pPr>
              <w:pStyle w:val="Compact"/>
              <w:jc w:val="left"/>
            </w:pPr>
            <w:r>
              <w:t xml:space="preserve">Open separate dialog; manually enter discrete parameter values; view static bar chart</w:t>
            </w:r>
            <w:r>
              <w:t xml:space="preserve"> </w:t>
            </w:r>
            <w:r>
              <w:rPr>
                <w:vertAlign w:val="superscript"/>
              </w:rPr>
              <w:t xml:space="preserve">3</w:t>
            </w:r>
          </w:p>
        </w:tc>
        <w:tc>
          <w:tcPr/>
          <w:p>
            <w:pPr>
              <w:pStyle w:val="Compact"/>
              <w:jc w:val="left"/>
            </w:pPr>
            <w:r>
              <w:t xml:space="preserve">Live slider sweeps full parameter range; continuous curve redraw with marked crossover points</w:t>
            </w:r>
          </w:p>
        </w:tc>
        <w:tc>
          <w:tcPr/>
          <w:p>
            <w:pPr>
              <w:pStyle w:val="Compact"/>
              <w:jc w:val="left"/>
            </w:pPr>
            <w:r>
              <w:t xml:space="preserve">Single parameter explored in minutes instead of hours</w:t>
            </w:r>
          </w:p>
        </w:tc>
      </w:tr>
      <w:tr>
        <w:tc>
          <w:tcPr/>
          <w:p>
            <w:pPr>
              <w:pStyle w:val="Compact"/>
              <w:jc w:val="left"/>
            </w:pPr>
            <w:r>
              <w:t xml:space="preserve">Tornado diagram generation</w:t>
            </w:r>
          </w:p>
        </w:tc>
        <w:tc>
          <w:tcPr/>
          <w:p>
            <w:pPr>
              <w:pStyle w:val="Compact"/>
              <w:jc w:val="left"/>
            </w:pPr>
            <w:r>
              <w:t xml:space="preserve">Export to spreadsheet; construct diverging bar chart manually</w:t>
            </w:r>
          </w:p>
        </w:tc>
        <w:tc>
          <w:tcPr/>
          <w:p>
            <w:pPr>
              <w:pStyle w:val="Compact"/>
              <w:jc w:val="left"/>
            </w:pPr>
            <w:r>
              <w:t xml:space="preserve">Auto-generated, dynamically reordered as inputs change; drill-down to underlying assumptions</w:t>
            </w:r>
            <w:r>
              <w:t xml:space="preserve"> </w:t>
            </w:r>
            <w:r>
              <w:rPr>
                <w:vertAlign w:val="superscript"/>
              </w:rPr>
              <w:t xml:space="preserve">76</w:t>
            </w:r>
          </w:p>
        </w:tc>
        <w:tc>
          <w:tcPr/>
          <w:p>
            <w:pPr>
              <w:pStyle w:val="Compact"/>
              <w:jc w:val="left"/>
            </w:pPr>
            <w:r>
              <w:t xml:space="preserve">Visual summary of parameter impact available on demand, not post-processed</w:t>
            </w:r>
          </w:p>
        </w:tc>
      </w:tr>
      <w:tr>
        <w:tc>
          <w:tcPr/>
          <w:p>
            <w:pPr>
              <w:pStyle w:val="Compact"/>
              <w:jc w:val="left"/>
            </w:pPr>
            <w:r>
              <w:t xml:space="preserve">Weight sensitivity with constraint handling</w:t>
            </w:r>
          </w:p>
        </w:tc>
        <w:tc>
          <w:tcPr/>
          <w:p>
            <w:pPr>
              <w:pStyle w:val="Compact"/>
              <w:jc w:val="left"/>
            </w:pPr>
            <w:r>
              <w:t xml:space="preserve">Vary one weight; hold others fixed in original ratio</w:t>
            </w:r>
            <w:r>
              <w:t xml:space="preserve"> </w:t>
            </w:r>
            <w:r>
              <w:rPr>
                <w:vertAlign w:val="superscript"/>
              </w:rPr>
              <w:t xml:space="preserve">3</w:t>
            </w:r>
          </w:p>
        </w:tc>
        <w:tc>
          <w:tcPr/>
          <w:p>
            <w:pPr>
              <w:pStyle w:val="Compact"/>
              <w:jc w:val="left"/>
            </w:pPr>
            <w:r>
              <w:t xml:space="preserve">Interactive pie-chart drag with proportional auto-redistribution; real-time ranking animation</w:t>
            </w:r>
          </w:p>
        </w:tc>
        <w:tc>
          <w:tcPr/>
          <w:p>
            <w:pPr>
              <w:pStyle w:val="Compact"/>
              <w:jc w:val="left"/>
            </w:pPr>
            <w:r>
              <w:t xml:space="preserve">Captures trade-off realism of joint weight variation without manual renormalisation</w:t>
            </w:r>
          </w:p>
        </w:tc>
      </w:tr>
      <w:tr>
        <w:tc>
          <w:tcPr/>
          <w:p>
            <w:pPr>
              <w:pStyle w:val="Compact"/>
              <w:jc w:val="left"/>
            </w:pPr>
            <w:r>
              <w:t xml:space="preserve">Consequence score editing</w:t>
            </w:r>
          </w:p>
        </w:tc>
        <w:tc>
          <w:tcPr/>
          <w:p>
            <w:pPr>
              <w:pStyle w:val="Compact"/>
              <w:jc w:val="left"/>
            </w:pPr>
            <w:r>
              <w:t xml:space="preserve">Close sensitivity dialog; edit matrix; reopen dialog to re-check</w:t>
            </w:r>
          </w:p>
        </w:tc>
        <w:tc>
          <w:tcPr/>
          <w:p>
            <w:pPr>
              <w:pStyle w:val="Compact"/>
              <w:jc w:val="left"/>
            </w:pPr>
            <w:r>
              <w:t xml:space="preserve">Inline cell edit → instant recalculation of all dependent rankings and visualisations</w:t>
            </w:r>
            <w:r>
              <w:t xml:space="preserve"> </w:t>
            </w:r>
            <w:r>
              <w:rPr>
                <w:vertAlign w:val="superscript"/>
              </w:rPr>
              <w:t xml:space="preserve">75</w:t>
            </w:r>
          </w:p>
        </w:tc>
        <w:tc>
          <w:tcPr/>
          <w:p>
            <w:pPr>
              <w:pStyle w:val="Compact"/>
              <w:jc w:val="left"/>
            </w:pPr>
            <w:r>
              <w:t xml:space="preserve">Enables iterative refinement during live meetings; no context switching</w:t>
            </w:r>
          </w:p>
        </w:tc>
      </w:tr>
      <w:tr>
        <w:tc>
          <w:tcPr/>
          <w:p>
            <w:pPr>
              <w:pStyle w:val="Compact"/>
              <w:jc w:val="left"/>
            </w:pPr>
            <w:r>
              <w:t xml:space="preserve">Scenario save / snapshot</w:t>
            </w:r>
          </w:p>
        </w:tc>
        <w:tc>
          <w:tcPr/>
          <w:p>
            <w:pPr>
              <w:pStyle w:val="Compact"/>
              <w:jc w:val="left"/>
            </w:pPr>
            <w:r>
              <w:t xml:space="preserve">Save model file; manual version naming</w:t>
            </w:r>
          </w:p>
        </w:tc>
        <w:tc>
          <w:tcPr/>
          <w:p>
            <w:pPr>
              <w:pStyle w:val="Compact"/>
              <w:jc w:val="left"/>
            </w:pPr>
            <w:r>
              <w:t xml:space="preserve">Named scenario with timestamp, author, and diff annotation; one-click restore</w:t>
            </w:r>
            <w:r>
              <w:t xml:space="preserve"> </w:t>
            </w:r>
            <w:r>
              <w:rPr>
                <w:vertAlign w:val="superscript"/>
              </w:rPr>
              <w:t xml:space="preserve">33</w:t>
            </w:r>
          </w:p>
        </w:tc>
        <w:tc>
          <w:tcPr/>
          <w:p>
            <w:pPr>
              <w:pStyle w:val="Compact"/>
              <w:jc w:val="left"/>
            </w:pPr>
            <w:r>
              <w:t xml:space="preserve">Decision audit trail created automatically; regulatory compliance supported</w:t>
            </w:r>
          </w:p>
        </w:tc>
      </w:tr>
      <w:tr>
        <w:tc>
          <w:tcPr/>
          <w:p>
            <w:pPr>
              <w:pStyle w:val="Compact"/>
              <w:jc w:val="left"/>
            </w:pPr>
            <w:r>
              <w:t xml:space="preserve">Scenario comparison</w:t>
            </w:r>
          </w:p>
        </w:tc>
        <w:tc>
          <w:tcPr/>
          <w:p>
            <w:pPr>
              <w:pStyle w:val="Compact"/>
              <w:jc w:val="left"/>
            </w:pPr>
            <w:r>
              <w:t xml:space="preserve">Side-by-side file opening; manual difference identification</w:t>
            </w:r>
          </w:p>
        </w:tc>
        <w:tc>
          <w:tcPr/>
          <w:p>
            <w:pPr>
              <w:pStyle w:val="Compact"/>
              <w:jc w:val="left"/>
            </w:pPr>
            <w:r>
              <w:t xml:space="preserve">Parallel ranking views with colour-coded difference highlighting; Δ-value annotations</w:t>
            </w:r>
            <w:r>
              <w:t xml:space="preserve"> </w:t>
            </w:r>
            <w:r>
              <w:rPr>
                <w:vertAlign w:val="superscript"/>
              </w:rPr>
              <w:t xml:space="preserve">77</w:t>
            </w:r>
          </w:p>
        </w:tc>
        <w:tc>
          <w:tcPr/>
          <w:p>
            <w:pPr>
              <w:pStyle w:val="Compact"/>
              <w:jc w:val="left"/>
            </w:pPr>
            <w:r>
              <w:t xml:space="preserve">Stakeholders align on assumption impact visually in a single screen</w:t>
            </w:r>
          </w:p>
        </w:tc>
      </w:tr>
      <w:tr>
        <w:tc>
          <w:tcPr/>
          <w:p>
            <w:pPr>
              <w:pStyle w:val="Compact"/>
              <w:jc w:val="left"/>
            </w:pPr>
            <w:r>
              <w:t xml:space="preserve">Break-even / threshold analysis</w:t>
            </w:r>
          </w:p>
        </w:tc>
        <w:tc>
          <w:tcPr/>
          <w:p>
            <w:pPr>
              <w:pStyle w:val="Compact"/>
              <w:jc w:val="left"/>
            </w:pPr>
            <w:r>
              <w:t xml:space="preserve">Trial-and-error parameter variation to find reversal points</w:t>
            </w:r>
            <w:r>
              <w:t xml:space="preserve"> </w:t>
            </w:r>
            <w:r>
              <w:rPr>
                <w:vertAlign w:val="superscript"/>
              </w:rPr>
              <w:t xml:space="preserve">3</w:t>
            </w:r>
          </w:p>
        </w:tc>
        <w:tc>
          <w:tcPr/>
          <w:p>
            <w:pPr>
              <w:pStyle w:val="Compact"/>
              <w:jc w:val="left"/>
            </w:pPr>
            <w:r>
              <w:t xml:space="preserve">Closed-form crossover calculation; automatic threshold alerts when estimates approach reversal margins</w:t>
            </w:r>
          </w:p>
        </w:tc>
        <w:tc>
          <w:tcPr/>
          <w:p>
            <w:pPr>
              <w:pStyle w:val="Compact"/>
              <w:jc w:val="left"/>
            </w:pPr>
            <w:r>
              <w:t xml:space="preserve">System flags fragile recommendations before they are presented</w:t>
            </w:r>
          </w:p>
        </w:tc>
      </w:tr>
      <w:tr>
        <w:tc>
          <w:tcPr/>
          <w:p>
            <w:pPr>
              <w:pStyle w:val="Compact"/>
              <w:jc w:val="left"/>
            </w:pPr>
            <w:r>
              <w:t xml:space="preserve">Dominance detection</w:t>
            </w:r>
          </w:p>
        </w:tc>
        <w:tc>
          <w:tcPr/>
          <w:p>
            <w:pPr>
              <w:pStyle w:val="Compact"/>
              <w:jc w:val="left"/>
            </w:pPr>
            <w:r>
              <w:t xml:space="preserve">Manual inspection of consequence matrix; pairwise comparison by analyst</w:t>
            </w:r>
            <w:r>
              <w:t xml:space="preserve"> </w:t>
            </w:r>
            <w:r>
              <w:rPr>
                <w:vertAlign w:val="superscript"/>
              </w:rPr>
              <w:t xml:space="preserve">3</w:t>
            </w:r>
          </w:p>
        </w:tc>
        <w:tc>
          <w:tcPr/>
          <w:p>
            <w:pPr>
              <w:pStyle w:val="Compact"/>
              <w:jc w:val="left"/>
            </w:pPr>
            <w:r>
              <w:t xml:space="preserve">Automated pre-sensitivity dominance filtering; dominated alternatives greyed with explanation certificate</w:t>
            </w:r>
          </w:p>
        </w:tc>
        <w:tc>
          <w:tcPr/>
          <w:p>
            <w:pPr>
              <w:pStyle w:val="Compact"/>
              <w:jc w:val="left"/>
            </w:pPr>
            <w:r>
              <w:t xml:space="preserve">Eliminates non-contenders before analysis; reduces cognitive load</w:t>
            </w:r>
          </w:p>
        </w:tc>
      </w:tr>
      <w:tr>
        <w:tc>
          <w:tcPr/>
          <w:p>
            <w:pPr>
              <w:pStyle w:val="Compact"/>
              <w:jc w:val="left"/>
            </w:pPr>
            <w:r>
              <w:t xml:space="preserve">Monte Carlo simulation</w:t>
            </w:r>
          </w:p>
        </w:tc>
        <w:tc>
          <w:tcPr/>
          <w:p>
            <w:pPr>
              <w:pStyle w:val="Compact"/>
              <w:jc w:val="left"/>
            </w:pPr>
            <w:r>
              <w:t xml:space="preserve">Not available in Web-HIPRE; requires external statistical software</w:t>
            </w:r>
          </w:p>
        </w:tc>
        <w:tc>
          <w:tcPr/>
          <w:p>
            <w:pPr>
              <w:pStyle w:val="Compact"/>
              <w:jc w:val="left"/>
            </w:pPr>
            <w:r>
              <w:t xml:space="preserve">Browser-based probabilistic ranking from weight uncertainty intervals; histogram of rank frequencies</w:t>
            </w:r>
            <w:r>
              <w:t xml:space="preserve"> </w:t>
            </w:r>
            <w:r>
              <w:rPr>
                <w:vertAlign w:val="superscript"/>
              </w:rPr>
              <w:t xml:space="preserve">78</w:t>
            </w:r>
          </w:p>
        </w:tc>
        <w:tc>
          <w:tcPr/>
          <w:p>
            <w:pPr>
              <w:pStyle w:val="Compact"/>
              <w:jc w:val="left"/>
            </w:pPr>
            <w:r>
              <w:t xml:space="preserve">Quantifies recommendation confidence given input uncertainty</w:t>
            </w:r>
          </w:p>
        </w:tc>
      </w:tr>
      <w:tr>
        <w:tc>
          <w:tcPr/>
          <w:p>
            <w:pPr>
              <w:pStyle w:val="Compact"/>
              <w:jc w:val="left"/>
            </w:pPr>
            <w:r>
              <w:t xml:space="preserve">Multi-user collaborative exploration</w:t>
            </w:r>
          </w:p>
        </w:tc>
        <w:tc>
          <w:tcPr/>
          <w:p>
            <w:pPr>
              <w:pStyle w:val="Compact"/>
              <w:jc w:val="left"/>
            </w:pPr>
            <w:r>
              <w:t xml:space="preserve">Single-user desktop session; serial handoff of model files</w:t>
            </w:r>
          </w:p>
        </w:tc>
        <w:tc>
          <w:tcPr/>
          <w:p>
            <w:pPr>
              <w:pStyle w:val="Compact"/>
              <w:jc w:val="left"/>
            </w:pPr>
            <w:r>
              <w:t xml:space="preserve">Real-time multiplayer cursors; simultaneous slider exploration with live presence</w:t>
            </w:r>
            <w:r>
              <w:t xml:space="preserve"> </w:t>
            </w:r>
            <w:r>
              <w:rPr>
                <w:vertAlign w:val="superscript"/>
              </w:rPr>
              <w:t xml:space="preserve">79</w:t>
            </w:r>
          </w:p>
        </w:tc>
        <w:tc>
          <w:tcPr/>
          <w:p>
            <w:pPr>
              <w:pStyle w:val="Compact"/>
              <w:jc w:val="left"/>
            </w:pPr>
            <w:r>
              <w:t xml:space="preserve">Entire stakeholder group explores trade-offs in one session</w:t>
            </w:r>
          </w:p>
        </w:tc>
      </w:tr>
    </w:tbl>
    <w:p>
      <w:pPr>
        <w:pStyle w:val="BodyText"/>
      </w:pPr>
      <w:r>
        <w:rPr>
          <w:iCs/>
          <w:i/>
        </w:rPr>
        <w:t xml:space="preserve">Table 1: Sensitivity analysis capability comparison — Legacy Desktop versus Cloud-Native SaaS. Each row contrasts the 2002-era workflow (Web-HIPRE / PRIME Decisions) with its modern equivalent, highlighting the impact on decision-making speed and rigour.</w:t>
      </w:r>
    </w:p>
    <w:p>
      <w:pPr>
        <w:pStyle w:val="BodyText"/>
      </w:pPr>
      <w:r>
        <w:t xml:space="preserve">The table reveals a consistent pattern: every 2002-era sensitivity operation that required a separate tool, manual export, or trained analyst becomes an inline, self-service, real-time capability in the SaaS paradigm. A half-day analyst session — one-way sensitivity on a five-attribute model, exporting tornado diagrams, documenting findings for a steering committee — collapses to a ten-minute exploration inside a shared browser tab. Sensitivity analysis ceases to be a final validation step and becomes a continuous conversation throughout the decision cycle.</w:t>
      </w:r>
    </w:p>
    <w:bookmarkEnd w:id="76"/>
    <w:bookmarkEnd w:id="77"/>
    <w:bookmarkStart w:id="81" w:name="scenario-management"/>
    <w:p>
      <w:pPr>
        <w:pStyle w:val="Heading3"/>
      </w:pPr>
      <w:r>
        <w:t xml:space="preserve">5.2 Scenario Management</w:t>
      </w:r>
    </w:p>
    <w:p>
      <w:pPr>
        <w:pStyle w:val="FirstParagraph"/>
      </w:pPr>
      <w:r>
        <w:t xml:space="preserve">Sensitivity analysis explores the neighbourhood around a single point estimate. Scenario management captures and compares distant points — alternative weight sets, different consequence matrices — as named, reproducible states. A board may compare recommendations under</w:t>
      </w:r>
      <w:r>
        <w:t xml:space="preserve"> </w:t>
      </w:r>
      <w:r>
        <w:t xml:space="preserve">“</w:t>
      </w:r>
      <w:r>
        <w:t xml:space="preserve">growth-first</w:t>
      </w:r>
      <w:r>
        <w:t xml:space="preserve">”</w:t>
      </w:r>
      <w:r>
        <w:t xml:space="preserve"> </w:t>
      </w:r>
      <w:r>
        <w:t xml:space="preserve">versus</w:t>
      </w:r>
      <w:r>
        <w:t xml:space="preserve"> </w:t>
      </w:r>
      <w:r>
        <w:t xml:space="preserve">“</w:t>
      </w:r>
      <w:r>
        <w:t xml:space="preserve">margin-first</w:t>
      </w:r>
      <w:r>
        <w:t xml:space="preserve">”</w:t>
      </w:r>
      <w:r>
        <w:t xml:space="preserve"> </w:t>
      </w:r>
      <w:r>
        <w:t xml:space="preserve">philosophies; a procurement committee may evaluate vendors under</w:t>
      </w:r>
      <w:r>
        <w:t xml:space="preserve"> </w:t>
      </w:r>
      <w:r>
        <w:t xml:space="preserve">“</w:t>
      </w:r>
      <w:r>
        <w:t xml:space="preserve">optimistic</w:t>
      </w:r>
      <w:r>
        <w:t xml:space="preserve">”</w:t>
      </w:r>
      <w:r>
        <w:t xml:space="preserve"> </w:t>
      </w:r>
      <w:r>
        <w:t xml:space="preserve">and</w:t>
      </w:r>
      <w:r>
        <w:t xml:space="preserve"> </w:t>
      </w:r>
      <w:r>
        <w:t xml:space="preserve">“</w:t>
      </w:r>
      <w:r>
        <w:t xml:space="preserve">conservative</w:t>
      </w:r>
      <w:r>
        <w:t xml:space="preserve">”</w:t>
      </w:r>
      <w:r>
        <w:t xml:space="preserve"> </w:t>
      </w:r>
      <w:r>
        <w:t xml:space="preserve">assumptions. Without systematic scenario management, these explorations evaporate when the browser tab closes.</w:t>
      </w:r>
    </w:p>
    <w:bookmarkStart w:id="78" w:name="scenario-save-and-snapshot"/>
    <w:p>
      <w:pPr>
        <w:pStyle w:val="Heading4"/>
      </w:pPr>
      <w:r>
        <w:t xml:space="preserve">5.2.1 Scenario Save and Snapshot</w:t>
      </w:r>
    </w:p>
    <w:p>
      <w:pPr>
        <w:pStyle w:val="FirstParagraph"/>
      </w:pPr>
      <w:r>
        <w:t xml:space="preserve">The foundational capability is the named snapshot. At any point, a DM captures the current model state — weights, consequence scores, value functions, tree structure — under a descriptive label (</w:t>
      </w:r>
      <w:r>
        <w:t xml:space="preserve">“</w:t>
      </w:r>
      <w:r>
        <w:t xml:space="preserve">Q3 Baseline</w:t>
      </w:r>
      <w:r>
        <w:t xml:space="preserve">”</w:t>
      </w:r>
      <w:r>
        <w:t xml:space="preserve">,</w:t>
      </w:r>
      <w:r>
        <w:t xml:space="preserve"> </w:t>
      </w:r>
      <w:r>
        <w:t xml:space="preserve">“</w:t>
      </w:r>
      <w:r>
        <w:t xml:space="preserve">Stress Test</w:t>
      </w:r>
      <w:r>
        <w:t xml:space="preserve">”</w:t>
      </w:r>
      <w:r>
        <w:t xml:space="preserve">). Enterprise planning platforms provide the reference pattern: Anaplan supports multi-dimensional scenario modelling with instant financial impact visibility</w:t>
      </w:r>
      <w:r>
        <w:t xml:space="preserve"> </w:t>
      </w:r>
      <w:r>
        <w:rPr>
          <w:vertAlign w:val="superscript"/>
        </w:rPr>
        <w:t xml:space="preserve">33</w:t>
      </w:r>
      <w:r>
        <w:t xml:space="preserve">; Workday Adaptive Planning enables dynamic scenario creation where teams test assumptions and see impacts in real time</w:t>
      </w:r>
      <w:r>
        <w:t xml:space="preserve"> </w:t>
      </w:r>
      <w:r>
        <w:rPr>
          <w:vertAlign w:val="superscript"/>
        </w:rPr>
        <w:t xml:space="preserve">42</w:t>
      </w:r>
      <w:r>
        <w:t xml:space="preserve">. A VTA SaaS platform extends this by versioning structural assumptions: which attributes were included, how the tree was decomposed, and which elicitation method produced each weight. This granularity ensures apples-to-apples comparisons and satisfies regulatory audit-trail requirements.</w:t>
      </w:r>
    </w:p>
    <w:bookmarkEnd w:id="78"/>
    <w:bookmarkStart w:id="79" w:name="side-by-side-scenario-comparison"/>
    <w:p>
      <w:pPr>
        <w:pStyle w:val="Heading4"/>
      </w:pPr>
      <w:r>
        <w:t xml:space="preserve">5.2.2 Side-by-Side Scenario Comparison</w:t>
      </w:r>
    </w:p>
    <w:p>
      <w:pPr>
        <w:pStyle w:val="FirstParagraph"/>
      </w:pPr>
      <w:r>
        <w:t xml:space="preserve">Once multiple scenarios exist, the platform supports simultaneous visual comparison. Lagrange.ai offers a reference: users select unlimited scenarios for side-by-side comparison with intelligent metric identification and synchronised views</w:t>
      </w:r>
      <w:r>
        <w:t xml:space="preserve"> </w:t>
      </w:r>
      <w:r>
        <w:rPr>
          <w:vertAlign w:val="superscript"/>
        </w:rPr>
        <w:t xml:space="preserve">77</w:t>
      </w:r>
      <w:r>
        <w:t xml:space="preserve">. In a VTA context, parallel ranking charts — one per scenario — align alternatives vertically so rank shifts are immediately visible, with colour-coded arrows and delta annotations displaying exact value-score differences. The COMSAM (Comprehensive Sensitivity Analysis Method) research demonstrates the computational scale: systematic perturbation of four MCDA methods produced nearly 140 million observations per method, finding RAM demonstrated highest robustness while TOPSIS showed extreme volatility</w:t>
      </w:r>
      <w:r>
        <w:t xml:space="preserve"> </w:t>
      </w:r>
      <w:r>
        <w:rPr>
          <w:vertAlign w:val="superscript"/>
        </w:rPr>
        <w:t xml:space="preserve">80</w:t>
      </w:r>
      <w:r>
        <w:t xml:space="preserve">. A cloud-native VTA platform executes COMSAM-style analyses on demand using parallelised computation.</w:t>
      </w:r>
    </w:p>
    <w:bookmarkEnd w:id="79"/>
    <w:bookmarkStart w:id="80" w:name="break-even-analysis"/>
    <w:p>
      <w:pPr>
        <w:pStyle w:val="Heading4"/>
      </w:pPr>
      <w:r>
        <w:t xml:space="preserve">5.2.3 Break-Even Analysis</w:t>
      </w:r>
    </w:p>
    <w:p>
      <w:pPr>
        <w:pStyle w:val="FirstParagraph"/>
      </w:pPr>
      <w:r>
        <w:t xml:space="preserve">Automatic break-even detection is the most analytically powerful scenario-management feature. Rather than manually searching for weight thresholds where rankings change, the system computes all crossover points algebraically and surfaces them as alerts. For attribute</w:t>
      </w:r>
      <w:r>
        <w:t xml:space="preserve"> </w:t>
      </w:r>
      <m:oMath>
        <m:r>
          <m:t>k</m:t>
        </m:r>
      </m:oMath>
      <w:r>
        <w:t xml:space="preserve">, the threshold weight</w:t>
      </w:r>
      <w:r>
        <w:t xml:space="preserve"> </w:t>
      </w:r>
      <m:oMath>
        <m:sSubSup>
          <m:e>
            <m:r>
              <m:t>w</m:t>
            </m:r>
          </m:e>
          <m:sub>
            <m:r>
              <m:t>k</m:t>
            </m:r>
          </m:sub>
          <m:sup>
            <m:r>
              <m:rPr>
                <m:sty m:val="p"/>
              </m:rPr>
              <m:t>*</m:t>
            </m:r>
          </m:sup>
        </m:sSubSup>
      </m:oMath>
      <w:r>
        <w:t xml:space="preserve"> </w:t>
      </w:r>
      <w:r>
        <w:t xml:space="preserve">where alternatives</w:t>
      </w:r>
      <w:r>
        <w:t xml:space="preserve"> </w:t>
      </w:r>
      <m:oMath>
        <m:r>
          <m:t>a</m:t>
        </m:r>
      </m:oMath>
      <w:r>
        <w:t xml:space="preserve"> </w:t>
      </w:r>
      <w:r>
        <w:t xml:space="preserve">and</w:t>
      </w:r>
      <w:r>
        <w:t xml:space="preserve"> </w:t>
      </w:r>
      <m:oMath>
        <m:r>
          <m:t>b</m:t>
        </m:r>
      </m:oMath>
      <w:r>
        <w:t xml:space="preserve"> </w:t>
      </w:r>
      <w:r>
        <w:t xml:space="preserve">have equal total value follows from the additive model:</w:t>
      </w:r>
    </w:p>
    <w:p>
      <w:pPr>
        <w:pStyle w:val="BodyText"/>
      </w:pPr>
      <m:oMathPara>
        <m:oMathParaPr>
          <m:jc m:val="center"/>
        </m:oMathParaPr>
        <m:oMath>
          <m:sSubSup>
            <m:e>
              <m:r>
                <m:t>w</m:t>
              </m:r>
            </m:e>
            <m:sub>
              <m:r>
                <m:t>k</m:t>
              </m:r>
            </m:sub>
            <m:sup>
              <m:r>
                <m:rPr>
                  <m:sty m:val="p"/>
                </m:rPr>
                <m:t>*</m:t>
              </m:r>
            </m:sup>
          </m:sSubSup>
          <m:r>
            <m:rPr>
              <m:sty m:val="p"/>
            </m:rPr>
            <m:t>=</m:t>
          </m:r>
          <m:f>
            <m:fPr>
              <m:type m:val="bar"/>
            </m:fPr>
            <m:num>
              <m:sSub>
                <m:e>
                  <m:r>
                    <m:t>V</m:t>
                  </m:r>
                </m:e>
                <m:sub>
                  <m:r>
                    <m:rPr>
                      <m:sty m:val="p"/>
                    </m:rPr>
                    <m:t>¬</m:t>
                  </m:r>
                  <m:r>
                    <m:t>k</m:t>
                  </m:r>
                </m:sub>
              </m:sSub>
              <m:d>
                <m:dPr>
                  <m:begChr m:val="("/>
                  <m:endChr m:val=")"/>
                  <m:sepChr m:val=""/>
                  <m:grow/>
                </m:dPr>
                <m:e>
                  <m:r>
                    <m:t>b</m:t>
                  </m:r>
                </m:e>
              </m:d>
              <m:r>
                <m:rPr>
                  <m:sty m:val="p"/>
                </m:rPr>
                <m:t>−</m:t>
              </m:r>
              <m:sSub>
                <m:e>
                  <m:r>
                    <m:t>V</m:t>
                  </m:r>
                </m:e>
                <m:sub>
                  <m:r>
                    <m:rPr>
                      <m:sty m:val="p"/>
                    </m:rPr>
                    <m:t>¬</m:t>
                  </m:r>
                  <m:r>
                    <m:t>k</m:t>
                  </m:r>
                </m:sub>
              </m:sSub>
              <m:d>
                <m:dPr>
                  <m:begChr m:val="("/>
                  <m:endChr m:val=")"/>
                  <m:sepChr m:val=""/>
                  <m:grow/>
                </m:dPr>
                <m:e>
                  <m:r>
                    <m:t>a</m:t>
                  </m:r>
                </m:e>
              </m:d>
            </m:num>
            <m:den>
              <m:r>
                <m:rPr>
                  <m:sty m:val="p"/>
                </m:rPr>
                <m:t>[</m:t>
              </m:r>
              <m:sSub>
                <m:e>
                  <m:r>
                    <m:t>v</m:t>
                  </m:r>
                </m:e>
                <m:sub>
                  <m:r>
                    <m:t>k</m:t>
                  </m:r>
                </m:sub>
              </m:sSub>
              <m:d>
                <m:dPr>
                  <m:begChr m:val="("/>
                  <m:endChr m:val=")"/>
                  <m:sepChr m:val=""/>
                  <m:grow/>
                </m:dPr>
                <m:e>
                  <m:r>
                    <m:t>a</m:t>
                  </m:r>
                </m:e>
              </m:d>
              <m:r>
                <m:rPr>
                  <m:sty m:val="p"/>
                </m:rPr>
                <m:t>−</m:t>
              </m:r>
              <m:sSub>
                <m:e>
                  <m:r>
                    <m:t>V</m:t>
                  </m:r>
                </m:e>
                <m:sub>
                  <m:r>
                    <m:rPr>
                      <m:sty m:val="p"/>
                    </m:rPr>
                    <m:t>¬</m:t>
                  </m:r>
                  <m:r>
                    <m:t>k</m:t>
                  </m:r>
                </m:sub>
              </m:sSub>
              <m:d>
                <m:dPr>
                  <m:begChr m:val="("/>
                  <m:endChr m:val=")"/>
                  <m:sepChr m:val=""/>
                  <m:grow/>
                </m:dPr>
                <m:e>
                  <m:r>
                    <m:t>a</m:t>
                  </m:r>
                </m:e>
              </m:d>
              <m:r>
                <m:rPr>
                  <m:sty m:val="p"/>
                </m:rPr>
                <m:t>]</m:t>
              </m:r>
              <m:r>
                <m:rPr>
                  <m:sty m:val="p"/>
                </m:rPr>
                <m:t>−</m:t>
              </m:r>
              <m:r>
                <m:rPr>
                  <m:sty m:val="p"/>
                </m:rPr>
                <m:t>[</m:t>
              </m:r>
              <m:sSub>
                <m:e>
                  <m:r>
                    <m:t>v</m:t>
                  </m:r>
                </m:e>
                <m:sub>
                  <m:r>
                    <m:t>k</m:t>
                  </m:r>
                </m:sub>
              </m:sSub>
              <m:d>
                <m:dPr>
                  <m:begChr m:val="("/>
                  <m:endChr m:val=")"/>
                  <m:sepChr m:val=""/>
                  <m:grow/>
                </m:dPr>
                <m:e>
                  <m:r>
                    <m:t>b</m:t>
                  </m:r>
                </m:e>
              </m:d>
              <m:r>
                <m:rPr>
                  <m:sty m:val="p"/>
                </m:rPr>
                <m:t>−</m:t>
              </m:r>
              <m:sSub>
                <m:e>
                  <m:r>
                    <m:t>V</m:t>
                  </m:r>
                </m:e>
                <m:sub>
                  <m:r>
                    <m:rPr>
                      <m:sty m:val="p"/>
                    </m:rPr>
                    <m:t>¬</m:t>
                  </m:r>
                  <m:r>
                    <m:t>k</m:t>
                  </m:r>
                </m:sub>
              </m:sSub>
              <m:d>
                <m:dPr>
                  <m:begChr m:val="("/>
                  <m:endChr m:val=")"/>
                  <m:sepChr m:val=""/>
                  <m:grow/>
                </m:dPr>
                <m:e>
                  <m:r>
                    <m:t>b</m:t>
                  </m:r>
                </m:e>
              </m:d>
              <m:r>
                <m:rPr>
                  <m:sty m:val="p"/>
                </m:rPr>
                <m:t>]</m:t>
              </m:r>
            </m:den>
          </m:f>
        </m:oMath>
      </m:oMathPara>
    </w:p>
    <w:p>
      <w:pPr>
        <w:pStyle w:val="FirstParagraph"/>
      </w:pPr>
      <w:r>
        <w:t xml:space="preserve">where</w:t>
      </w:r>
      <w:r>
        <w:t xml:space="preserve"> </w:t>
      </w:r>
      <m:oMath>
        <m:sSub>
          <m:e>
            <m:r>
              <m:t>v</m:t>
            </m:r>
          </m:e>
          <m:sub>
            <m:r>
              <m:t>k</m:t>
            </m:r>
          </m:sub>
        </m:sSub>
        <m:d>
          <m:dPr>
            <m:begChr m:val="("/>
            <m:endChr m:val=")"/>
            <m:sepChr m:val=""/>
            <m:grow/>
          </m:dPr>
          <m:e>
            <m:r>
              <m:t>a</m:t>
            </m:r>
          </m:e>
        </m:d>
      </m:oMath>
      <w:r>
        <w:t xml:space="preserve"> </w:t>
      </w:r>
      <w:r>
        <w:t xml:space="preserve">is the normalised score of alternative</w:t>
      </w:r>
      <w:r>
        <w:t xml:space="preserve"> </w:t>
      </w:r>
      <m:oMath>
        <m:r>
          <m:t>a</m:t>
        </m:r>
      </m:oMath>
      <w:r>
        <w:t xml:space="preserve"> </w:t>
      </w:r>
      <w:r>
        <w:t xml:space="preserve">on attribute</w:t>
      </w:r>
      <w:r>
        <w:t xml:space="preserve"> </w:t>
      </w:r>
      <m:oMath>
        <m:r>
          <m:t>k</m:t>
        </m:r>
      </m:oMath>
      <w:r>
        <w:t xml:space="preserve"> </w:t>
      </w:r>
      <w:r>
        <w:t xml:space="preserve">and</w:t>
      </w:r>
      <w:r>
        <w:t xml:space="preserve"> </w:t>
      </w:r>
      <m:oMath>
        <m:sSub>
          <m:e>
            <m:r>
              <m:t>V</m:t>
            </m:r>
          </m:e>
          <m:sub>
            <m:r>
              <m:rPr>
                <m:sty m:val="p"/>
              </m:rPr>
              <m:t>¬</m:t>
            </m:r>
            <m:r>
              <m:t>k</m:t>
            </m:r>
          </m:sub>
        </m:sSub>
        <m:d>
          <m:dPr>
            <m:begChr m:val="("/>
            <m:endChr m:val=")"/>
            <m:sepChr m:val=""/>
            <m:grow/>
          </m:dPr>
          <m:e>
            <m:r>
              <m:t>a</m:t>
            </m:r>
          </m:e>
        </m:d>
        <m:r>
          <m:rPr>
            <m:sty m:val="p"/>
          </m:rPr>
          <m:t>=</m:t>
        </m:r>
        <m:nary>
          <m:naryPr>
            <m:chr m:val="∑"/>
            <m:limLoc m:val="undOvr"/>
            <m:subHide m:val="0"/>
            <m:supHide m:val="1"/>
          </m:naryPr>
          <m:sub>
            <m:r>
              <m:t>i</m:t>
            </m:r>
            <m:r>
              <m:rPr>
                <m:sty m:val="p"/>
              </m:rPr>
              <m:t>≠</m:t>
            </m:r>
            <m:r>
              <m:t>k</m:t>
            </m:r>
          </m:sub>
          <m:sup>
            <m:r>
              <m:t>​</m:t>
            </m:r>
          </m:sup>
          <m:e>
            <m:sSub>
              <m:e>
                <m:r>
                  <m:t>w</m:t>
                </m:r>
              </m:e>
              <m:sub>
                <m:r>
                  <m:t>i</m:t>
                </m:r>
              </m:sub>
            </m:sSub>
          </m:e>
        </m:nary>
        <m:sSub>
          <m:e>
            <m:r>
              <m:t>v</m:t>
            </m:r>
          </m:e>
          <m:sub>
            <m:r>
              <m:t>i</m:t>
            </m:r>
          </m:sub>
        </m:sSub>
        <m:d>
          <m:dPr>
            <m:begChr m:val="("/>
            <m:endChr m:val=")"/>
            <m:sepChr m:val=""/>
            <m:grow/>
          </m:dPr>
          <m:e>
            <m:sSub>
              <m:e>
                <m:r>
                  <m:t>x</m:t>
                </m:r>
              </m:e>
              <m:sub>
                <m:r>
                  <m:t>i</m:t>
                </m:r>
              </m:sub>
            </m:sSub>
            <m:d>
              <m:dPr>
                <m:begChr m:val="("/>
                <m:endChr m:val=")"/>
                <m:sepChr m:val=""/>
                <m:grow/>
              </m:dPr>
              <m:e>
                <m:r>
                  <m:t>a</m:t>
                </m:r>
              </m:e>
            </m:d>
          </m:e>
        </m:d>
      </m:oMath>
      <w:r>
        <w:t xml:space="preserve"> </w:t>
      </w:r>
      <w:r>
        <w:t xml:space="preserve">is the contribution of all other attributes. When the current weight estimate lies within a configurable margin (e.g., 10%) of any</w:t>
      </w:r>
      <w:r>
        <w:t xml:space="preserve"> </w:t>
      </w:r>
      <m:oMath>
        <m:sSubSup>
          <m:e>
            <m:r>
              <m:t>w</m:t>
            </m:r>
          </m:e>
          <m:sub>
            <m:r>
              <m:t>k</m:t>
            </m:r>
          </m:sub>
          <m:sup>
            <m:r>
              <m:rPr>
                <m:sty m:val="p"/>
              </m:rPr>
              <m:t>*</m:t>
            </m:r>
          </m:sup>
        </m:sSubSup>
      </m:oMath>
      <w:r>
        <w:t xml:space="preserve">, the system displays a</w:t>
      </w:r>
      <w:r>
        <w:t xml:space="preserve"> </w:t>
      </w:r>
      <w:r>
        <w:t xml:space="preserve">“</w:t>
      </w:r>
      <w:r>
        <w:t xml:space="preserve">fragile recommendation</w:t>
      </w:r>
      <w:r>
        <w:t xml:space="preserve">”</w:t>
      </w:r>
      <w:r>
        <w:t xml:space="preserve"> </w:t>
      </w:r>
      <w:r>
        <w:t xml:space="preserve">warning. This closed-form computation is instantaneous, scales linearly with attribute pairs, and transforms sensitivity analysis from a retrospective check into a proactive alert system.</w:t>
      </w:r>
    </w:p>
    <w:bookmarkEnd w:id="80"/>
    <w:bookmarkEnd w:id="81"/>
    <w:bookmarkStart w:id="85" w:name="dominance-and-robustness-analysis"/>
    <w:p>
      <w:pPr>
        <w:pStyle w:val="Heading3"/>
      </w:pPr>
      <w:r>
        <w:t xml:space="preserve">5.3 Dominance and Robustness Analysis</w:t>
      </w:r>
    </w:p>
    <w:p>
      <w:pPr>
        <w:pStyle w:val="FirstParagraph"/>
      </w:pPr>
      <w:r>
        <w:t xml:space="preserve">Sensitivity analysis assumes a set of viable alternatives. Dominance analysis prunes that set first. The 2002 document recognised this sequencing:</w:t>
      </w:r>
      <w:r>
        <w:t xml:space="preserve"> </w:t>
      </w:r>
      <w:r>
        <w:t xml:space="preserve">“</w:t>
      </w:r>
      <w:r>
        <w:t xml:space="preserve">Since dominance makes sensitivity analysis unnecessary, it should be analysed prior [to] the sensitivity analysis</w:t>
      </w:r>
      <w:r>
        <w:t xml:space="preserve">”</w:t>
      </w:r>
      <w:r>
        <w:t xml:space="preserve"> </w:t>
      </w:r>
      <w:r>
        <w:rPr>
          <w:vertAlign w:val="superscript"/>
        </w:rPr>
        <w:t xml:space="preserve">3</w:t>
      </w:r>
      <w:r>
        <w:t xml:space="preserve">. Alternative A is dominated by B if B is at least as good in all aspects and strictly better in at least one</w:t>
      </w:r>
      <w:r>
        <w:t xml:space="preserve"> </w:t>
      </w:r>
      <w:r>
        <w:rPr>
          <w:vertAlign w:val="superscript"/>
        </w:rPr>
        <w:t xml:space="preserve">3</w:t>
      </w:r>
      <w:r>
        <w:t xml:space="preserve">. In the desktop era, dominance checking was manual visual inspection — feasible for three alternatives, impractical for twenty. The SaaS platform automates this and extends it with probabilistic robustness measures.</w:t>
      </w:r>
    </w:p>
    <w:bookmarkStart w:id="82" w:name="automated-dominance-detection"/>
    <w:p>
      <w:pPr>
        <w:pStyle w:val="Heading4"/>
      </w:pPr>
      <w:r>
        <w:t xml:space="preserve">5.3.1 Automated Dominance Detection</w:t>
      </w:r>
    </w:p>
    <w:p>
      <w:pPr>
        <w:pStyle w:val="FirstParagraph"/>
      </w:pPr>
      <w:r>
        <w:t xml:space="preserve">Digital dominance detection proceeds in two stages. First,</w:t>
      </w:r>
      <w:r>
        <w:t xml:space="preserve"> </w:t>
      </w:r>
      <w:r>
        <w:rPr>
          <w:iCs/>
          <w:i/>
        </w:rPr>
        <w:t xml:space="preserve">absolute dominance</w:t>
      </w:r>
      <w:r>
        <w:t xml:space="preserve"> </w:t>
      </w:r>
      <w:r>
        <w:t xml:space="preserve">uses value intervals from PRIME imprecise preference inputs (Chapter 4). When one alternative’s entire interval</w:t>
      </w:r>
      <w:r>
        <w:t xml:space="preserve"> </w:t>
      </w:r>
      <m:oMath>
        <m:d>
          <m:dPr>
            <m:begChr m:val="["/>
            <m:endChr m:val="]"/>
            <m:sepChr m:val=""/>
            <m:grow/>
          </m:dPr>
          <m:e>
            <m:sSubSup>
              <m:e>
                <m:r>
                  <m:t>V</m:t>
                </m:r>
              </m:e>
              <m:sub>
                <m:r>
                  <m:t>j</m:t>
                </m:r>
              </m:sub>
              <m:sup>
                <m:r>
                  <m:rPr>
                    <m:sty m:val="p"/>
                  </m:rPr>
                  <m:t>min</m:t>
                </m:r>
              </m:sup>
            </m:sSubSup>
            <m:r>
              <m:rPr>
                <m:sty m:val="p"/>
              </m:rPr>
              <m:t>,</m:t>
            </m:r>
            <m:sSubSup>
              <m:e>
                <m:r>
                  <m:t>V</m:t>
                </m:r>
              </m:e>
              <m:sub>
                <m:r>
                  <m:t>j</m:t>
                </m:r>
              </m:sub>
              <m:sup>
                <m:r>
                  <m:rPr>
                    <m:sty m:val="p"/>
                  </m:rPr>
                  <m:t>max</m:t>
                </m:r>
              </m:sup>
            </m:sSubSup>
          </m:e>
        </m:d>
      </m:oMath>
      <w:r>
        <w:t xml:space="preserve"> </w:t>
      </w:r>
      <w:r>
        <w:t xml:space="preserve">lies above another’s, absolute dominance holds and the inferior alternative is greyed out with an</w:t>
      </w:r>
      <w:r>
        <w:t xml:space="preserve"> </w:t>
      </w:r>
      <w:r>
        <w:t xml:space="preserve">“</w:t>
      </w:r>
      <w:r>
        <w:t xml:space="preserve">eliminated</w:t>
      </w:r>
      <w:r>
        <w:t xml:space="preserve">”</w:t>
      </w:r>
      <w:r>
        <w:t xml:space="preserve"> </w:t>
      </w:r>
      <w:r>
        <w:t xml:space="preserve">badge</w:t>
      </w:r>
      <w:r>
        <w:t xml:space="preserve"> </w:t>
      </w:r>
      <w:r>
        <w:rPr>
          <w:vertAlign w:val="superscript"/>
        </w:rPr>
        <w:t xml:space="preserve">3</w:t>
      </w:r>
      <w:r>
        <w:t xml:space="preserve">. Second,</w:t>
      </w:r>
      <w:r>
        <w:t xml:space="preserve"> </w:t>
      </w:r>
      <w:r>
        <w:rPr>
          <w:iCs/>
          <w:i/>
        </w:rPr>
        <w:t xml:space="preserve">pairwise dominance</w:t>
      </w:r>
      <w:r>
        <w:t xml:space="preserve"> </w:t>
      </w:r>
      <w:r>
        <w:t xml:space="preserve">tests across the feasible weight region</w:t>
      </w:r>
      <w:r>
        <w:t xml:space="preserve"> </w:t>
      </w:r>
      <m:oMath>
        <m:r>
          <m:rPr>
            <m:sty m:val="p"/>
            <m:scr m:val="script"/>
          </m:rPr>
          <m:t>W</m:t>
        </m:r>
      </m:oMath>
      <w:r>
        <w:t xml:space="preserve">: alternative</w:t>
      </w:r>
      <w:r>
        <w:t xml:space="preserve"> </w:t>
      </w:r>
      <m:oMath>
        <m:r>
          <m:t>j</m:t>
        </m:r>
      </m:oMath>
      <w:r>
        <w:t xml:space="preserve"> </w:t>
      </w:r>
      <w:r>
        <w:t xml:space="preserve">pairwise-dominates</w:t>
      </w:r>
      <w:r>
        <w:t xml:space="preserve"> </w:t>
      </w:r>
      <m:oMath>
        <m:r>
          <m:t>k</m:t>
        </m:r>
      </m:oMath>
      <w:r>
        <w:t xml:space="preserve"> </w:t>
      </w:r>
      <w:r>
        <w:t xml:space="preserve">if</w:t>
      </w:r>
      <w:r>
        <w:t xml:space="preserve"> </w:t>
      </w:r>
      <m:oMath>
        <m:r>
          <m:t>j</m:t>
        </m:r>
      </m:oMath>
      <w:r>
        <w:t xml:space="preserve">’s total value exceeds</w:t>
      </w:r>
      <w:r>
        <w:t xml:space="preserve"> </w:t>
      </w:r>
      <m:oMath>
        <m:r>
          <m:t>k</m:t>
        </m:r>
      </m:oMath>
      <w:r>
        <w:t xml:space="preserve">’s for every feasible weight vector. This reduces to a linear programming feasibility problem solvable in milliseconds. DecideIT demonstrates this through</w:t>
      </w:r>
      <w:r>
        <w:t xml:space="preserve"> </w:t>
      </w:r>
      <w:r>
        <w:t xml:space="preserve">“</w:t>
      </w:r>
      <w:r>
        <w:t xml:space="preserve">contraction levels</w:t>
      </w:r>
      <w:r>
        <w:t xml:space="preserve">”</w:t>
      </w:r>
      <w:r>
        <w:t xml:space="preserve"> </w:t>
      </w:r>
      <w:r>
        <w:t xml:space="preserve">that zoom into overlapping intervals to identify dominance</w:t>
      </w:r>
      <w:r>
        <w:t xml:space="preserve"> </w:t>
      </w:r>
      <w:r>
        <w:rPr>
          <w:vertAlign w:val="superscript"/>
        </w:rPr>
        <w:t xml:space="preserve">72</w:t>
      </w:r>
      <w:r>
        <w:t xml:space="preserve">; a cloud-native platform performs equivalent computation continuously as new preference information arrives.</w:t>
      </w:r>
    </w:p>
    <w:bookmarkEnd w:id="82"/>
    <w:bookmarkStart w:id="83" w:name="robustness-scoring"/>
    <w:p>
      <w:pPr>
        <w:pStyle w:val="Heading4"/>
      </w:pPr>
      <w:r>
        <w:t xml:space="preserve">5.3.2 Robustness Scoring</w:t>
      </w:r>
    </w:p>
    <w:p>
      <w:pPr>
        <w:pStyle w:val="FirstParagraph"/>
      </w:pPr>
      <w:r>
        <w:t xml:space="preserve">When no dominance relationship exists, it is valuable to know how much of the weight space supports each alternative as top-ranked. Robustness scoring divides the feasible region into sub-regions by which alternative ranks first and computes volume fractions. The robustness index</w:t>
      </w:r>
      <w:r>
        <w:t xml:space="preserve"> </w:t>
      </w:r>
      <m:oMath>
        <m:sSub>
          <m:e>
            <m:r>
              <m:t>R</m:t>
            </m:r>
          </m:e>
          <m:sub>
            <m:r>
              <m:t>j</m:t>
            </m:r>
          </m:sub>
        </m:sSub>
      </m:oMath>
      <w:r>
        <w:t xml:space="preserve"> </w:t>
      </w:r>
      <w:r>
        <w:t xml:space="preserve">for alternative</w:t>
      </w:r>
      <w:r>
        <w:t xml:space="preserve"> </w:t>
      </w:r>
      <m:oMath>
        <m:r>
          <m:t>j</m:t>
        </m:r>
      </m:oMath>
      <w:r>
        <w:t xml:space="preserve"> </w:t>
      </w:r>
      <w:r>
        <w:t xml:space="preserve">is:</w:t>
      </w:r>
    </w:p>
    <w:p>
      <w:pPr>
        <w:pStyle w:val="BodyText"/>
      </w:pPr>
      <m:oMathPara>
        <m:oMathParaPr>
          <m:jc m:val="center"/>
        </m:oMathParaPr>
        <m:oMath>
          <m:sSub>
            <m:e>
              <m:r>
                <m:t>R</m:t>
              </m:r>
            </m:e>
            <m:sub>
              <m:r>
                <m:t>j</m:t>
              </m:r>
            </m:sub>
          </m:sSub>
          <m:r>
            <m:rPr>
              <m:sty m:val="p"/>
            </m:rPr>
            <m:t>=</m:t>
          </m:r>
          <m:f>
            <m:fPr>
              <m:type m:val="bar"/>
            </m:fPr>
            <m:num>
              <m:r>
                <m:rPr>
                  <m:nor/>
                  <m:sty m:val="p"/>
                </m:rPr>
                <m:t>Vol</m:t>
              </m:r>
              <m:r>
                <m:rPr>
                  <m:sty m:val="p"/>
                </m:rPr>
                <m:t>(</m:t>
              </m:r>
              <m:r>
                <m:rPr>
                  <m:sty m:val="p"/>
                </m:rPr>
                <m:t>{</m:t>
              </m:r>
              <m:r>
                <m:rPr>
                  <m:sty m:val="b"/>
                </m:rPr>
                <m:t>w</m:t>
              </m:r>
              <m:r>
                <m:rPr>
                  <m:sty m:val="p"/>
                </m:rPr>
                <m:t>∈</m:t>
              </m:r>
              <m:r>
                <m:rPr>
                  <m:sty m:val="p"/>
                  <m:scr m:val="script"/>
                </m:rPr>
                <m:t>W</m:t>
              </m:r>
              <m:r>
                <m:rPr>
                  <m:sty m:val="p"/>
                </m:rPr>
                <m:t>:</m:t>
              </m:r>
              <m:sSub>
                <m:e>
                  <m:r>
                    <m:t>V</m:t>
                  </m:r>
                </m:e>
                <m:sub>
                  <m:r>
                    <m:t>j</m:t>
                  </m:r>
                </m:sub>
              </m:sSub>
              <m:d>
                <m:dPr>
                  <m:begChr m:val="("/>
                  <m:endChr m:val=")"/>
                  <m:sepChr m:val=""/>
                  <m:grow/>
                </m:dPr>
                <m:e>
                  <m:r>
                    <m:rPr>
                      <m:sty m:val="b"/>
                    </m:rPr>
                    <m:t>w</m:t>
                  </m:r>
                </m:e>
              </m:d>
              <m:r>
                <m:rPr>
                  <m:sty m:val="p"/>
                </m:rPr>
                <m:t>≥</m:t>
              </m:r>
              <m:sSub>
                <m:e>
                  <m:r>
                    <m:t>V</m:t>
                  </m:r>
                </m:e>
                <m:sub>
                  <m:r>
                    <m:t>k</m:t>
                  </m:r>
                </m:sub>
              </m:sSub>
              <m:d>
                <m:dPr>
                  <m:begChr m:val="("/>
                  <m:endChr m:val=")"/>
                  <m:sepChr m:val=""/>
                  <m:grow/>
                </m:dPr>
                <m:e>
                  <m:r>
                    <m:rPr>
                      <m:sty m:val="b"/>
                    </m:rPr>
                    <m:t>w</m:t>
                  </m:r>
                </m:e>
              </m:d>
              <m:r>
                <m:t> </m:t>
              </m:r>
              <m:r>
                <m:rPr>
                  <m:sty m:val="p"/>
                </m:rPr>
                <m:t>∀</m:t>
              </m:r>
              <m:r>
                <m:t> </m:t>
              </m:r>
              <m:r>
                <m:t>k</m:t>
              </m:r>
              <m:r>
                <m:rPr>
                  <m:sty m:val="p"/>
                </m:rPr>
                <m:t>}</m:t>
              </m:r>
              <m:r>
                <m:rPr>
                  <m:sty m:val="p"/>
                </m:rPr>
                <m:t>)</m:t>
              </m:r>
            </m:num>
            <m:den>
              <m:r>
                <m:rPr>
                  <m:nor/>
                  <m:sty m:val="p"/>
                </m:rPr>
                <m:t>Vol</m:t>
              </m:r>
              <m:d>
                <m:dPr>
                  <m:begChr m:val="("/>
                  <m:endChr m:val=")"/>
                  <m:sepChr m:val=""/>
                  <m:grow/>
                </m:dPr>
                <m:e>
                  <m:r>
                    <m:rPr>
                      <m:sty m:val="p"/>
                      <m:scr m:val="script"/>
                    </m:rPr>
                    <m:t>W</m:t>
                  </m:r>
                </m:e>
              </m:d>
            </m:den>
          </m:f>
        </m:oMath>
      </m:oMathPara>
    </w:p>
    <w:p>
      <w:pPr>
        <w:pStyle w:val="FirstParagraph"/>
      </w:pPr>
      <w:r>
        <w:t xml:space="preserve">where</w:t>
      </w:r>
      <w:r>
        <w:t xml:space="preserve"> </w:t>
      </w:r>
      <m:oMath>
        <m:sSub>
          <m:e>
            <m:r>
              <m:t>V</m:t>
            </m:r>
          </m:e>
          <m:sub>
            <m:r>
              <m:t>j</m:t>
            </m:r>
          </m:sub>
        </m:sSub>
        <m:d>
          <m:dPr>
            <m:begChr m:val="("/>
            <m:endChr m:val=")"/>
            <m:sepChr m:val=""/>
            <m:grow/>
          </m:dPr>
          <m:e>
            <m:r>
              <m:rPr>
                <m:sty m:val="b"/>
              </m:rPr>
              <m:t>w</m:t>
            </m:r>
          </m:e>
        </m:d>
        <m:r>
          <m:rPr>
            <m:sty m:val="p"/>
          </m:rPr>
          <m:t>=</m:t>
        </m:r>
        <m:nary>
          <m:naryPr>
            <m:chr m:val="∑"/>
            <m:limLoc m:val="undOvr"/>
            <m:subHide m:val="0"/>
            <m:supHide m:val="1"/>
          </m:naryPr>
          <m:sub>
            <m:r>
              <m:t>i</m:t>
            </m:r>
          </m:sub>
          <m:sup>
            <m:r>
              <m:t>​</m:t>
            </m:r>
          </m:sup>
          <m:e>
            <m:sSub>
              <m:e>
                <m:r>
                  <m:t>w</m:t>
                </m:r>
              </m:e>
              <m:sub>
                <m:r>
                  <m:t>i</m:t>
                </m:r>
              </m:sub>
            </m:sSub>
          </m:e>
        </m:nary>
        <m:sSub>
          <m:e>
            <m:r>
              <m:t>v</m:t>
            </m:r>
          </m:e>
          <m:sub>
            <m:r>
              <m:t>i</m:t>
            </m:r>
          </m:sub>
        </m:sSub>
        <m:d>
          <m:dPr>
            <m:begChr m:val="("/>
            <m:endChr m:val=")"/>
            <m:sepChr m:val=""/>
            <m:grow/>
          </m:dPr>
          <m:e>
            <m:sSub>
              <m:e>
                <m:r>
                  <m:t>x</m:t>
                </m:r>
              </m:e>
              <m:sub>
                <m:r>
                  <m:t>j</m:t>
                </m:r>
                <m:r>
                  <m:t>i</m:t>
                </m:r>
              </m:sub>
            </m:sSub>
          </m:e>
        </m:d>
      </m:oMath>
      <w:r>
        <w:t xml:space="preserve"> </w:t>
      </w:r>
      <w:r>
        <w:t xml:space="preserve">is</w:t>
      </w:r>
      <w:r>
        <w:t xml:space="preserve"> </w:t>
      </w:r>
      <m:oMath>
        <m:r>
          <m:t>j</m:t>
        </m:r>
      </m:oMath>
      <w:r>
        <w:t xml:space="preserve">’s total value under weight vector</w:t>
      </w:r>
      <w:r>
        <w:t xml:space="preserve"> </w:t>
      </w:r>
      <m:oMath>
        <m:r>
          <m:rPr>
            <m:sty m:val="b"/>
          </m:rPr>
          <m:t>w</m:t>
        </m:r>
      </m:oMath>
      <w:r>
        <w:t xml:space="preserve">. The feasible region</w:t>
      </w:r>
      <w:r>
        <w:t xml:space="preserve"> </w:t>
      </w:r>
      <m:oMath>
        <m:r>
          <m:rPr>
            <m:sty m:val="p"/>
            <m:scr m:val="script"/>
          </m:rPr>
          <m:t>W</m:t>
        </m:r>
      </m:oMath>
      <w:r>
        <w:t xml:space="preserve"> </w:t>
      </w:r>
      <w:r>
        <w:t xml:space="preserve">is a simplex (or convex polytope under PRIME constraints), and optimal sub-regions are polyhedra bounded by hyperplanes</w:t>
      </w:r>
      <w:r>
        <w:t xml:space="preserve"> </w:t>
      </w:r>
      <m:oMath>
        <m:sSub>
          <m:e>
            <m:r>
              <m:t>V</m:t>
            </m:r>
          </m:e>
          <m:sub>
            <m:r>
              <m:t>j</m:t>
            </m:r>
          </m:sub>
        </m:sSub>
        <m:d>
          <m:dPr>
            <m:begChr m:val="("/>
            <m:endChr m:val=")"/>
            <m:sepChr m:val=""/>
            <m:grow/>
          </m:dPr>
          <m:e>
            <m:r>
              <m:rPr>
                <m:sty m:val="b"/>
              </m:rPr>
              <m:t>w</m:t>
            </m:r>
          </m:e>
        </m:d>
        <m:r>
          <m:rPr>
            <m:sty m:val="p"/>
          </m:rPr>
          <m:t>=</m:t>
        </m:r>
        <m:sSub>
          <m:e>
            <m:r>
              <m:t>V</m:t>
            </m:r>
          </m:e>
          <m:sub>
            <m:r>
              <m:t>k</m:t>
            </m:r>
          </m:sub>
        </m:sSub>
        <m:d>
          <m:dPr>
            <m:begChr m:val="("/>
            <m:endChr m:val=")"/>
            <m:sepChr m:val=""/>
            <m:grow/>
          </m:dPr>
          <m:e>
            <m:r>
              <m:rPr>
                <m:sty m:val="b"/>
              </m:rPr>
              <m:t>w</m:t>
            </m:r>
          </m:e>
        </m:d>
      </m:oMath>
      <w:r>
        <w:t xml:space="preserve">. Exact volume computation is tractable up to approximately 10 attributes; Monte Carlo sampling approximates for larger spaces. Displayed as a robustness bar chart (</w:t>
      </w:r>
      <w:r>
        <w:t xml:space="preserve">“</w:t>
      </w:r>
      <w:r>
        <w:t xml:space="preserve">Alternative C: 62% of weight space</w:t>
      </w:r>
      <w:r>
        <w:t xml:space="preserve">”</w:t>
      </w:r>
      <w:r>
        <w:t xml:space="preserve">), this framing —</w:t>
      </w:r>
      <w:r>
        <w:t xml:space="preserve"> </w:t>
      </w:r>
      <w:r>
        <w:rPr>
          <w:iCs/>
          <w:i/>
        </w:rPr>
        <w:t xml:space="preserve">the data supports this recommendation with X% confidence</w:t>
      </w:r>
      <w:r>
        <w:t xml:space="preserve"> </w:t>
      </w:r>
      <w:r>
        <w:t xml:space="preserve">— builds stakeholder trust and preempts the objection that</w:t>
      </w:r>
      <w:r>
        <w:t xml:space="preserve"> </w:t>
      </w:r>
      <w:r>
        <w:t xml:space="preserve">“</w:t>
      </w:r>
      <w:r>
        <w:t xml:space="preserve">the model might be wrong.</w:t>
      </w:r>
      <w:r>
        <w:t xml:space="preserve">”</w:t>
      </w:r>
    </w:p>
    <w:bookmarkEnd w:id="83"/>
    <w:bookmarkStart w:id="84" w:name="monte-carlo-simulation"/>
    <w:p>
      <w:pPr>
        <w:pStyle w:val="Heading4"/>
      </w:pPr>
      <w:r>
        <w:t xml:space="preserve">5.3.3 Monte Carlo Simulation</w:t>
      </w:r>
    </w:p>
    <w:p>
      <w:pPr>
        <w:pStyle w:val="FirstParagraph"/>
      </w:pPr>
      <w:r>
        <w:t xml:space="preserve">When PRIME intervals or subjective uncertainty ranges are available, Monte Carlo simulation translates input uncertainty into probabilistic ranking distributions. The procedure samples weight vectors and scores from their uncertainty distributions, computes rankings, and accumulates frequency histograms. JavaScript libraries provide the technical foundation: Math.js for distributions, D3.js for histogram visualisations, TensorFlow.js for GPU-accelerated computation at scale</w:t>
      </w:r>
      <w:r>
        <w:t xml:space="preserve"> </w:t>
      </w:r>
      <w:r>
        <w:rPr>
          <w:vertAlign w:val="superscript"/>
        </w:rPr>
        <w:t xml:space="preserve">78</w:t>
      </w:r>
      <w:r>
        <w:t xml:space="preserve">. AnyLogic Cloud demonstrates the architectural pattern: Monte Carlo experiments execute on scalable infrastructure with results streamed to browser dashboards</w:t>
      </w:r>
      <w:r>
        <w:t xml:space="preserve"> </w:t>
      </w:r>
      <w:r>
        <w:rPr>
          <w:vertAlign w:val="superscript"/>
        </w:rPr>
        <w:t xml:space="preserve">81</w:t>
      </w:r>
      <w:r>
        <w:t xml:space="preserve">.</w:t>
      </w:r>
    </w:p>
    <w:p>
      <w:pPr>
        <w:pStyle w:val="BodyText"/>
      </w:pPr>
      <w:r>
        <w:t xml:space="preserve">The connection to Chapter 4’s imprecise preferences is direct. PRIME interval inputs define a feasible region</w:t>
      </w:r>
      <w:r>
        <w:t xml:space="preserve"> </w:t>
      </w:r>
      <m:oMath>
        <m:r>
          <m:rPr>
            <m:sty m:val="p"/>
            <m:scr m:val="script"/>
          </m:rPr>
          <m:t>W</m:t>
        </m:r>
      </m:oMath>
      <w:r>
        <w:t xml:space="preserve">, not a single weight vector; Monte Carlo sampling from</w:t>
      </w:r>
      <w:r>
        <w:t xml:space="preserve"> </w:t>
      </w:r>
      <m:oMath>
        <m:r>
          <m:rPr>
            <m:sty m:val="p"/>
            <m:scr m:val="script"/>
          </m:rPr>
          <m:t>W</m:t>
        </m:r>
      </m:oMath>
      <w:r>
        <w:t xml:space="preserve"> </w:t>
      </w:r>
      <w:r>
        <w:t xml:space="preserve">produces a distribution of rankings. The histogram might reveal Alternative C ranks first in 58% of samples, B in 31%, A in 11% — far more useful than a point-estimate ranking that conceals its own fragility. Indicio demonstrates enterprise appetite for this capability: its simulation engine quantifies outcome probabilities for strategic foresight</w:t>
      </w:r>
      <w:r>
        <w:t xml:space="preserve"> </w:t>
      </w:r>
      <w:r>
        <w:rPr>
          <w:vertAlign w:val="superscript"/>
        </w:rPr>
        <w:t xml:space="preserve">42</w:t>
      </w:r>
      <w:r>
        <w:t xml:space="preserve">. The drugis.org MCDA web interface provides a proven template — an R-based backend performing deterministic and stochastic analyses with SaaS authentication</w:t>
      </w:r>
      <w:r>
        <w:t xml:space="preserve"> </w:t>
      </w:r>
      <w:r>
        <w:rPr>
          <w:vertAlign w:val="superscript"/>
        </w:rPr>
        <w:t xml:space="preserve">44</w:t>
      </w:r>
      <w:r>
        <w:t xml:space="preserve">— showing that established statistical libraries can power modern browser-based decision tools. COMSAM research, which produced nearly 140 million observations per method in comprehensive sensitivity analysis</w:t>
      </w:r>
      <w:r>
        <w:t xml:space="preserve"> </w:t>
      </w:r>
      <w:r>
        <w:rPr>
          <w:vertAlign w:val="superscript"/>
        </w:rPr>
        <w:t xml:space="preserve">80</w:t>
      </w:r>
      <w:r>
        <w:t xml:space="preserve">, confirms that thorough robustness analysis is well within modern cloud capacity.</w:t>
      </w:r>
    </w:p>
    <w:p>
      <w:pPr>
        <w:pStyle w:val="BodyText"/>
      </w:pPr>
      <w:r>
        <w:t xml:space="preserve">Together, dominance detection, robustness scoring, and Monte Carlo simulation create a three-layer defence against recommendation fragility. Dominance eliminates alternatives that can never win; robustness scoring quantifies each contender’s share of the feasible weight space; Monte Carlo translates input uncertainty into output probability. These capabilities answer the question every executive asks —</w:t>
      </w:r>
      <w:r>
        <w:t xml:space="preserve"> </w:t>
      </w:r>
      <w:r>
        <w:rPr>
          <w:iCs/>
          <w:i/>
        </w:rPr>
        <w:t xml:space="preserve">“</w:t>
      </w:r>
      <w:r>
        <w:rPr>
          <w:iCs/>
          <w:i/>
        </w:rPr>
        <w:t xml:space="preserve">How sure are we?</w:t>
      </w:r>
      <w:r>
        <w:rPr>
          <w:iCs/>
          <w:i/>
        </w:rPr>
        <w:t xml:space="preserve">”</w:t>
      </w:r>
      <w:r>
        <w:t xml:space="preserve"> </w:t>
      </w:r>
      <w:r>
        <w:t xml:space="preserve">— with quantitative evidence grounded in uncertainty ranges stakeholders themselves provided.</w:t>
      </w:r>
    </w:p>
    <w:p>
      <w:r>
        <w:pict>
          <v:rect style="width:0;height:1.5pt" o:hralign="center" o:hrstd="t" o:hr="t"/>
        </w:pict>
      </w:r>
    </w:p>
    <w:bookmarkEnd w:id="84"/>
    <w:bookmarkEnd w:id="85"/>
    <w:bookmarkEnd w:id="86"/>
    <w:bookmarkStart w:id="103" w:name="behavioral-bias-detection-mitigation"/>
    <w:p>
      <w:pPr>
        <w:pStyle w:val="Heading2"/>
      </w:pPr>
      <w:r>
        <w:t xml:space="preserve">6. Behavioral Bias Detection &amp; Mitigation</w:t>
      </w:r>
    </w:p>
    <w:p>
      <w:pPr>
        <w:pStyle w:val="FirstParagraph"/>
      </w:pPr>
      <w:r>
        <w:t xml:space="preserve">The 2002 VTA instructional document devotes its entire sixth section to a phenomenon that classical decision theory largely ignored: the systematic biases that distort preference elicitation in practice. Four decades of behavioral decision research have confirmed that even experienced decision-makers produce inconsistent, context-dependent weights when asked to quantify trade-offs</w:t>
      </w:r>
      <w:r>
        <w:t xml:space="preserve"> </w:t>
      </w:r>
      <w:r>
        <w:rPr>
          <w:vertAlign w:val="superscript"/>
        </w:rPr>
        <w:t xml:space="preserve">82</w:t>
      </w:r>
      <w:r>
        <w:t xml:space="preserve">. In the original VTA workflow, these biases were identified after the fact — if at all — by a trained decision analyst reviewing elicitation results during structured interview sessions.</w:t>
      </w:r>
    </w:p>
    <w:p>
      <w:pPr>
        <w:pStyle w:val="BodyText"/>
      </w:pPr>
      <w:r>
        <w:t xml:space="preserve">Modern SaaS architecture inverts this model. Rather than relying on human vigilance to catch biases after they have already influenced the decision model, the platform embeds real-time detection algorithms that flag deviations as they occur. This shift from retrospective diagnosis to preventive intervention transforms the platform from a passive calculator into an active decision coach — what Insight 4 from the cross-dimensional analysis identifies as the capability that most directly differentiates a modern decision platform from spreadsheets, survey tools, and business intelligence dashboards</w:t>
      </w:r>
      <w:r>
        <w:t xml:space="preserve"> </w:t>
      </w:r>
      <w:r>
        <w:rPr>
          <w:vertAlign w:val="superscript"/>
        </w:rPr>
        <w:t xml:space="preserve">41</w:t>
      </w:r>
      <w:r>
        <w:t xml:space="preserve">. IBM AI Fairness 360 (AIF360) demonstrates that automated bias detection at scale is production-ready: its open-source toolkit deploys more than 70 fairness metrics and multiple mitigation algorithms across pre-processing, in-processing, and post-processing stages of decision pipelines</w:t>
      </w:r>
      <w:r>
        <w:t xml:space="preserve"> </w:t>
      </w:r>
      <w:r>
        <w:rPr>
          <w:vertAlign w:val="superscript"/>
        </w:rPr>
        <w:t xml:space="preserve">41</w:t>
      </w:r>
      <w:r>
        <w:t xml:space="preserve">. What AIF360 achieves for machine-learning model fairness, a VTA SaaS platform can achieve for human preference fairness.</w:t>
      </w:r>
    </w:p>
    <w:p>
      <w:pPr>
        <w:pStyle w:val="BodyText"/>
      </w:pPr>
      <w:r>
        <w:t xml:space="preserve">The architectural logic follows a three-layer pattern: automated detection identifies when a bias has likely occurred, consistency checking validates logical coherence against normative standards, and decision coaching sustains reflective practice over time.</w:t>
      </w:r>
    </w:p>
    <w:bookmarkStart w:id="94" w:name="automated-bias-detection"/>
    <w:p>
      <w:pPr>
        <w:pStyle w:val="Heading3"/>
      </w:pPr>
      <w:r>
        <w:t xml:space="preserve">6.1 Automated Bias Detection</w:t>
      </w:r>
    </w:p>
    <w:p>
      <w:pPr>
        <w:pStyle w:val="FirstParagraph"/>
      </w:pPr>
      <w:r>
        <w:t xml:space="preserve">The original VTA document identifies four behavioral biases as primary threats to valid preference elicitation: splitting bias, range effect, hierarchy effect, and reference point effect. Each has been replicated in controlled experiments and each produces measurable, predictable distortions in weight assignments. A SaaS platform can encode detection rules for all four.</w:t>
      </w:r>
    </w:p>
    <w:bookmarkStart w:id="87" w:name="splitting-bias-alert"/>
    <w:p>
      <w:pPr>
        <w:pStyle w:val="Heading4"/>
      </w:pPr>
      <w:r>
        <w:t xml:space="preserve">6.1.1 Splitting Bias Alert</w:t>
      </w:r>
    </w:p>
    <w:p>
      <w:pPr>
        <w:pStyle w:val="FirstParagraph"/>
      </w:pPr>
      <w:r>
        <w:t xml:space="preserve">Splitting bias is the most robustly documented of the four. In the classic experiment by Weber, Eisenfuhr, and von Winterfeldt (1988), subjects assigned swing weights to attributes simultaneously at a single level</w:t>
      </w:r>
      <w:r>
        <w:t xml:space="preserve"> </w:t>
      </w:r>
      <w:r>
        <w:rPr>
          <w:vertAlign w:val="superscript"/>
        </w:rPr>
        <w:t xml:space="preserve">82</w:t>
      </w:r>
      <w:r>
        <w:t xml:space="preserve">. When a parent objective was subsequently decomposed into sub-objectives, the sum of the sub-attribute weights systematically exceeded the weight the parent had received before decomposition. The mechanism is well understood: decision-makers anchor on familiar numerical scales (often multiples of ten) and fail to proportionally reduce weights when the attribute set expands</w:t>
      </w:r>
      <w:r>
        <w:t xml:space="preserve"> </w:t>
      </w:r>
      <w:r>
        <w:rPr>
          <w:vertAlign w:val="superscript"/>
        </w:rPr>
        <w:t xml:space="preserve">82</w:t>
      </w:r>
      <w:r>
        <w:t xml:space="preserve">. Poyhonen et al. (2001) subsequently demonstrated that the direction and magnitude of splitting bias depends on tree structure — in some configurations, decomposition can actually decrease weight</w:t>
      </w:r>
      <w:r>
        <w:t xml:space="preserve"> </w:t>
      </w:r>
      <w:r>
        <w:rPr>
          <w:vertAlign w:val="superscript"/>
        </w:rPr>
        <w:t xml:space="preserve">82</w:t>
      </w:r>
      <w:r>
        <w:t xml:space="preserve">.</w:t>
      </w:r>
    </w:p>
    <w:p>
      <w:pPr>
        <w:pStyle w:val="BodyText"/>
      </w:pPr>
      <w:r>
        <w:t xml:space="preserve">A SaaS platform operationalizes splitting detection through continuous parent-child weight reconciliation. When a user decomposes an objective into sub-objectives, the system compares the pre-split parent weight against the post-split sum of child weights. If the deviation exceeds a threshold calibrated against the Weber et al. experimental distributions, the platform surfaces an immediate alert:</w:t>
      </w:r>
      <w:r>
        <w:t xml:space="preserve"> </w:t>
      </w:r>
      <w:r>
        <w:t xml:space="preserve">“</w:t>
      </w:r>
      <w:r>
        <w:t xml:space="preserve">The combined weight of your sub-objectives (0.42) exceeds the original parent weight (0.30). This is a common pattern called splitting bias. Would you like to review your assignments?</w:t>
      </w:r>
      <w:r>
        <w:t xml:space="preserve">”</w:t>
      </w:r>
      <w:r>
        <w:t xml:space="preserve"> </w:t>
      </w:r>
      <w:r>
        <w:t xml:space="preserve">A hierarchy-flattening comparison view lets the user toggle between hierarchical and flat weighting perspectives</w:t>
      </w:r>
      <w:r>
        <w:t xml:space="preserve"> </w:t>
      </w:r>
      <w:r>
        <w:rPr>
          <w:vertAlign w:val="superscript"/>
        </w:rPr>
        <w:t xml:space="preserve">82</w:t>
      </w:r>
      <w:r>
        <w:t xml:space="preserve">.</w:t>
      </w:r>
    </w:p>
    <w:bookmarkEnd w:id="87"/>
    <w:bookmarkStart w:id="88" w:name="range-effect-detection"/>
    <w:p>
      <w:pPr>
        <w:pStyle w:val="Heading4"/>
      </w:pPr>
      <w:r>
        <w:t xml:space="preserve">6.1.2 Range Effect Detection</w:t>
      </w:r>
    </w:p>
    <w:p>
      <w:pPr>
        <w:pStyle w:val="FirstParagraph"/>
      </w:pPr>
      <w:r>
        <w:t xml:space="preserve">The range effect stems from a counter-intuitive property of human judgment: decision-makers do not sufficiently adjust their weights when underlying attribute ranges change</w:t>
      </w:r>
      <w:r>
        <w:t xml:space="preserve"> </w:t>
      </w:r>
      <w:r>
        <w:rPr>
          <w:vertAlign w:val="superscript"/>
        </w:rPr>
        <w:t xml:space="preserve">83</w:t>
      </w:r>
      <w:r>
        <w:t xml:space="preserve">. Fischer’s foundational 1995 experiments showed that direct importance weight methods were entirely range-insensitive, while swing weight and trade-off methods showed partial range sensitivity that still fell short of normative predictions</w:t>
      </w:r>
      <w:r>
        <w:t xml:space="preserve"> </w:t>
      </w:r>
      <w:r>
        <w:rPr>
          <w:vertAlign w:val="superscript"/>
        </w:rPr>
        <w:t xml:space="preserve">83</w:t>
      </w:r>
      <w:r>
        <w:t xml:space="preserve">. In practical terms, a decision-maker may assign the same weight to</w:t>
      </w:r>
      <w:r>
        <w:t xml:space="preserve"> </w:t>
      </w:r>
      <w:r>
        <w:t xml:space="preserve">“</w:t>
      </w:r>
      <w:r>
        <w:t xml:space="preserve">salary</w:t>
      </w:r>
      <w:r>
        <w:t xml:space="preserve">”</w:t>
      </w:r>
      <w:r>
        <w:t xml:space="preserve"> </w:t>
      </w:r>
      <w:r>
        <w:t xml:space="preserve">whether the range spans EUR 1,500-3,000 or EUR 2,900-3,000 — even though the latter range implies salary differences are practically irrelevant.</w:t>
      </w:r>
    </w:p>
    <w:p>
      <w:pPr>
        <w:pStyle w:val="BodyText"/>
      </w:pPr>
      <w:r>
        <w:t xml:space="preserve">The SaaS detection mechanism embeds explicit range visualization directly into the weight elicitation interface. When a user assigns a weight, the platform displays the attribute’s range relative to all other attributes and computes a range-sensitivity score — the ratio of the assigned weight to the range-normalized expected weight. Attributes with narrow ranges that receive disproportionately high weights trigger amber alerts. Marttunen et al. (2017) found that explicitly presenting impact ranges during elicitation reduces range insensitivity, making this one of the most empirically supported debiasing techniques in the MCDA literature</w:t>
      </w:r>
      <w:r>
        <w:t xml:space="preserve"> </w:t>
      </w:r>
      <w:r>
        <w:rPr>
          <w:vertAlign w:val="superscript"/>
        </w:rPr>
        <w:t xml:space="preserve">82</w:t>
      </w:r>
      <w:r>
        <w:t xml:space="preserve">.</w:t>
      </w:r>
    </w:p>
    <w:bookmarkEnd w:id="88"/>
    <w:bookmarkStart w:id="89" w:name="hierarchy-effect-monitoring"/>
    <w:p>
      <w:pPr>
        <w:pStyle w:val="Heading4"/>
      </w:pPr>
      <w:r>
        <w:t xml:space="preserve">6.1.3 Hierarchy Effect Monitoring</w:t>
      </w:r>
    </w:p>
    <w:p>
      <w:pPr>
        <w:pStyle w:val="FirstParagraph"/>
      </w:pPr>
      <w:r>
        <w:t xml:space="preserve">The hierarchy effect describes how the structural form of the objectives tree itself influences weight assignments. The 2002 VTA document cites evidence that top-down construction yields steeper trees with more layers, and that branches added higher in the tree receive disproportionately more weight</w:t>
      </w:r>
      <w:r>
        <w:t xml:space="preserve"> </w:t>
      </w:r>
      <w:r>
        <w:rPr>
          <w:vertAlign w:val="superscript"/>
        </w:rPr>
        <w:t xml:space="preserve">82</w:t>
      </w:r>
      <w:r>
        <w:t xml:space="preserve">. Bottom-up weighting produces more accurate assignments because participants develop better understanding of alternatives’ actual impact ranges when working from the attribute level upward</w:t>
      </w:r>
      <w:r>
        <w:t xml:space="preserve"> </w:t>
      </w:r>
      <w:r>
        <w:rPr>
          <w:vertAlign w:val="superscript"/>
        </w:rPr>
        <w:t xml:space="preserve">82</w:t>
      </w:r>
      <w:r>
        <w:t xml:space="preserve">.</w:t>
      </w:r>
    </w:p>
    <w:p>
      <w:pPr>
        <w:pStyle w:val="BodyText"/>
      </w:pPr>
      <w:r>
        <w:t xml:space="preserve">A SaaS platform mitigates the hierarchy effect through workflow design. The default elicitation path enforces bottom-up weighting — requiring users to assign weights at the leaf-node level before aggregating upward — while supporting top-down override on request. When top-down weighting is used, the platform runs a parent-child coherence validation comparing directly assigned upper-level weights against mathematically implied weights from below. Discrepancies above a threshold trigger a side-by-side visual comparison.</w:t>
      </w:r>
    </w:p>
    <w:bookmarkEnd w:id="89"/>
    <w:bookmarkStart w:id="93" w:name="reference-point-analysis"/>
    <w:p>
      <w:pPr>
        <w:pStyle w:val="Heading4"/>
      </w:pPr>
      <w:r>
        <w:t xml:space="preserve">6.1.4 Reference Point Analysis</w:t>
      </w:r>
    </w:p>
    <w:p>
      <w:pPr>
        <w:pStyle w:val="FirstParagraph"/>
      </w:pPr>
      <w:r>
        <w:t xml:space="preserve">The reference point effect, rooted in Tversky and Kahneman’s prospect theory, describes how the same outcome is evaluated differently depending on whether it is framed as a gain or a loss. Mellers and Yin’s (2023) analysis found that reference-point theory predicted 83% of participants’ choices, outperforming even prospect theory’s 73% accuracy rate</w:t>
      </w:r>
      <w:r>
        <w:t xml:space="preserve"> </w:t>
      </w:r>
      <w:r>
        <w:rPr>
          <w:vertAlign w:val="superscript"/>
        </w:rPr>
        <w:t xml:space="preserve">6</w:t>
      </w:r>
      <w:r>
        <w:t xml:space="preserve">. Svenningsen et al. (2021) demonstrated that framing climate policy outcomes as losses versus regained income significantly altered estimated preference structures</w:t>
      </w:r>
      <w:r>
        <w:t xml:space="preserve"> </w:t>
      </w:r>
      <w:r>
        <w:rPr>
          <w:vertAlign w:val="superscript"/>
        </w:rPr>
        <w:t xml:space="preserve">84</w:t>
      </w:r>
      <w:r>
        <w:t xml:space="preserve">.</w:t>
      </w:r>
    </w:p>
    <w:p>
      <w:pPr>
        <w:pStyle w:val="BodyText"/>
      </w:pPr>
      <w:r>
        <w:t xml:space="preserve">For VTA, a decision-maker’s weights for</w:t>
      </w:r>
      <w:r>
        <w:t xml:space="preserve"> </w:t>
      </w:r>
      <w:r>
        <w:t xml:space="preserve">“</w:t>
      </w:r>
      <w:r>
        <w:t xml:space="preserve">cost reduction</w:t>
      </w:r>
      <w:r>
        <w:t xml:space="preserve">”</w:t>
      </w:r>
      <w:r>
        <w:t xml:space="preserve"> </w:t>
      </w:r>
      <w:r>
        <w:t xml:space="preserve">and</w:t>
      </w:r>
      <w:r>
        <w:t xml:space="preserve"> </w:t>
      </w:r>
      <w:r>
        <w:t xml:space="preserve">“</w:t>
      </w:r>
      <w:r>
        <w:t xml:space="preserve">revenue increase</w:t>
      </w:r>
      <w:r>
        <w:t xml:space="preserve">”</w:t>
      </w:r>
      <w:r>
        <w:t xml:space="preserve"> </w:t>
      </w:r>
      <w:r>
        <w:t xml:space="preserve">may diverge even when describing the same financial outcome, depending on which frame the platform presents. The SaaS mitigation defaults to neutral framing that describes attributes in objective, non-valenced language (</w:t>
      </w:r>
      <w:r>
        <w:t xml:space="preserve">“</w:t>
      </w:r>
      <w:r>
        <w:t xml:space="preserve">change in operating expenditure</w:t>
      </w:r>
      <w:r>
        <w:t xml:space="preserve">”</w:t>
      </w:r>
      <w:r>
        <w:t xml:space="preserve"> </w:t>
      </w:r>
      <w:r>
        <w:t xml:space="preserve">rather than</w:t>
      </w:r>
      <w:r>
        <w:t xml:space="preserve"> </w:t>
      </w:r>
      <w:r>
        <w:t xml:space="preserve">“</w:t>
      </w:r>
      <w:r>
        <w:t xml:space="preserve">cost savings</w:t>
      </w:r>
      <w:r>
        <w:t xml:space="preserve">”</w:t>
      </w:r>
      <w:r>
        <w:t xml:space="preserve"> </w:t>
      </w:r>
      <w:r>
        <w:t xml:space="preserve">or</w:t>
      </w:r>
      <w:r>
        <w:t xml:space="preserve"> </w:t>
      </w:r>
      <w:r>
        <w:t xml:space="preserve">“</w:t>
      </w:r>
      <w:r>
        <w:t xml:space="preserve">cost increases</w:t>
      </w:r>
      <w:r>
        <w:t xml:space="preserve">”</w:t>
      </w:r>
      <w:r>
        <w:t xml:space="preserve">). A gain/loss perspective toggle allows users to view the same attribute from both frames, with the platform highlighting any weight discrepancies that arise from the switch.</w:t>
      </w:r>
    </w:p>
    <w:p>
      <w:pPr>
        <w:pStyle w:val="CaptionedFigure"/>
      </w:pPr>
      <w:r>
        <w:drawing>
          <wp:inline>
            <wp:extent cx="5334000" cy="3024651"/>
            <wp:effectExtent b="0" l="0" r="0" t="0"/>
            <wp:docPr descr="VTA Behavioral Bias Detection Architecture" title="" id="91" name="Picture"/>
            <a:graphic>
              <a:graphicData uri="http://schemas.openxmlformats.org/drawingml/2006/picture">
                <pic:pic>
                  <pic:nvPicPr>
                    <pic:cNvPr descr="/mnt/agents/output/bias_detection_architecture.png" id="92" name="Picture"/>
                    <pic:cNvPicPr>
                      <a:picLocks noChangeArrowheads="1" noChangeAspect="1"/>
                    </pic:cNvPicPr>
                  </pic:nvPicPr>
                  <pic:blipFill>
                    <a:blip r:embed="rId90"/>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VTA Behavioral Bias Detection Architecture</w:t>
      </w:r>
    </w:p>
    <w:p>
      <w:pPr>
        <w:pStyle w:val="BodyText"/>
      </w:pPr>
      <w:r>
        <w:rPr>
          <w:iCs/>
          <w:i/>
        </w:rPr>
        <w:t xml:space="preserve">Figure 6.1: The three-layer detection architecture maps each classical VTA bias through a real-time detection mechanism to an automated mitigation intervention, with the decision coaching layer providing sustained behavioral support.</w:t>
      </w:r>
    </w:p>
    <w:bookmarkEnd w:id="93"/>
    <w:bookmarkEnd w:id="94"/>
    <w:bookmarkStart w:id="98" w:name="consistency-checking"/>
    <w:p>
      <w:pPr>
        <w:pStyle w:val="Heading3"/>
      </w:pPr>
      <w:r>
        <w:t xml:space="preserve">6.2 Consistency Checking</w:t>
      </w:r>
    </w:p>
    <w:p>
      <w:pPr>
        <w:pStyle w:val="FirstParagraph"/>
      </w:pPr>
      <w:r>
        <w:t xml:space="preserve">Whereas automated bias detection targets specific psychological distortions, consistency checking addresses a more fundamental question: are the decision-maker’s preferences internally coherent according to the axioms of rational choice? The 2002 VTA document establishes comparability, transitivity, and consistency as foundational axioms</w:t>
      </w:r>
      <w:r>
        <w:t xml:space="preserve"> </w:t>
      </w:r>
      <w:r>
        <w:rPr>
          <w:vertAlign w:val="superscript"/>
        </w:rPr>
        <w:t xml:space="preserve">85</w:t>
      </w:r>
      <w:r>
        <w:t xml:space="preserve">. Violations of these axioms undermine the validity of any decision recommendation derived from the preference model.</w:t>
      </w:r>
    </w:p>
    <w:bookmarkStart w:id="95" w:name="ahp-consistency-ratio"/>
    <w:p>
      <w:pPr>
        <w:pStyle w:val="Heading4"/>
      </w:pPr>
      <w:r>
        <w:t xml:space="preserve">6.2.1 AHP Consistency Ratio</w:t>
      </w:r>
    </w:p>
    <w:p>
      <w:pPr>
        <w:pStyle w:val="FirstParagraph"/>
      </w:pPr>
      <w:r>
        <w:t xml:space="preserve">The Analytic Hierarchy Process includes a built-in consistency metric — the consistency ratio (CR) — measuring how far pairwise comparisons deviate from perfect logical coherence. In a fully consistent matrix, if attribute A is judged three times as important as B, and B twice as important as C, then A should be six times as important as C. When transitivity is violated across multiple triplets, the CR rises above the accepted threshold of 0.1 (or 0.2 for less critical decisions)</w:t>
      </w:r>
      <w:r>
        <w:t xml:space="preserve"> </w:t>
      </w:r>
      <w:r>
        <w:rPr>
          <w:vertAlign w:val="superscript"/>
        </w:rPr>
        <w:t xml:space="preserve">26</w:t>
      </w:r>
      <w:r>
        <w:t xml:space="preserve">.</w:t>
      </w:r>
    </w:p>
    <w:p>
      <w:pPr>
        <w:pStyle w:val="BodyText"/>
      </w:pPr>
      <w:r>
        <w:t xml:space="preserve">In the 2002 VTA workflow, CR calculation was a batch-mode operation: the analyst entered all comparisons, computed the CR, and returned to the decision-maker for revision. The SaaS platform computes CR in real-time after every comparison entry. Interactive tools highlight the specific pairs contributing most to inconsistency within the preference matrix and suggest minimal adjustments to bring the CR into the acceptable range</w:t>
      </w:r>
      <w:r>
        <w:t xml:space="preserve"> </w:t>
      </w:r>
      <w:r>
        <w:rPr>
          <w:vertAlign w:val="superscript"/>
        </w:rPr>
        <w:t xml:space="preserve">26</w:t>
      </w:r>
      <w:r>
        <w:t xml:space="preserve">. These guided suggestions reduce the cognitive burden of correction</w:t>
      </w:r>
      <w:r>
        <w:t xml:space="preserve"> </w:t>
      </w:r>
      <w:r>
        <w:rPr>
          <w:vertAlign w:val="superscript"/>
        </w:rPr>
        <w:t xml:space="preserve">85</w:t>
      </w:r>
      <w:r>
        <w:t xml:space="preserve">.</w:t>
      </w:r>
    </w:p>
    <w:bookmarkEnd w:id="95"/>
    <w:bookmarkStart w:id="96" w:name="transitivity-validation"/>
    <w:p>
      <w:pPr>
        <w:pStyle w:val="Heading4"/>
      </w:pPr>
      <w:r>
        <w:t xml:space="preserve">6.2.2 Transitivity Validation</w:t>
      </w:r>
    </w:p>
    <w:p>
      <w:pPr>
        <w:pStyle w:val="FirstParagraph"/>
      </w:pPr>
      <w:r>
        <w:t xml:space="preserve">Preference cycles — where A is preferred to B, B to C, and yet C to A — represent the most flagrant violation of rational choice axioms. They are surprisingly common when comparisons are elicited across sessions or when multiple stakeholders contribute to the same matrix. The UK Government’s MCDA guide notes that examining all possible pairs for redundancy and consistency is often less transparent and more time-consuming</w:t>
      </w:r>
      <w:r>
        <w:t xml:space="preserve"> </w:t>
      </w:r>
      <w:r>
        <w:rPr>
          <w:vertAlign w:val="superscript"/>
        </w:rPr>
        <w:t xml:space="preserve">78</w:t>
      </w:r>
      <w:r>
        <w:t xml:space="preserve">.</w:t>
      </w:r>
    </w:p>
    <w:p>
      <w:pPr>
        <w:pStyle w:val="BodyText"/>
      </w:pPr>
      <w:r>
        <w:t xml:space="preserve">A SaaS platform automates transitivity validation across the entire comparison graph. After each new entry, the system checks all indirect paths for cycles and flags violations with a visual trace:</w:t>
      </w:r>
      <w:r>
        <w:t xml:space="preserve"> </w:t>
      </w:r>
      <w:r>
        <w:t xml:space="preserve">“</w:t>
      </w:r>
      <w:r>
        <w:t xml:space="preserve">You rated A &gt; B and B &gt; C, but your new entry implies C &gt; A.</w:t>
      </w:r>
      <w:r>
        <w:t xml:space="preserve">”</w:t>
      </w:r>
      <w:r>
        <w:t xml:space="preserve"> </w:t>
      </w:r>
      <w:r>
        <w:t xml:space="preserve">The platform can also compute the minimum comparison set needed for a fully transitive ordering, reducing elicitation burden while maintaining consistency guarantees</w:t>
      </w:r>
      <w:r>
        <w:t xml:space="preserve"> </w:t>
      </w:r>
      <w:r>
        <w:rPr>
          <w:vertAlign w:val="superscript"/>
        </w:rPr>
        <w:t xml:space="preserve">85</w:t>
      </w:r>
      <w:r>
        <w:t xml:space="preserve">.</w:t>
      </w:r>
    </w:p>
    <w:bookmarkEnd w:id="96"/>
    <w:bookmarkStart w:id="97" w:name="weight-coherence-checking"/>
    <w:p>
      <w:pPr>
        <w:pStyle w:val="Heading4"/>
      </w:pPr>
      <w:r>
        <w:t xml:space="preserve">6.2.3 Weight Coherence Checking</w:t>
      </w:r>
    </w:p>
    <w:p>
      <w:pPr>
        <w:pStyle w:val="FirstParagraph"/>
      </w:pPr>
      <w:r>
        <w:t xml:space="preserve">Hierarchical weight roll-up provides an additional consistency check that is unique to value tree structures. In hierarchical weighting, the final attribute weight is the product of the weights at each level above it. If a user assigns 0.4 to</w:t>
      </w:r>
      <w:r>
        <w:t xml:space="preserve"> </w:t>
      </w:r>
      <w:r>
        <w:t xml:space="preserve">“</w:t>
      </w:r>
      <w:r>
        <w:t xml:space="preserve">Environmental</w:t>
      </w:r>
      <w:r>
        <w:t xml:space="preserve">”</w:t>
      </w:r>
      <w:r>
        <w:t xml:space="preserve"> </w:t>
      </w:r>
      <w:r>
        <w:t xml:space="preserve">at the top level and 0.6 to</w:t>
      </w:r>
      <w:r>
        <w:t xml:space="preserve"> </w:t>
      </w:r>
      <w:r>
        <w:t xml:space="preserve">“</w:t>
      </w:r>
      <w:r>
        <w:t xml:space="preserve">Carbon Emissions</w:t>
      </w:r>
      <w:r>
        <w:t xml:space="preserve">”</w:t>
      </w:r>
      <w:r>
        <w:t xml:space="preserve"> </w:t>
      </w:r>
      <w:r>
        <w:t xml:space="preserve">within Environmental, the implied final weight for Carbon Emissions is 0.24. Weight coherence checking validates these implied weights against any direct assessments the user may have provided at the attribute level. Discrepancies between the hierarchical derivation and direct assessment indicate either structural misunderstanding or genuine preference uncertainty — both of which the platform should surface for explicit resolution.</w:t>
      </w:r>
    </w:p>
    <w:bookmarkEnd w:id="97"/>
    <w:bookmarkEnd w:id="98"/>
    <w:bookmarkStart w:id="102" w:name="decision-coaching"/>
    <w:p>
      <w:pPr>
        <w:pStyle w:val="Heading3"/>
      </w:pPr>
      <w:r>
        <w:t xml:space="preserve">6.3 Decision Coaching</w:t>
      </w:r>
    </w:p>
    <w:p>
      <w:pPr>
        <w:pStyle w:val="FirstParagraph"/>
      </w:pPr>
      <w:r>
        <w:t xml:space="preserve">Bias detection and consistency checking operate primarily at the point of preference elicitation — they are real-time, event-driven interventions. Decision coaching extends this support across the entire decision lifecycle, building reflective capacity that improves decision quality beyond any single analysis. This is the layer that most clearly differentiates a decision platform from a decision calculator: it makes the user a better decision-maker over time.</w:t>
      </w:r>
    </w:p>
    <w:bookmarkStart w:id="99" w:name="decision-journal-prompts"/>
    <w:p>
      <w:pPr>
        <w:pStyle w:val="Heading4"/>
      </w:pPr>
      <w:r>
        <w:t xml:space="preserve">6.3.1 Decision Journal Prompts</w:t>
      </w:r>
    </w:p>
    <w:p>
      <w:pPr>
        <w:pStyle w:val="FirstParagraph"/>
      </w:pPr>
      <w:r>
        <w:t xml:space="preserve">Decision journals are structured records of the rationale, assumptions, and expectations underlying each significant decision. A 2024 study in</w:t>
      </w:r>
      <w:r>
        <w:t xml:space="preserve"> </w:t>
      </w:r>
      <w:r>
        <w:rPr>
          <w:iCs/>
          <w:i/>
        </w:rPr>
        <w:t xml:space="preserve">Behavioral Science &amp; Policy</w:t>
      </w:r>
      <w:r>
        <w:t xml:space="preserve"> </w:t>
      </w:r>
      <w:r>
        <w:t xml:space="preserve">found that managers who maintained decision journals improved their forecasting accuracy by 19% over a 90-day period</w:t>
      </w:r>
      <w:r>
        <w:t xml:space="preserve"> </w:t>
      </w:r>
      <w:r>
        <w:rPr>
          <w:vertAlign w:val="superscript"/>
        </w:rPr>
        <w:t xml:space="preserve">86</w:t>
      </w:r>
      <w:r>
        <w:t xml:space="preserve">. The mechanism is straightforward: structured rationale capture forces engagement of System 2 thinking — the deliberate, analytical mode essential for high-stakes decisions — helping decision-makers sidestep the cognitive shortcuts that produce biased judgments</w:t>
      </w:r>
      <w:r>
        <w:t xml:space="preserve"> </w:t>
      </w:r>
      <w:r>
        <w:rPr>
          <w:vertAlign w:val="superscript"/>
        </w:rPr>
        <w:t xml:space="preserve">87</w:t>
      </w:r>
      <w:r>
        <w:t xml:space="preserve">.</w:t>
      </w:r>
    </w:p>
    <w:p>
      <w:pPr>
        <w:pStyle w:val="BodyText"/>
      </w:pPr>
      <w:r>
        <w:t xml:space="preserve">A VTA SaaS platform embeds decision journal prompts at each workflow step. When constructing the objectives hierarchy, the platform prompts:</w:t>
      </w:r>
      <w:r>
        <w:t xml:space="preserve"> </w:t>
      </w:r>
      <w:r>
        <w:t xml:space="preserve">“</w:t>
      </w:r>
      <w:r>
        <w:t xml:space="preserve">Why did you include this objective? What would change if it were removed?</w:t>
      </w:r>
      <w:r>
        <w:t xml:space="preserve">”</w:t>
      </w:r>
      <w:r>
        <w:t xml:space="preserve"> </w:t>
      </w:r>
      <w:r>
        <w:t xml:space="preserve">When assigning weights, it asks:</w:t>
      </w:r>
      <w:r>
        <w:t xml:space="preserve"> </w:t>
      </w:r>
      <w:r>
        <w:t xml:space="preserve">“</w:t>
      </w:r>
      <w:r>
        <w:t xml:space="preserve">What real-world trade-off does this weight represent?</w:t>
      </w:r>
      <w:r>
        <w:t xml:space="preserve">”</w:t>
      </w:r>
      <w:r>
        <w:t xml:space="preserve"> </w:t>
      </w:r>
      <w:r>
        <w:t xml:space="preserve">These prompts are timed to the specific cognitive operations where bias research has shown interventions to be most effective</w:t>
      </w:r>
      <w:r>
        <w:t xml:space="preserve"> </w:t>
      </w:r>
      <w:r>
        <w:rPr>
          <w:vertAlign w:val="superscript"/>
        </w:rPr>
        <w:t xml:space="preserve">88</w:t>
      </w:r>
      <w:r>
        <w:t xml:space="preserve">. Captured rationales become searchable institutional memory, enabling organizations to review not just what decision was made, but why it was made.</w:t>
      </w:r>
    </w:p>
    <w:bookmarkEnd w:id="99"/>
    <w:bookmarkStart w:id="100" w:name="debiasing-nudges"/>
    <w:p>
      <w:pPr>
        <w:pStyle w:val="Heading4"/>
      </w:pPr>
      <w:r>
        <w:t xml:space="preserve">6.3.2 Debiasing Nudges</w:t>
      </w:r>
    </w:p>
    <w:p>
      <w:pPr>
        <w:pStyle w:val="FirstParagraph"/>
      </w:pPr>
      <w:r>
        <w:t xml:space="preserve">Nudge theory, as formalized by Thaler and Sunstein, defines a nudge as</w:t>
      </w:r>
      <w:r>
        <w:t xml:space="preserve"> </w:t>
      </w:r>
      <w:r>
        <w:t xml:space="preserve">“</w:t>
      </w:r>
      <w:r>
        <w:t xml:space="preserve">any aspect of choice architecture that alters people’s behavior in a predictable way without forbidding any options or significantly changing their economic incentives</w:t>
      </w:r>
      <w:r>
        <w:t xml:space="preserve">”</w:t>
      </w:r>
      <w:r>
        <w:t xml:space="preserve"> </w:t>
      </w:r>
      <w:r>
        <w:rPr>
          <w:vertAlign w:val="superscript"/>
        </w:rPr>
        <w:t xml:space="preserve">89</w:t>
      </w:r>
      <w:r>
        <w:t xml:space="preserve">. Applied to VTA, debiasing nudges are contextual micro-interventions delivered at points of known bias risk. Research on behavioral UX in SaaS identifies three broad strategies for nudge deployment: increasing information (disclosure, warnings, reminders), improving efficiency (default rules, simplification), and leveraging social norms</w:t>
      </w:r>
      <w:r>
        <w:t xml:space="preserve"> </w:t>
      </w:r>
      <w:r>
        <w:rPr>
          <w:vertAlign w:val="superscript"/>
        </w:rPr>
        <w:t xml:space="preserve">53</w:t>
      </w:r>
      <w:r>
        <w:t xml:space="preserve">.</w:t>
      </w:r>
    </w:p>
    <w:p>
      <w:pPr>
        <w:pStyle w:val="BodyText"/>
      </w:pPr>
      <w:r>
        <w:t xml:space="preserve">The key design principle is that nudges must constitute</w:t>
      </w:r>
      <w:r>
        <w:t xml:space="preserve"> </w:t>
      </w:r>
      <w:r>
        <w:t xml:space="preserve">“</w:t>
      </w:r>
      <w:r>
        <w:t xml:space="preserve">good friction</w:t>
      </w:r>
      <w:r>
        <w:t xml:space="preserve">”</w:t>
      </w:r>
      <w:r>
        <w:t xml:space="preserve"> </w:t>
      </w:r>
      <w:r>
        <w:t xml:space="preserve">— deliberate pauses that serve the decision-maker’s interests rather than</w:t>
      </w:r>
      <w:r>
        <w:t xml:space="preserve"> </w:t>
      </w:r>
      <w:r>
        <w:t xml:space="preserve">“</w:t>
      </w:r>
      <w:r>
        <w:t xml:space="preserve">sludge</w:t>
      </w:r>
      <w:r>
        <w:t xml:space="preserve">”</w:t>
      </w:r>
      <w:r>
        <w:t xml:space="preserve"> </w:t>
      </w:r>
      <w:r>
        <w:t xml:space="preserve">that makes beneficial actions needlessly difficult</w:t>
      </w:r>
      <w:r>
        <w:t xml:space="preserve"> </w:t>
      </w:r>
      <w:r>
        <w:rPr>
          <w:vertAlign w:val="superscript"/>
        </w:rPr>
        <w:t xml:space="preserve">30</w:t>
      </w:r>
      <w:r>
        <w:t xml:space="preserve">. When the platform detects that a user is about to finalize weights with an unresolved splitting bias alert, it inserts a confirmation step:</w:t>
      </w:r>
      <w:r>
        <w:t xml:space="preserve"> </w:t>
      </w:r>
      <w:r>
        <w:t xml:space="preserve">“</w:t>
      </w:r>
      <w:r>
        <w:t xml:space="preserve">Your weights show a splitting pattern that may distort your results. Proceeding anyway is an option, but reviewing first is recommended.</w:t>
      </w:r>
      <w:r>
        <w:t xml:space="preserve">”</w:t>
      </w:r>
      <w:r>
        <w:t xml:space="preserve"> </w:t>
      </w:r>
      <w:r>
        <w:t xml:space="preserve">This is not a prohibition — it is a speed bump that prompts reflection before an action that would be difficult to undo. Similarly, when the platform detects high cognitive load indicators (rapid sequential weight changes, backtracking, extended session duration), it can offer a structured break prompt or switch to a simplified elicitation mode. Research shows users are 80% more likely to abandon complex tasks when cognitive load is high, making these interventions essential for both decision quality and user retention</w:t>
      </w:r>
      <w:r>
        <w:t xml:space="preserve"> </w:t>
      </w:r>
      <w:r>
        <w:rPr>
          <w:vertAlign w:val="superscript"/>
        </w:rPr>
        <w:t xml:space="preserve">73</w:t>
      </w:r>
      <w:r>
        <w:t xml:space="preserve">.</w:t>
      </w:r>
    </w:p>
    <w:bookmarkEnd w:id="100"/>
    <w:bookmarkStart w:id="101" w:name="audit-trail"/>
    <w:p>
      <w:pPr>
        <w:pStyle w:val="Heading4"/>
      </w:pPr>
      <w:r>
        <w:t xml:space="preserve">6.3.3 Audit Trail</w:t>
      </w:r>
    </w:p>
    <w:p>
      <w:pPr>
        <w:pStyle w:val="FirstParagraph"/>
      </w:pPr>
      <w:r>
        <w:t xml:space="preserve">Complete decision traceability is the foundation of organizational learning. An AI audit trail — a detailed, immutable record of inputs, outputs, model behavior, and decision logic at every step — enables stakeholders to trace decisions back to the specific weight assignments, hierarchy structures, and preference statements from which recommendations were derived</w:t>
      </w:r>
      <w:r>
        <w:t xml:space="preserve"> </w:t>
      </w:r>
      <w:r>
        <w:rPr>
          <w:vertAlign w:val="superscript"/>
        </w:rPr>
        <w:t xml:space="preserve">46</w:t>
      </w:r>
      <w:r>
        <w:t xml:space="preserve">. For regulated industries and high-stakes organizational decisions, this traceability is not a convenience but a compliance necessity.</w:t>
      </w:r>
    </w:p>
    <w:p>
      <w:pPr>
        <w:pStyle w:val="BodyText"/>
      </w:pPr>
      <w:r>
        <w:t xml:space="preserve">The audit trail captures every preference change with a timestamp, the identity of the user making the change, the specific modification, and — critically — the rationale provided at the time of change. Over time, this record enables pattern identification: Which objectives are consistently revised upward during group sessions? Which weighting methods produce the most stable results across different decision contexts? The progressive disclosure design principle ensures that this rich metadata does not overwhelm the primary interface — concise recommendations are presented initially, with detailed audit trails available on demand</w:t>
      </w:r>
      <w:r>
        <w:t xml:space="preserve"> </w:t>
      </w:r>
      <w:r>
        <w:rPr>
          <w:vertAlign w:val="superscript"/>
        </w:rPr>
        <w:t xml:space="preserve">38</w:t>
      </w:r>
      <w:r>
        <w:t xml:space="preserve">.</w:t>
      </w:r>
    </w:p>
    <w:p>
      <w:pPr>
        <w:pStyle w:val="BodyText"/>
      </w:pPr>
      <w:r>
        <w:t xml:space="preserve">The following table summarizes the complete mapping from the four classical VTA biases to their corresponding SaaS detection and mitigation features.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VTA Bias</w:t>
            </w:r>
          </w:p>
        </w:tc>
        <w:tc>
          <w:tcPr/>
          <w:p>
            <w:pPr>
              <w:pStyle w:val="Compact"/>
              <w:jc w:val="left"/>
            </w:pPr>
            <w:r>
              <w:t xml:space="preserve">Empirical Source</w:t>
            </w:r>
          </w:p>
        </w:tc>
        <w:tc>
          <w:tcPr/>
          <w:p>
            <w:pPr>
              <w:pStyle w:val="Compact"/>
              <w:jc w:val="left"/>
            </w:pPr>
            <w:r>
              <w:t xml:space="preserve">Detection Mechanism</w:t>
            </w:r>
          </w:p>
        </w:tc>
        <w:tc>
          <w:tcPr/>
          <w:p>
            <w:pPr>
              <w:pStyle w:val="Compact"/>
              <w:jc w:val="left"/>
            </w:pPr>
            <w:r>
              <w:t xml:space="preserve">Mitigation Feature</w:t>
            </w:r>
          </w:p>
        </w:tc>
        <w:tc>
          <w:tcPr/>
          <w:p>
            <w:pPr>
              <w:pStyle w:val="Compact"/>
              <w:jc w:val="left"/>
            </w:pPr>
            <w:r>
              <w:t xml:space="preserve">Coaching Layer</w:t>
            </w:r>
          </w:p>
        </w:tc>
      </w:tr>
      <w:tr>
        <w:tc>
          <w:tcPr/>
          <w:p>
            <w:pPr>
              <w:pStyle w:val="Compact"/>
              <w:jc w:val="left"/>
            </w:pPr>
            <w:r>
              <w:t xml:space="preserve">Splitting bias</w:t>
            </w:r>
          </w:p>
        </w:tc>
        <w:tc>
          <w:tcPr/>
          <w:p>
            <w:pPr>
              <w:pStyle w:val="Compact"/>
              <w:jc w:val="left"/>
            </w:pPr>
            <w:r>
              <w:t xml:space="preserve">Weber et al. (1988); Poyhonen et al. (2001)</w:t>
            </w:r>
            <w:r>
              <w:t xml:space="preserve"> </w:t>
            </w:r>
            <w:r>
              <w:rPr>
                <w:vertAlign w:val="superscript"/>
              </w:rPr>
              <w:t xml:space="preserve">82</w:t>
            </w:r>
          </w:p>
        </w:tc>
        <w:tc>
          <w:tcPr/>
          <w:p>
            <w:pPr>
              <w:pStyle w:val="Compact"/>
              <w:jc w:val="left"/>
            </w:pPr>
            <w:r>
              <w:t xml:space="preserve">Pre/post-split parent-child weight sum comparison</w:t>
            </w:r>
          </w:p>
        </w:tc>
        <w:tc>
          <w:tcPr/>
          <w:p>
            <w:pPr>
              <w:pStyle w:val="Compact"/>
              <w:jc w:val="left"/>
            </w:pPr>
            <w:r>
              <w:t xml:space="preserve">Hierarchy-flattening toggle; guided weight renormalization</w:t>
            </w:r>
          </w:p>
        </w:tc>
        <w:tc>
          <w:tcPr/>
          <w:p>
            <w:pPr>
              <w:pStyle w:val="Compact"/>
              <w:jc w:val="left"/>
            </w:pPr>
            <w:r>
              <w:t xml:space="preserve">Journal prompt:</w:t>
            </w:r>
            <w:r>
              <w:t xml:space="preserve"> </w:t>
            </w:r>
            <w:r>
              <w:t xml:space="preserve">“</w:t>
            </w:r>
            <w:r>
              <w:t xml:space="preserve">Why did decomposition change this objective’s importance?</w:t>
            </w:r>
            <w:r>
              <w:t xml:space="preserve">”</w:t>
            </w:r>
          </w:p>
        </w:tc>
      </w:tr>
      <w:tr>
        <w:tc>
          <w:tcPr/>
          <w:p>
            <w:pPr>
              <w:pStyle w:val="Compact"/>
              <w:jc w:val="left"/>
            </w:pPr>
            <w:r>
              <w:t xml:space="preserve">Range effect</w:t>
            </w:r>
          </w:p>
        </w:tc>
        <w:tc>
          <w:tcPr/>
          <w:p>
            <w:pPr>
              <w:pStyle w:val="Compact"/>
              <w:jc w:val="left"/>
            </w:pPr>
            <w:r>
              <w:t xml:space="preserve">Fischer (1995); Marttunen et al. (2017)</w:t>
            </w:r>
            <w:r>
              <w:t xml:space="preserve"> </w:t>
            </w:r>
            <w:r>
              <w:rPr>
                <w:vertAlign w:val="superscript"/>
              </w:rPr>
              <w:t xml:space="preserve">83</w:t>
            </w:r>
            <w:r>
              <w:t xml:space="preserve"> </w:t>
            </w:r>
            <w:r>
              <w:rPr>
                <w:vertAlign w:val="superscript"/>
              </w:rPr>
              <w:t xml:space="preserve">82</w:t>
            </w:r>
          </w:p>
        </w:tc>
        <w:tc>
          <w:tcPr/>
          <w:p>
            <w:pPr>
              <w:pStyle w:val="Compact"/>
              <w:jc w:val="left"/>
            </w:pPr>
            <w:r>
              <w:t xml:space="preserve">Range-sensitivity score: ratio of assigned weight to range-normalized expected weight</w:t>
            </w:r>
          </w:p>
        </w:tc>
        <w:tc>
          <w:tcPr/>
          <w:p>
            <w:pPr>
              <w:pStyle w:val="Compact"/>
              <w:jc w:val="left"/>
            </w:pPr>
            <w:r>
              <w:t xml:space="preserve">Explicit range visualization; swing weight method enforcement</w:t>
            </w:r>
          </w:p>
        </w:tc>
        <w:tc>
          <w:tcPr/>
          <w:p>
            <w:pPr>
              <w:pStyle w:val="Compact"/>
              <w:jc w:val="left"/>
            </w:pPr>
            <w:r>
              <w:t xml:space="preserve">Nudge:</w:t>
            </w:r>
            <w:r>
              <w:t xml:space="preserve"> </w:t>
            </w:r>
            <w:r>
              <w:t xml:space="preserve">“</w:t>
            </w:r>
            <w:r>
              <w:t xml:space="preserve">Your weight for salary doesn’t reflect its narrow range. Review?</w:t>
            </w:r>
            <w:r>
              <w:t xml:space="preserve">”</w:t>
            </w:r>
          </w:p>
        </w:tc>
      </w:tr>
      <w:tr>
        <w:tc>
          <w:tcPr/>
          <w:p>
            <w:pPr>
              <w:pStyle w:val="Compact"/>
              <w:jc w:val="left"/>
            </w:pPr>
            <w:r>
              <w:t xml:space="preserve">Hierarchy effect</w:t>
            </w:r>
          </w:p>
        </w:tc>
        <w:tc>
          <w:tcPr/>
          <w:p>
            <w:pPr>
              <w:pStyle w:val="Compact"/>
              <w:jc w:val="left"/>
            </w:pPr>
            <w:r>
              <w:t xml:space="preserve">Adelman et al. (1986); Stillwell et al. (1987)</w:t>
            </w:r>
            <w:r>
              <w:t xml:space="preserve"> </w:t>
            </w:r>
            <w:r>
              <w:rPr>
                <w:vertAlign w:val="superscript"/>
              </w:rPr>
              <w:t xml:space="preserve">82</w:t>
            </w:r>
          </w:p>
        </w:tc>
        <w:tc>
          <w:tcPr/>
          <w:p>
            <w:pPr>
              <w:pStyle w:val="Compact"/>
              <w:jc w:val="left"/>
            </w:pPr>
            <w:r>
              <w:t xml:space="preserve">Top-down vs. bottom-up weight divergence metric</w:t>
            </w:r>
          </w:p>
        </w:tc>
        <w:tc>
          <w:tcPr/>
          <w:p>
            <w:pPr>
              <w:pStyle w:val="Compact"/>
              <w:jc w:val="left"/>
            </w:pPr>
            <w:r>
              <w:t xml:space="preserve">Default bottom-up workflow; side-by-side hierarchy comparison</w:t>
            </w:r>
          </w:p>
        </w:tc>
        <w:tc>
          <w:tcPr/>
          <w:p>
            <w:pPr>
              <w:pStyle w:val="Compact"/>
              <w:jc w:val="left"/>
            </w:pPr>
            <w:r>
              <w:t xml:space="preserve">Journal prompt:</w:t>
            </w:r>
            <w:r>
              <w:t xml:space="preserve"> </w:t>
            </w:r>
            <w:r>
              <w:t xml:space="preserve">“</w:t>
            </w:r>
            <w:r>
              <w:t xml:space="preserve">Did tree structure influence your weight assignment?</w:t>
            </w:r>
            <w:r>
              <w:t xml:space="preserve">”</w:t>
            </w:r>
          </w:p>
        </w:tc>
      </w:tr>
      <w:tr>
        <w:tc>
          <w:tcPr/>
          <w:p>
            <w:pPr>
              <w:pStyle w:val="Compact"/>
              <w:jc w:val="left"/>
            </w:pPr>
            <w:r>
              <w:t xml:space="preserve">Reference point effect</w:t>
            </w:r>
          </w:p>
        </w:tc>
        <w:tc>
          <w:tcPr/>
          <w:p>
            <w:pPr>
              <w:pStyle w:val="Compact"/>
              <w:jc w:val="left"/>
            </w:pPr>
            <w:r>
              <w:t xml:space="preserve">Tversky &amp; Kahneman (1991); Mellers &amp; Yin (2023)</w:t>
            </w:r>
            <w:r>
              <w:t xml:space="preserve"> </w:t>
            </w:r>
            <w:r>
              <w:rPr>
                <w:vertAlign w:val="superscript"/>
              </w:rPr>
              <w:t xml:space="preserve">6</w:t>
            </w:r>
          </w:p>
        </w:tc>
        <w:tc>
          <w:tcPr/>
          <w:p>
            <w:pPr>
              <w:pStyle w:val="Compact"/>
              <w:jc w:val="left"/>
            </w:pPr>
            <w:r>
              <w:t xml:space="preserve">Gain/loss frame weight discrepancy detection</w:t>
            </w:r>
          </w:p>
        </w:tc>
        <w:tc>
          <w:tcPr/>
          <w:p>
            <w:pPr>
              <w:pStyle w:val="Compact"/>
              <w:jc w:val="left"/>
            </w:pPr>
            <w:r>
              <w:t xml:space="preserve">Neutral framing default; dual-perspective toggle</w:t>
            </w:r>
          </w:p>
        </w:tc>
        <w:tc>
          <w:tcPr/>
          <w:p>
            <w:pPr>
              <w:pStyle w:val="Compact"/>
              <w:jc w:val="left"/>
            </w:pPr>
            <w:r>
              <w:t xml:space="preserve">Nudge:</w:t>
            </w:r>
            <w:r>
              <w:t xml:space="preserve"> </w:t>
            </w:r>
            <w:r>
              <w:t xml:space="preserve">“</w:t>
            </w:r>
            <w:r>
              <w:t xml:space="preserve">Switching frames changed your weight by 23%. Review the difference?</w:t>
            </w:r>
            <w:r>
              <w:t xml:space="preserve">”</w:t>
            </w:r>
          </w:p>
        </w:tc>
      </w:tr>
      <w:tr>
        <w:tc>
          <w:tcPr/>
          <w:p>
            <w:pPr>
              <w:pStyle w:val="Compact"/>
              <w:jc w:val="left"/>
            </w:pPr>
            <w:r>
              <w:t xml:space="preserve">AHP inconsistency</w:t>
            </w:r>
          </w:p>
        </w:tc>
        <w:tc>
          <w:tcPr/>
          <w:p>
            <w:pPr>
              <w:pStyle w:val="Compact"/>
              <w:jc w:val="left"/>
            </w:pPr>
            <w:r>
              <w:t xml:space="preserve">Saaty (1986)</w:t>
            </w:r>
            <w:r>
              <w:t xml:space="preserve"> </w:t>
            </w:r>
            <w:r>
              <w:rPr>
                <w:vertAlign w:val="superscript"/>
              </w:rPr>
              <w:t xml:space="preserve">26</w:t>
            </w:r>
          </w:p>
        </w:tc>
        <w:tc>
          <w:tcPr/>
          <w:p>
            <w:pPr>
              <w:pStyle w:val="Compact"/>
              <w:jc w:val="left"/>
            </w:pPr>
            <w:r>
              <w:t xml:space="preserve">Real-time CR calculation after each comparison entry</w:t>
            </w:r>
          </w:p>
        </w:tc>
        <w:tc>
          <w:tcPr/>
          <w:p>
            <w:pPr>
              <w:pStyle w:val="Compact"/>
              <w:jc w:val="left"/>
            </w:pPr>
            <w:r>
              <w:t xml:space="preserve">Visual matrix highlighting; minimal-adjustment suggestions</w:t>
            </w:r>
          </w:p>
        </w:tc>
        <w:tc>
          <w:tcPr/>
          <w:p>
            <w:pPr>
              <w:pStyle w:val="Compact"/>
              <w:jc w:val="left"/>
            </w:pPr>
            <w:r>
              <w:t xml:space="preserve">Journal prompt:</w:t>
            </w:r>
            <w:r>
              <w:t xml:space="preserve"> </w:t>
            </w:r>
            <w:r>
              <w:t xml:space="preserve">“</w:t>
            </w:r>
            <w:r>
              <w:t xml:space="preserve">Which comparison felt most uncertain?</w:t>
            </w:r>
            <w:r>
              <w:t xml:space="preserve">”</w:t>
            </w:r>
          </w:p>
        </w:tc>
      </w:tr>
      <w:tr>
        <w:tc>
          <w:tcPr/>
          <w:p>
            <w:pPr>
              <w:pStyle w:val="Compact"/>
              <w:jc w:val="left"/>
            </w:pPr>
            <w:r>
              <w:t xml:space="preserve">Transitivity violation</w:t>
            </w:r>
          </w:p>
        </w:tc>
        <w:tc>
          <w:tcPr/>
          <w:p>
            <w:pPr>
              <w:pStyle w:val="Compact"/>
              <w:jc w:val="left"/>
            </w:pPr>
            <w:r>
              <w:t xml:space="preserve">French (1988)</w:t>
            </w:r>
            <w:r>
              <w:t xml:space="preserve"> </w:t>
            </w:r>
            <w:r>
              <w:rPr>
                <w:vertAlign w:val="superscript"/>
              </w:rPr>
              <w:t xml:space="preserve">85</w:t>
            </w:r>
          </w:p>
        </w:tc>
        <w:tc>
          <w:tcPr/>
          <w:p>
            <w:pPr>
              <w:pStyle w:val="Compact"/>
              <w:jc w:val="left"/>
            </w:pPr>
            <w:r>
              <w:t xml:space="preserve">Graph-cycle detection across pairwise comparison matrix</w:t>
            </w:r>
          </w:p>
        </w:tc>
        <w:tc>
          <w:tcPr/>
          <w:p>
            <w:pPr>
              <w:pStyle w:val="Compact"/>
              <w:jc w:val="left"/>
            </w:pPr>
            <w:r>
              <w:t xml:space="preserve">Cycle path visualization; comparison revision workflow</w:t>
            </w:r>
          </w:p>
        </w:tc>
        <w:tc>
          <w:tcPr/>
          <w:p>
            <w:pPr>
              <w:pStyle w:val="Compact"/>
              <w:jc w:val="left"/>
            </w:pPr>
            <w:r>
              <w:t xml:space="preserve">Nudge:</w:t>
            </w:r>
            <w:r>
              <w:t xml:space="preserve"> </w:t>
            </w:r>
            <w:r>
              <w:t xml:space="preserve">“</w:t>
            </w:r>
            <w:r>
              <w:t xml:space="preserve">Your preferences contain a logical cycle. Would you like to resolve it?</w:t>
            </w:r>
            <w:r>
              <w:t xml:space="preserve">”</w:t>
            </w:r>
          </w:p>
        </w:tc>
      </w:tr>
    </w:tbl>
    <w:p>
      <w:pPr>
        <w:pStyle w:val="BodyText"/>
      </w:pPr>
      <w:r>
        <w:rPr>
          <w:iCs/>
          <w:i/>
        </w:rPr>
        <w:t xml:space="preserve">Table 6.1: Complete mapping from classical VTA behavioral biases to SaaS detection mechanisms, mitigation features, and decision coaching interventions. Each row connects empirical research findings to specific platform capabilities.</w:t>
      </w:r>
    </w:p>
    <w:p>
      <w:pPr>
        <w:pStyle w:val="BodyText"/>
      </w:pPr>
      <w:r>
        <w:t xml:space="preserve">The architecture in this table represents a qualitative departure from how decision support has historically been delivered. The 2002 VTA document assumed that a trained decision analyst would serve as the bias-detection layer — reviewing results, probing inconsistencies, and coaching the decision-maker through structured interviews. That model, while methodologically sound, restricted VTA to organizations that could afford analyst expertise. By encoding the analyst’s diagnostic and coaching functions into software, a SaaS platform democratizes access to decision quality assurance. It becomes the first decision platform that makes its users better decision-makers — not by replacing human judgment, but by systematically illuminating the cognitive patterns that distort it</w:t>
      </w:r>
      <w:r>
        <w:t xml:space="preserve"> </w:t>
      </w:r>
      <w:r>
        <w:rPr>
          <w:vertAlign w:val="superscript"/>
        </w:rPr>
        <w:t xml:space="preserve">43</w:t>
      </w:r>
      <w:r>
        <w:t xml:space="preserve">. Evidence that human-AI collaborative teams outperform both purely human teams and AI-only systems supports this model: decision-makers can effectively discriminate between reliable and unreliable automated recommendations when those recommendations are transparently explained</w:t>
      </w:r>
      <w:r>
        <w:t xml:space="preserve"> </w:t>
      </w:r>
      <w:r>
        <w:rPr>
          <w:vertAlign w:val="superscript"/>
        </w:rPr>
        <w:t xml:space="preserve">43</w:t>
      </w:r>
      <w:r>
        <w:t xml:space="preserve">. Automated alerts serve as inputs to human reflection, not substitutes for it — the decision-maker retains final authority over every weight assignment, now equipped with richer information about the biases influencing their judgment.</w:t>
      </w:r>
    </w:p>
    <w:p>
      <w:pPr>
        <w:pStyle w:val="BodyText"/>
      </w:pPr>
      <w:r>
        <w:t xml:space="preserve">The implications for enterprise adoption are significant. Organizations in regulated environments face increasing scrutiny of the rationale underlying algorithmic and human-assisted decisions alike</w:t>
      </w:r>
      <w:r>
        <w:t xml:space="preserve"> </w:t>
      </w:r>
      <w:r>
        <w:rPr>
          <w:vertAlign w:val="superscript"/>
        </w:rPr>
        <w:t xml:space="preserve">46</w:t>
      </w:r>
      <w:r>
        <w:t xml:space="preserve">. A VTA platform with built-in bias detection, consistency validation, and immutable audit trails provides not just better decisions, but defensible decisions — ones that can be reconstructed, explained, and justified to auditors, regulators, and stakeholders who were not present when the original choices were made. This compliance advantage compounds the direct quality improvement from bias mitigation, positioning the platform as decision infrastructure rather than merely a decision tool.</w:t>
      </w:r>
    </w:p>
    <w:p>
      <w:r>
        <w:pict>
          <v:rect style="width:0;height:1.5pt" o:hralign="center" o:hrstd="t" o:hr="t"/>
        </w:pict>
      </w:r>
    </w:p>
    <w:bookmarkEnd w:id="101"/>
    <w:bookmarkEnd w:id="102"/>
    <w:bookmarkEnd w:id="103"/>
    <w:bookmarkStart w:id="110" w:name="collaborative-decision-making-at-scale"/>
    <w:p>
      <w:pPr>
        <w:pStyle w:val="Heading2"/>
      </w:pPr>
      <w:r>
        <w:t xml:space="preserve">7. Collaborative Decision-Making at Scale</w:t>
      </w:r>
    </w:p>
    <w:p>
      <w:pPr>
        <w:pStyle w:val="FirstParagraph"/>
      </w:pPr>
      <w:r>
        <w:t xml:space="preserve">The original 2002 VTA learning package devotes a single brief section—Section 8, spanning fewer than three pages—to group decision-making. Its prescription is mathematically elegant but operationally stark: aggregate individual preference models through either a weighted arithmetic mean of individual value functions or imprecise preference statements that capture conflicting views as overlapping intervals. Both approaches assume a trained decision analyst is present in the room, that all stakeholders can convene simultaneously, and that disagreement is an anomaly to be averaged away or bracketed into intervals rather than explored as signal. The modern enterprise reality could hardly be more different. Decisions are rarely made by a single decision-maker (DM) in a closed conference room; they emerge from distributed networks of executives, analysts, domain experts, and external advisors operating across time zones, organizational boundaries, and competing incentive structures. The management decision software market, valued at $6.70 billion in 2025 and projected to reach $17–23 billion by 2030 at a compound annual growth rate (CAGR) of 15–21%, reflects this structural shift toward multi-stakeholder, digitally mediated decision processes</w:t>
      </w:r>
      <w:r>
        <w:t xml:space="preserve"> </w:t>
      </w:r>
      <w:r>
        <w:rPr>
          <w:vertAlign w:val="superscript"/>
        </w:rPr>
        <w:t xml:space="preserve">90</w:t>
      </w:r>
      <w:r>
        <w:t xml:space="preserve"> </w:t>
      </w:r>
      <w:r>
        <w:rPr>
          <w:vertAlign w:val="superscript"/>
        </w:rPr>
        <w:t xml:space="preserve">91</w:t>
      </w:r>
      <w:r>
        <w:t xml:space="preserve"> </w:t>
      </w:r>
      <w:r>
        <w:rPr>
          <w:vertAlign w:val="superscript"/>
        </w:rPr>
        <w:t xml:space="preserve">92</w:t>
      </w:r>
      <w:r>
        <w:t xml:space="preserve">. Gartner’s classification of Decision Intelligence as</w:t>
      </w:r>
      <w:r>
        <w:t xml:space="preserve"> </w:t>
      </w:r>
      <w:r>
        <w:t xml:space="preserve">“</w:t>
      </w:r>
      <w:r>
        <w:t xml:space="preserve">transformational</w:t>
      </w:r>
      <w:r>
        <w:t xml:space="preserve">”</w:t>
      </w:r>
      <w:r>
        <w:t xml:space="preserve"> </w:t>
      </w:r>
      <w:r>
        <w:t xml:space="preserve">in its 2025 AI Hype Cycle, alongside the publication of its inaugural Magic Quadrant for Decision Intelligence Platforms in January 2026, further validates that enterprise decision-making is undergoing a platform-level transformation</w:t>
      </w:r>
      <w:r>
        <w:t xml:space="preserve"> </w:t>
      </w:r>
      <w:r>
        <w:rPr>
          <w:vertAlign w:val="superscript"/>
        </w:rPr>
        <w:t xml:space="preserve">93</w:t>
      </w:r>
      <w:r>
        <w:t xml:space="preserve"> </w:t>
      </w:r>
      <w:r>
        <w:rPr>
          <w:vertAlign w:val="superscript"/>
        </w:rPr>
        <w:t xml:space="preserve">94</w:t>
      </w:r>
      <w:r>
        <w:t xml:space="preserve">.</w:t>
      </w:r>
    </w:p>
    <w:p>
      <w:pPr>
        <w:pStyle w:val="CaptionedFigure"/>
      </w:pPr>
      <w:r>
        <w:drawing>
          <wp:inline>
            <wp:extent cx="5334000" cy="2900999"/>
            <wp:effectExtent b="0" l="0" r="0" t="0"/>
            <wp:docPr descr="Management Decision Market Size Projection" title="" id="105" name="Picture"/>
            <a:graphic>
              <a:graphicData uri="http://schemas.openxmlformats.org/drawingml/2006/picture">
                <pic:pic>
                  <pic:nvPicPr>
                    <pic:cNvPr descr="/mnt/agents/output/fig_ch7_market_projection.png" id="106" name="Picture"/>
                    <pic:cNvPicPr>
                      <a:picLocks noChangeArrowheads="1" noChangeAspect="1"/>
                    </pic:cNvPicPr>
                  </pic:nvPicPr>
                  <pic:blipFill>
                    <a:blip r:embed="rId104"/>
                    <a:stretch>
                      <a:fillRect/>
                    </a:stretch>
                  </pic:blipFill>
                  <pic:spPr bwMode="auto">
                    <a:xfrm>
                      <a:off x="0" y="0"/>
                      <a:ext cx="5334000" cy="2900999"/>
                    </a:xfrm>
                    <a:prstGeom prst="rect">
                      <a:avLst/>
                    </a:prstGeom>
                    <a:noFill/>
                    <a:ln w="9525">
                      <a:noFill/>
                      <a:headEnd/>
                      <a:tailEnd/>
                    </a:ln>
                  </pic:spPr>
                </pic:pic>
              </a:graphicData>
            </a:graphic>
          </wp:inline>
        </w:drawing>
      </w:r>
    </w:p>
    <w:p>
      <w:pPr>
        <w:pStyle w:val="ImageCaption"/>
      </w:pPr>
      <w:r>
        <w:t xml:space="preserve">Management Decision Market Size Projection</w:t>
      </w:r>
    </w:p>
    <w:p>
      <w:pPr>
        <w:pStyle w:val="BodyText"/>
      </w:pPr>
      <w:r>
        <w:rPr>
          <w:iCs/>
          <w:i/>
        </w:rPr>
        <w:t xml:space="preserve">Figure 7.1 — Management Decision Market Size Projection (2024–2030). Data sourced from Mordor Intelligence, market.us, and SkyQuest</w:t>
      </w:r>
      <w:r>
        <w:rPr>
          <w:iCs/>
          <w:i/>
        </w:rPr>
        <w:t xml:space="preserve"> </w:t>
      </w:r>
      <w:r>
        <w:rPr>
          <w:vertAlign w:val="superscript"/>
          <w:iCs/>
          <w:i/>
        </w:rPr>
        <w:t xml:space="preserve">90</w:t>
      </w:r>
      <w:r>
        <w:rPr>
          <w:iCs/>
          <w:i/>
        </w:rPr>
        <w:t xml:space="preserve"> </w:t>
      </w:r>
      <w:r>
        <w:rPr>
          <w:vertAlign w:val="superscript"/>
          <w:iCs/>
          <w:i/>
        </w:rPr>
        <w:t xml:space="preserve">91</w:t>
      </w:r>
      <w:r>
        <w:rPr>
          <w:iCs/>
          <w:i/>
        </w:rPr>
        <w:t xml:space="preserve"> </w:t>
      </w:r>
      <w:r>
        <w:rPr>
          <w:vertAlign w:val="superscript"/>
          <w:iCs/>
          <w:i/>
        </w:rPr>
        <w:t xml:space="preserve">92</w:t>
      </w:r>
      <w:r>
        <w:rPr>
          <w:iCs/>
          <w:i/>
        </w:rPr>
        <w:t xml:space="preserve">. The shaded band reflects the range of analyst estimates; the solid line represents midpoint projections.</w:t>
      </w:r>
    </w:p>
    <w:p>
      <w:pPr>
        <w:pStyle w:val="BodyText"/>
      </w:pPr>
      <w:r>
        <w:t xml:space="preserve">Despite 88% of enterprises now regularly using AI-powered solutions in at least one business function, only 38% have established a fully data-driven culture</w:t>
      </w:r>
      <w:r>
        <w:t xml:space="preserve"> </w:t>
      </w:r>
      <w:r>
        <w:rPr>
          <w:vertAlign w:val="superscript"/>
        </w:rPr>
        <w:t xml:space="preserve">91</w:t>
      </w:r>
      <w:r>
        <w:t xml:space="preserve">. This gap—between analytical capability and collaborative decision discipline—is precisely where modern VTA SaaS platforms must intervene. The sections that follow map the 2002 document’s two group aggregation approaches onto a digital-native collaboration architecture capable of operating at enterprise scale across geographically dispersed, functionally heterogeneous stakeholder groups.</w:t>
      </w:r>
    </w:p>
    <w:bookmarkStart w:id="107" w:name="multi-stakeholder-workflow-orchestration"/>
    <w:p>
      <w:pPr>
        <w:pStyle w:val="Heading3"/>
      </w:pPr>
      <w:r>
        <w:t xml:space="preserve">7.1 Multi-Stakeholder Workflow Orchestration</w:t>
      </w:r>
    </w:p>
    <w:p>
      <w:pPr>
        <w:pStyle w:val="FirstParagraph"/>
      </w:pPr>
      <w:r>
        <w:t xml:space="preserve">The 2002 document assumes that</w:t>
      </w:r>
      <w:r>
        <w:t xml:space="preserve"> </w:t>
      </w:r>
      <w:r>
        <w:t xml:space="preserve">“</w:t>
      </w:r>
      <w:r>
        <w:t xml:space="preserve">the roles of the DM, analyst and stakeholder may overlap</w:t>
      </w:r>
      <w:r>
        <w:t xml:space="preserve">”</w:t>
      </w:r>
      <w:r>
        <w:t xml:space="preserve"> </w:t>
      </w:r>
      <w:r>
        <w:t xml:space="preserve">and that</w:t>
      </w:r>
      <w:r>
        <w:t xml:space="preserve"> </w:t>
      </w:r>
      <w:r>
        <w:t xml:space="preserve">“</w:t>
      </w:r>
      <w:r>
        <w:t xml:space="preserve">the analyst can be a separate person, or the DM can act as an analyst herself</w:t>
      </w:r>
      <w:r>
        <w:t xml:space="preserve">”</w:t>
      </w:r>
      <w:r>
        <w:t xml:space="preserve">—a fluid but small-group model that collapses under the weight of modern enterprise complexity. Contemporary strategic decisions routinely involve fifteen to thirty participants spanning finance, operations, legal, product, and external advisory roles. Orchestrating such groups requires explicit permission architectures, asynchronous workflow support, and configurable privacy controls that the 2002 framework never contemplated.</w:t>
      </w:r>
    </w:p>
    <w:p>
      <w:pPr>
        <w:pStyle w:val="BodyText"/>
      </w:pPr>
      <w:r>
        <w:rPr>
          <w:bCs/>
          <w:b/>
        </w:rPr>
        <w:t xml:space="preserve">Role-based access control (RBAC)</w:t>
      </w:r>
      <w:r>
        <w:t xml:space="preserve"> </w:t>
      </w:r>
      <w:r>
        <w:t xml:space="preserve">provides the foundational governance layer. IBM’s implementation guidance describes hierarchical RBAC with role inheritance and constrained RBAC for separation-of-duties compliance—patterns essential for decision platforms where analysts construct models, subject matter experts contribute domain-specific weights, approvers hold sign-off authority, and observers monitor for audit purposes</w:t>
      </w:r>
      <w:r>
        <w:t xml:space="preserve"> </w:t>
      </w:r>
      <w:r>
        <w:rPr>
          <w:vertAlign w:val="superscript"/>
        </w:rPr>
        <w:t xml:space="preserve">95</w:t>
      </w:r>
      <w:r>
        <w:t xml:space="preserve">. Loomio, a worker-owned collaborative decision-making platform with fifteen-plus years of operational experience, demonstrates the practical expression of this model through nested subgroups, open/closed/secret privacy settings, granular member permissions, and delegated voter roles that enable representative governance structures</w:t>
      </w:r>
      <w:r>
        <w:t xml:space="preserve"> </w:t>
      </w:r>
      <w:r>
        <w:rPr>
          <w:vertAlign w:val="superscript"/>
        </w:rPr>
        <w:t xml:space="preserve">14</w:t>
      </w:r>
      <w:r>
        <w:t xml:space="preserve">. For a VTA SaaS deployment, these primitives translate into a four-tier permission model:</w:t>
      </w:r>
      <w:r>
        <w:t xml:space="preserve"> </w:t>
      </w:r>
      <w:r>
        <w:rPr>
          <w:iCs/>
          <w:i/>
        </w:rPr>
        <w:t xml:space="preserve">Decision Owner</w:t>
      </w:r>
      <w:r>
        <w:t xml:space="preserve"> </w:t>
      </w:r>
      <w:r>
        <w:t xml:space="preserve">(full model control, participant management, results authorization),</w:t>
      </w:r>
      <w:r>
        <w:t xml:space="preserve"> </w:t>
      </w:r>
      <w:r>
        <w:rPr>
          <w:iCs/>
          <w:i/>
        </w:rPr>
        <w:t xml:space="preserve">Analyst</w:t>
      </w:r>
      <w:r>
        <w:t xml:space="preserve"> </w:t>
      </w:r>
      <w:r>
        <w:t xml:space="preserve">(tree editing, weight configuration, sensitivity analysis access),</w:t>
      </w:r>
      <w:r>
        <w:t xml:space="preserve"> </w:t>
      </w:r>
      <w:r>
        <w:rPr>
          <w:iCs/>
          <w:i/>
        </w:rPr>
        <w:t xml:space="preserve">Contributor</w:t>
      </w:r>
      <w:r>
        <w:t xml:space="preserve"> </w:t>
      </w:r>
      <w:r>
        <w:t xml:space="preserve">(criteria-specific input, comment participation, voting rights), and</w:t>
      </w:r>
      <w:r>
        <w:t xml:space="preserve"> </w:t>
      </w:r>
      <w:r>
        <w:rPr>
          <w:iCs/>
          <w:i/>
        </w:rPr>
        <w:t xml:space="preserve">Viewer</w:t>
      </w:r>
      <w:r>
        <w:t xml:space="preserve"> </w:t>
      </w:r>
      <w:r>
        <w:t xml:space="preserve">(read-only access to finalized models and reports). Multi-tenant RBAC—supported by enterprise identity platforms such as Okta, Azure AD, and LoginRadius—becomes critical when decisions involve participants from multiple organizations, as is common in procurement committees, joint ventures, and regulatory consultations</w:t>
      </w:r>
      <w:r>
        <w:t xml:space="preserve"> </w:t>
      </w:r>
      <w:r>
        <w:rPr>
          <w:vertAlign w:val="superscript"/>
        </w:rPr>
        <w:t xml:space="preserve">96</w:t>
      </w:r>
      <w:r>
        <w:t xml:space="preserve">.</w:t>
      </w:r>
    </w:p>
    <w:p>
      <w:pPr>
        <w:pStyle w:val="BodyText"/>
      </w:pPr>
      <w:r>
        <w:rPr>
          <w:bCs/>
          <w:b/>
        </w:rPr>
        <w:t xml:space="preserve">Asynchronous decision workflows</w:t>
      </w:r>
      <w:r>
        <w:t xml:space="preserve"> </w:t>
      </w:r>
      <w:r>
        <w:t xml:space="preserve">represent the most significant operational departure from the synchronous workshop model implicit in the 2002 text. The document describes preference elicitation as an</w:t>
      </w:r>
      <w:r>
        <w:t xml:space="preserve"> </w:t>
      </w:r>
      <w:r>
        <w:t xml:space="preserve">“</w:t>
      </w:r>
      <w:r>
        <w:t xml:space="preserve">iterative process</w:t>
      </w:r>
      <w:r>
        <w:t xml:space="preserve">”</w:t>
      </w:r>
      <w:r>
        <w:t xml:space="preserve"> </w:t>
      </w:r>
      <w:r>
        <w:t xml:space="preserve">conducted through direct interaction between analyst and DM. Modern distributed teams cannot sustain this cadence. Platforms such as Slack Workflow Builder enable structured approval processes with forms, conditional routing, and real-time notifications; Bitrix24 combines open channels, Kanban views, and comments-on-tasks to create durable audit trails where</w:t>
      </w:r>
      <w:r>
        <w:t xml:space="preserve"> </w:t>
      </w:r>
      <w:r>
        <w:t xml:space="preserve">“</w:t>
      </w:r>
      <w:r>
        <w:t xml:space="preserve">decisions and approvals live where the work happens</w:t>
      </w:r>
      <w:r>
        <w:t xml:space="preserve">”</w:t>
      </w:r>
      <w:r>
        <w:t xml:space="preserve"> </w:t>
      </w:r>
      <w:r>
        <w:rPr>
          <w:vertAlign w:val="superscript"/>
        </w:rPr>
        <w:t xml:space="preserve">97</w:t>
      </w:r>
      <w:r>
        <w:t xml:space="preserve"> </w:t>
      </w:r>
      <w:r>
        <w:rPr>
          <w:vertAlign w:val="superscript"/>
        </w:rPr>
        <w:t xml:space="preserve">98</w:t>
      </w:r>
      <w:r>
        <w:t xml:space="preserve">. Effective async decision-making requires intentional design: clear communication channel selection, explicit response-time expectations, documentation standards that preserve decision rationale, and feedback mechanisms that close loops without synchronous meetings</w:t>
      </w:r>
      <w:r>
        <w:t xml:space="preserve"> </w:t>
      </w:r>
      <w:r>
        <w:rPr>
          <w:vertAlign w:val="superscript"/>
        </w:rPr>
        <w:t xml:space="preserve">99</w:t>
      </w:r>
      <w:r>
        <w:t xml:space="preserve">. For VTA SaaS specifically, staged elicitation rounds—where criteria identification, weight assignment, and alternative scoring occur as sequential, time-bounded activities with automated reminders and deadline management—enable a decision process that spans days rather than hours while maintaining analytical rigor. Loomio’s support for scheduled poll opening, quorum requirements, and email-based participation demonstrates that stakeholders can engage meaningfully without real-time presence</w:t>
      </w:r>
      <w:r>
        <w:t xml:space="preserve"> </w:t>
      </w:r>
      <w:r>
        <w:rPr>
          <w:vertAlign w:val="superscript"/>
        </w:rPr>
        <w:t xml:space="preserve">14</w:t>
      </w:r>
      <w:r>
        <w:t xml:space="preserve">.</w:t>
      </w:r>
    </w:p>
    <w:p>
      <w:pPr>
        <w:pStyle w:val="BodyText"/>
      </w:pPr>
      <w:r>
        <w:rPr>
          <w:bCs/>
          <w:b/>
        </w:rPr>
        <w:t xml:space="preserve">Anonymous versus attributed input</w:t>
      </w:r>
      <w:r>
        <w:t xml:space="preserve"> </w:t>
      </w:r>
      <w:r>
        <w:t xml:space="preserve">addresses a behavioral dimension the 2002 document sidesteps entirely. The weighted arithmetic mean formula</w:t>
      </w:r>
      <w:r>
        <w:t xml:space="preserve"> </w:t>
      </w:r>
      <m:oMath>
        <m:r>
          <m:t>V</m:t>
        </m:r>
        <m:d>
          <m:dPr>
            <m:begChr m:val="("/>
            <m:endChr m:val=")"/>
            <m:sepChr m:val=""/>
            <m:grow/>
          </m:dPr>
          <m:e>
            <m:sSub>
              <m:e>
                <m:r>
                  <m:t>a</m:t>
                </m:r>
              </m:e>
              <m:sub>
                <m:r>
                  <m:t>j</m:t>
                </m:r>
              </m:sub>
            </m:sSub>
          </m:e>
        </m:d>
        <m:r>
          <m:rPr>
            <m:sty m:val="p"/>
          </m:rPr>
          <m:t>=</m:t>
        </m:r>
        <m:r>
          <m:rPr>
            <m:sty m:val="p"/>
          </m:rPr>
          <m:t>∑</m:t>
        </m:r>
        <m:sSub>
          <m:e>
            <m:r>
              <m:t>k</m:t>
            </m:r>
          </m:e>
          <m:sub>
            <m:r>
              <m:t>i</m:t>
            </m:r>
          </m:sub>
        </m:sSub>
        <m:sSub>
          <m:e>
            <m:r>
              <m:t>v</m:t>
            </m:r>
          </m:e>
          <m:sub>
            <m:r>
              <m:t>i</m:t>
            </m:r>
          </m:sub>
        </m:sSub>
        <m:d>
          <m:dPr>
            <m:begChr m:val="("/>
            <m:endChr m:val=")"/>
            <m:sepChr m:val=""/>
            <m:grow/>
          </m:dPr>
          <m:e>
            <m:sSub>
              <m:e>
                <m:r>
                  <m:t>a</m:t>
                </m:r>
              </m:e>
              <m:sub>
                <m:r>
                  <m:t>j</m:t>
                </m:r>
              </m:sub>
            </m:sSub>
          </m:e>
        </m:d>
      </m:oMath>
      <w:r>
        <w:t xml:space="preserve">, where</w:t>
      </w:r>
      <w:r>
        <w:t xml:space="preserve"> </w:t>
      </w:r>
      <m:oMath>
        <m:sSub>
          <m:e>
            <m:r>
              <m:t>k</m:t>
            </m:r>
          </m:e>
          <m:sub>
            <m:r>
              <m:t>i</m:t>
            </m:r>
          </m:sub>
        </m:sSub>
      </m:oMath>
      <w:r>
        <w:t xml:space="preserve"> </w:t>
      </w:r>
      <w:r>
        <w:t xml:space="preserve">represent DM power or expertise weights, assumes that individual preference models can be collected transparently without social distortion</w:t>
      </w:r>
      <w:r>
        <w:t xml:space="preserve"> </w:t>
      </w:r>
      <w:r>
        <w:rPr>
          <w:vertAlign w:val="superscript"/>
        </w:rPr>
        <w:t xml:space="preserve">14</w:t>
      </w:r>
      <w:r>
        <w:t xml:space="preserve">. Empirical evidence contradicts this assumption. Loomio supports anonymous voting and hidden results</w:t>
      </w:r>
      <w:r>
        <w:t xml:space="preserve"> </w:t>
      </w:r>
      <w:r>
        <w:t xml:space="preserve">“</w:t>
      </w:r>
      <w:r>
        <w:t xml:space="preserve">so participants vote based on their own judgement—free from social pressure,</w:t>
      </w:r>
      <w:r>
        <w:t xml:space="preserve">”</w:t>
      </w:r>
      <w:r>
        <w:t xml:space="preserve"> </w:t>
      </w:r>
      <w:r>
        <w:t xml:space="preserve">a configuration described as</w:t>
      </w:r>
      <w:r>
        <w:t xml:space="preserve"> </w:t>
      </w:r>
      <w:r>
        <w:t xml:space="preserve">“</w:t>
      </w:r>
      <w:r>
        <w:t xml:space="preserve">perfect for sensitive decisions, board elections, and honest feedback</w:t>
      </w:r>
      <w:r>
        <w:t xml:space="preserve">”</w:t>
      </w:r>
      <w:r>
        <w:t xml:space="preserve"> </w:t>
      </w:r>
      <w:r>
        <w:rPr>
          <w:vertAlign w:val="superscript"/>
        </w:rPr>
        <w:t xml:space="preserve">14</w:t>
      </w:r>
      <w:r>
        <w:t xml:space="preserve">. Similarly, 1000minds—a decision-making platform used by 890+ universities and research institutions—enables anonymous voting as part of its PAPRIKA preference elicitation process to</w:t>
      </w:r>
      <w:r>
        <w:t xml:space="preserve"> </w:t>
      </w:r>
      <w:r>
        <w:t xml:space="preserve">“</w:t>
      </w:r>
      <w:r>
        <w:t xml:space="preserve">ensure that every individual can provide their input without worrying about backlash from the group or otherwise being subject to group biases</w:t>
      </w:r>
      <w:r>
        <w:t xml:space="preserve">”</w:t>
      </w:r>
      <w:r>
        <w:t xml:space="preserve"> </w:t>
      </w:r>
      <w:r>
        <w:rPr>
          <w:vertAlign w:val="superscript"/>
        </w:rPr>
        <w:t xml:space="preserve">100</w:t>
      </w:r>
      <w:r>
        <w:t xml:space="preserve">. A configurable visibility model, in which stakeholders can toggle between anonymous and attributed input at the criterion level, allows sensitive weight judgments (compensation, risk tolerance, strategic priority) to remain blind while keeping methodological discussions transparent.</w:t>
      </w:r>
    </w:p>
    <w:bookmarkEnd w:id="107"/>
    <w:bookmarkStart w:id="108" w:name="group-preference-aggregation"/>
    <w:p>
      <w:pPr>
        <w:pStyle w:val="Heading3"/>
      </w:pPr>
      <w:r>
        <w:t xml:space="preserve">7.2 Group Preference Aggregation</w:t>
      </w:r>
    </w:p>
    <w:p>
      <w:pPr>
        <w:pStyle w:val="FirstParagraph"/>
      </w:pPr>
      <w:r>
        <w:t xml:space="preserve">The 2002 document presents two aggregation paradigms that remain theoretically sound but operationally transformable in a digital environment.</w:t>
      </w:r>
    </w:p>
    <w:p>
      <w:pPr>
        <w:pStyle w:val="BodyText"/>
      </w:pPr>
      <w:r>
        <w:rPr>
          <w:bCs/>
          <w:b/>
        </w:rPr>
        <w:t xml:space="preserve">Weighted arithmetic mean</w:t>
      </w:r>
      <w:r>
        <w:t xml:space="preserve"> </w:t>
      </w:r>
      <w:r>
        <w:t xml:space="preserve">(Approach 1) combines individual preference models through the formula</w:t>
      </w:r>
      <w:r>
        <w:t xml:space="preserve"> </w:t>
      </w:r>
      <m:oMath>
        <m:r>
          <m:t>V</m:t>
        </m:r>
        <m:d>
          <m:dPr>
            <m:begChr m:val="("/>
            <m:endChr m:val=")"/>
            <m:sepChr m:val=""/>
            <m:grow/>
          </m:dPr>
          <m:e>
            <m:sSub>
              <m:e>
                <m:r>
                  <m:t>a</m:t>
                </m:r>
              </m:e>
              <m:sub>
                <m:r>
                  <m:t>j</m:t>
                </m:r>
              </m:sub>
            </m:sSub>
          </m:e>
        </m:d>
        <m:r>
          <m:rPr>
            <m:sty m:val="p"/>
          </m:rPr>
          <m:t>=</m:t>
        </m:r>
        <m:r>
          <m:rPr>
            <m:sty m:val="p"/>
          </m:rPr>
          <m:t>∑</m:t>
        </m:r>
        <m:sSub>
          <m:e>
            <m:r>
              <m:t>k</m:t>
            </m:r>
          </m:e>
          <m:sub>
            <m:r>
              <m:t>i</m:t>
            </m:r>
          </m:sub>
        </m:sSub>
        <m:sSub>
          <m:e>
            <m:r>
              <m:t>v</m:t>
            </m:r>
          </m:e>
          <m:sub>
            <m:r>
              <m:t>i</m:t>
            </m:r>
          </m:sub>
        </m:sSub>
        <m:d>
          <m:dPr>
            <m:begChr m:val="("/>
            <m:endChr m:val=")"/>
            <m:sepChr m:val=""/>
            <m:grow/>
          </m:dPr>
          <m:e>
            <m:sSub>
              <m:e>
                <m:r>
                  <m:t>a</m:t>
                </m:r>
              </m:e>
              <m:sub>
                <m:r>
                  <m:t>j</m:t>
                </m:r>
              </m:sub>
            </m:sSub>
          </m:e>
        </m:d>
      </m:oMath>
      <w:r>
        <w:t xml:space="preserve">, where weights</w:t>
      </w:r>
      <w:r>
        <w:t xml:space="preserve"> </w:t>
      </w:r>
      <m:oMath>
        <m:sSub>
          <m:e>
            <m:r>
              <m:t>k</m:t>
            </m:r>
          </m:e>
          <m:sub>
            <m:r>
              <m:t>i</m:t>
            </m:r>
          </m:sub>
        </m:sSub>
      </m:oMath>
      <w:r>
        <w:t xml:space="preserve"> </w:t>
      </w:r>
      <w:r>
        <w:t xml:space="preserve">reflect the</w:t>
      </w:r>
      <w:r>
        <w:t xml:space="preserve"> </w:t>
      </w:r>
      <w:r>
        <w:t xml:space="preserve">“</w:t>
      </w:r>
      <w:r>
        <w:t xml:space="preserve">level of expertise or power structures</w:t>
      </w:r>
      <w:r>
        <w:t xml:space="preserve">”</w:t>
      </w:r>
      <w:r>
        <w:t xml:space="preserve"> </w:t>
      </w:r>
      <w:r>
        <w:t xml:space="preserve">of individual decision-makers. In a SaaS implementation, this formula becomes a real-time aggregation engine: individual stakeholders complete their own value tree assessments through guided elicitation interfaces, and the platform computes the weighted composite automatically. BigPulse, a shareholder voting platform, demonstrates that weighted voting can boost participation by 50–100% compared to in-person processes by enabling remote, convenient voting on any device</w:t>
      </w:r>
      <w:r>
        <w:t xml:space="preserve"> </w:t>
      </w:r>
      <w:r>
        <w:rPr>
          <w:vertAlign w:val="superscript"/>
        </w:rPr>
        <w:t xml:space="preserve">101</w:t>
      </w:r>
      <w:r>
        <w:t xml:space="preserve">. The digital advantage lies not merely in computation speed but in the ability to explore weight sensitivity dynamically—adjusting</w:t>
      </w:r>
      <w:r>
        <w:t xml:space="preserve"> </w:t>
      </w:r>
      <m:oMath>
        <m:sSub>
          <m:e>
            <m:r>
              <m:t>k</m:t>
            </m:r>
          </m:e>
          <m:sub>
            <m:r>
              <m:t>i</m:t>
            </m:r>
          </m:sub>
        </m:sSub>
      </m:oMath>
      <w:r>
        <w:t xml:space="preserve"> </w:t>
      </w:r>
      <w:r>
        <w:t xml:space="preserve">values in real time to test how different power allocations affect alternative rankings, a capability impossible in the static, spreadsheet-driven workflows of 2002.</w:t>
      </w:r>
    </w:p>
    <w:p>
      <w:pPr>
        <w:pStyle w:val="BodyText"/>
      </w:pPr>
      <w:r>
        <w:rPr>
          <w:bCs/>
          <w:b/>
        </w:rPr>
        <w:t xml:space="preserve">Imprecise group preferences</w:t>
      </w:r>
      <w:r>
        <w:t xml:space="preserve"> </w:t>
      </w:r>
      <w:r>
        <w:t xml:space="preserve">(Approach 2) capture conflicting views through intervals containing group members’ individual preference judgments. The document notes that</w:t>
      </w:r>
      <w:r>
        <w:t xml:space="preserve"> </w:t>
      </w:r>
      <w:r>
        <w:t xml:space="preserve">“</w:t>
      </w:r>
      <w:r>
        <w:t xml:space="preserve">the result is unambiguous only if an alternative dominates the other alternatives in absolute sense</w:t>
      </w:r>
      <w:r>
        <w:t xml:space="preserve">”</w:t>
      </w:r>
      <w:r>
        <w:t xml:space="preserve">—that is, when value intervals do not overlap. This observation, brief in the original text, contains the seed of what the cross-dimension analysis identifies as a killer feature for enterprise adoption. Group decision-making is where legacy VTA breaks down: exact consensus is rarely achievable in enterprise contexts, and the ability to model disagreement as data rather than treat it as a failure addresses the primary pain point in multi-stakeholder decisions. The PRIME (Preference Ratios in Multiattribute Evaluation) method operationalizes this by allowing interval-based weight judgments—assigning a range</w:t>
      </w:r>
      <w:r>
        <w:t xml:space="preserve"> </w:t>
      </w:r>
      <m:oMath>
        <m:d>
          <m:dPr>
            <m:begChr m:val="["/>
            <m:endChr m:val="]"/>
            <m:sepChr m:val=""/>
            <m:grow/>
          </m:dPr>
          <m:e>
            <m:r>
              <m:t>L</m:t>
            </m:r>
            <m:r>
              <m:rPr>
                <m:sty m:val="p"/>
              </m:rPr>
              <m:t>,</m:t>
            </m:r>
            <m:r>
              <m:t>U</m:t>
            </m:r>
          </m:e>
        </m:d>
      </m:oMath>
      <w:r>
        <w:t xml:space="preserve"> </w:t>
      </w:r>
      <w:r>
        <w:t xml:space="preserve">rather than a point estimate—which are then processed through linear programming to produce value intervals, dominance structures, and decision rules (maximax, maximin, minimax regret, central values)</w:t>
      </w:r>
      <w:r>
        <w:t xml:space="preserve"> </w:t>
      </w:r>
      <w:r>
        <w:rPr>
          <w:vertAlign w:val="superscript"/>
        </w:rPr>
        <w:t xml:space="preserve">100</w:t>
      </w:r>
      <w:r>
        <w:t xml:space="preserve">. When extended to group settings, individual interval judgments are aggregated into composite intervals whose width directly reflects inter-stakeholder disagreement. Wider intervals signal areas requiring further deliberation; narrow intervals with non-overlapping dominance indicate clear collective preference. This transforms disagreement from an obstacle into diagnostic information.</w:t>
      </w:r>
    </w:p>
    <w:p>
      <w:pPr>
        <w:pStyle w:val="BodyText"/>
      </w:pPr>
      <w:r>
        <w:rPr>
          <w:bCs/>
          <w:b/>
        </w:rPr>
        <w:t xml:space="preserve">Consensus tracking</w:t>
      </w:r>
      <w:r>
        <w:t xml:space="preserve"> </w:t>
      </w:r>
      <w:r>
        <w:t xml:space="preserve">visualizes convergence and divergence across elicitation rounds. The 2002 document suggests that</w:t>
      </w:r>
      <w:r>
        <w:t xml:space="preserve"> </w:t>
      </w:r>
      <w:r>
        <w:t xml:space="preserve">“</w:t>
      </w:r>
      <w:r>
        <w:t xml:space="preserve">the DM’s preference statements need to be refined to reduce the set of the nondominated alternatives</w:t>
      </w:r>
      <w:r>
        <w:t xml:space="preserve">”</w:t>
      </w:r>
      <w:r>
        <w:t xml:space="preserve">—an iterative process that, in manual workflows, requires reconvening stakeholders for additional elicitation sessions. A digital platform can track interval width reduction across rounds automatically, displaying convergence heatmaps that show which criteria have achieved stakeholder alignment and which remain contested. Research on Group Decision Support Systems (GDSS) consistently shows that such systems increase group performance more for larger groups than smaller ones, with parallel input being a major technological benefit</w:t>
      </w:r>
      <w:r>
        <w:t xml:space="preserve"> </w:t>
      </w:r>
      <w:r>
        <w:rPr>
          <w:vertAlign w:val="superscript"/>
        </w:rPr>
        <w:t xml:space="preserve">102</w:t>
      </w:r>
      <w:r>
        <w:t xml:space="preserve">. Consensus tracking converts this parallelism into actionable intelligence: decision owners can see at a glance where to focus facilitation effort, and contributors can observe how their inputs shifted the collective position between rounds.</w:t>
      </w:r>
    </w:p>
    <w:bookmarkEnd w:id="108"/>
    <w:bookmarkStart w:id="109" w:name="facilitation-and-communication"/>
    <w:p>
      <w:pPr>
        <w:pStyle w:val="Heading3"/>
      </w:pPr>
      <w:r>
        <w:t xml:space="preserve">7.3 Facilitation and Communication</w:t>
      </w:r>
    </w:p>
    <w:p>
      <w:pPr>
        <w:pStyle w:val="FirstParagraph"/>
      </w:pPr>
      <w:r>
        <w:t xml:space="preserve">The 2002 document’s Section 7 on communicating results observes that</w:t>
      </w:r>
      <w:r>
        <w:t xml:space="preserve"> </w:t>
      </w:r>
      <w:r>
        <w:t xml:space="preserve">“</w:t>
      </w:r>
      <w:r>
        <w:t xml:space="preserve">graphs allow an easy way to present and understand complex relations</w:t>
      </w:r>
      <w:r>
        <w:t xml:space="preserve">”</w:t>
      </w:r>
      <w:r>
        <w:t xml:space="preserve"> </w:t>
      </w:r>
      <w:r>
        <w:t xml:space="preserve">and that</w:t>
      </w:r>
      <w:r>
        <w:t xml:space="preserve"> </w:t>
      </w:r>
      <w:r>
        <w:t xml:space="preserve">“</w:t>
      </w:r>
      <w:r>
        <w:t xml:space="preserve">values of several variables and their proportional magnitudes are more easily detected with bars than numbers.</w:t>
      </w:r>
      <w:r>
        <w:t xml:space="preserve">”</w:t>
      </w:r>
      <w:r>
        <w:t xml:space="preserve"> </w:t>
      </w:r>
      <w:r>
        <w:t xml:space="preserve">This understated guidance—essentially,</w:t>
      </w:r>
      <w:r>
        <w:t xml:space="preserve"> </w:t>
      </w:r>
      <w:r>
        <w:t xml:space="preserve">“</w:t>
      </w:r>
      <w:r>
        <w:t xml:space="preserve">use charts</w:t>
      </w:r>
      <w:r>
        <w:t xml:space="preserve">”</w:t>
      </w:r>
      <w:r>
        <w:t xml:space="preserve">—belies the communication infrastructure that modern collaborative decision-making demands.</w:t>
      </w:r>
    </w:p>
    <w:p>
      <w:pPr>
        <w:pStyle w:val="BodyText"/>
      </w:pPr>
      <w:r>
        <w:rPr>
          <w:bCs/>
          <w:b/>
        </w:rPr>
        <w:t xml:space="preserve">In-app discussion</w:t>
      </w:r>
      <w:r>
        <w:t xml:space="preserve"> </w:t>
      </w:r>
      <w:r>
        <w:t xml:space="preserve">must be anchored to specific decision artifacts. The document warns that in group settings,</w:t>
      </w:r>
      <w:r>
        <w:t xml:space="preserve"> </w:t>
      </w:r>
      <w:r>
        <w:t xml:space="preserve">“</w:t>
      </w:r>
      <w:r>
        <w:t xml:space="preserve">results should be presented in such a way that there is no room for unnecessary speculations or distorted interpretations.</w:t>
      </w:r>
      <w:r>
        <w:t xml:space="preserve">”</w:t>
      </w:r>
      <w:r>
        <w:t xml:space="preserve"> </w:t>
      </w:r>
      <w:r>
        <w:t xml:space="preserve">Threaded comment systems anchored to individual tree nodes and performance matrix cells achieve this by tying every piece of feedback to its exact analytical referent. Confluence’s inline commenting architecture, which attaches discussions to specific words, sentences, or sections with</w:t>
      </w:r>
      <w:r>
        <w:t xml:space="preserve"> </w:t>
      </w:r>
      <w:r>
        <w:t xml:space="preserve">@mentions</w:t>
      </w:r>
      <w:r>
        <w:t xml:space="preserve">, threaded replies, and resolution tracking, provides the interaction pattern</w:t>
      </w:r>
      <w:r>
        <w:t xml:space="preserve"> </w:t>
      </w:r>
      <w:r>
        <w:rPr>
          <w:vertAlign w:val="superscript"/>
        </w:rPr>
        <w:t xml:space="preserve">103</w:t>
      </w:r>
      <w:r>
        <w:t xml:space="preserve"> </w:t>
      </w:r>
      <w:r>
        <w:rPr>
          <w:vertAlign w:val="superscript"/>
        </w:rPr>
        <w:t xml:space="preserve">104</w:t>
      </w:r>
      <w:r>
        <w:t xml:space="preserve">. Loomio extends this model by archiving every discussion, vote, reason, and outcome in a searchable record with complete audit trails, enabling new participants to understand not just what was decided, but why</w:t>
      </w:r>
      <w:r>
        <w:t xml:space="preserve"> </w:t>
      </w:r>
      <w:r>
        <w:rPr>
          <w:vertAlign w:val="superscript"/>
        </w:rPr>
        <w:t xml:space="preserve">14</w:t>
      </w:r>
      <w:r>
        <w:t xml:space="preserve">. For VTA SaaS, comment threads on criteria nodes allow stakeholders to question weight assignments, propose alternative value functions, or request evidence for specific performance scores—all within the context of the model itself rather than in disconnected email exchanges or meeting notes.</w:t>
      </w:r>
    </w:p>
    <w:p>
      <w:pPr>
        <w:pStyle w:val="BodyText"/>
      </w:pPr>
      <w:r>
        <w:rPr>
          <w:bCs/>
          <w:b/>
        </w:rPr>
        <w:t xml:space="preserve">Results presentation mode</w:t>
      </w:r>
      <w:r>
        <w:t xml:space="preserve"> </w:t>
      </w:r>
      <w:r>
        <w:t xml:space="preserve">must auto-generate executive summaries with key visualizations. The 2002 document’s emphasis on graphical presentation—value intervals, composite priorities, sensitivity analysis overlays—translates into a one-click executive summary feature that distills a multi-stakeholder decision model into a board-ready narrative. This capability bridges the persistent gap between analytical depth and decision accessibility: 88% of enterprises use AI in some capacity, yet only 26% are considered mature in advanced analytics and AI usage</w:t>
      </w:r>
      <w:r>
        <w:t xml:space="preserve"> </w:t>
      </w:r>
      <w:r>
        <w:rPr>
          <w:vertAlign w:val="superscript"/>
        </w:rPr>
        <w:t xml:space="preserve">91</w:t>
      </w:r>
      <w:r>
        <w:t xml:space="preserve">. A presentation mode that auto-generates narrative interpretations of dominance structures, sensitivity breakpoints, and weight distributions makes sophisticated decision analysis comprehensible to non-technical stakeholders without requiring a decision analyst to manually prepare slides.</w:t>
      </w:r>
    </w:p>
    <w:p>
      <w:pPr>
        <w:pStyle w:val="BodyText"/>
      </w:pPr>
      <w:r>
        <w:rPr>
          <w:bCs/>
          <w:b/>
        </w:rPr>
        <w:t xml:space="preserve">Export and sharing</w:t>
      </w:r>
      <w:r>
        <w:t xml:space="preserve"> </w:t>
      </w:r>
      <w:r>
        <w:t xml:space="preserve">complete the communication loop. The 2002 document’s software section lists desktop tools (Web-HIPRE, PRIME Decisions) with no sharing mechanism beyond manual file transfer. Modern decision platforms require PDF report generation, PowerPoint export with embedded live visualizations, and shareable links with granular view permissions. Poll Everywhere’s native PowerPoint integration and enterprise security certifications (SOC 2 Type 2, ISO 27001+27701) establish the compliance baseline that regulated industries require</w:t>
      </w:r>
      <w:r>
        <w:t xml:space="preserve"> </w:t>
      </w:r>
      <w:r>
        <w:rPr>
          <w:vertAlign w:val="superscript"/>
        </w:rPr>
        <w:t xml:space="preserve">105</w:t>
      </w:r>
      <w:r>
        <w:t xml:space="preserve">. Real-time collaborative editing—exemplified by Figma’s multiplayer architecture achieving 95% of edits synchronized within 600 milliseconds through property-level conflict resolution—enables simultaneous model refinement during live workshops while maintaining audit trails of every change</w:t>
      </w:r>
      <w:r>
        <w:t xml:space="preserve"> </w:t>
      </w:r>
      <w:r>
        <w:rPr>
          <w:vertAlign w:val="superscript"/>
        </w:rPr>
        <w:t xml:space="preserve">106</w:t>
      </w:r>
      <w:r>
        <w:t xml:space="preserve"> </w:t>
      </w:r>
      <w:r>
        <w:rPr>
          <w:vertAlign w:val="superscript"/>
        </w:rPr>
        <w:t xml:space="preserve">107</w:t>
      </w:r>
      <w:r>
        <w:t xml:space="preserve">. Digital whiteboard platforms Miro and Mural extend this paradigm with facilitator controls (private mode, timed voting, participant lock) and Smart Meetings features that let facilitators prepare timed agendas and capture outcomes automatically</w:t>
      </w:r>
      <w:r>
        <w:t xml:space="preserve"> </w:t>
      </w:r>
      <w:r>
        <w:rPr>
          <w:vertAlign w:val="superscript"/>
        </w:rPr>
        <w:t xml:space="preserve">108</w:t>
      </w:r>
      <w:r>
        <w:t xml:space="preserve">.</w:t>
      </w:r>
    </w:p>
    <w:p>
      <w:pPr>
        <w:pStyle w:val="BodyText"/>
      </w:pPr>
      <w:r>
        <w:t xml:space="preserve">The following table maps the 2002 document’s manual group decision processes against their digital SaaS equivalents, illustrating the full scope of capability expansion that contemporary collaboration infrastructure enables. Each row captures not merely a technology substitution but a fundamental restructuring of how multi-stakeholder decision work gets done.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2002 Manual Process</w:t>
            </w:r>
          </w:p>
        </w:tc>
        <w:tc>
          <w:tcPr/>
          <w:p>
            <w:pPr>
              <w:pStyle w:val="Compact"/>
              <w:jc w:val="left"/>
            </w:pPr>
            <w:r>
              <w:t xml:space="preserve">Digital SaaS Feature</w:t>
            </w:r>
          </w:p>
        </w:tc>
        <w:tc>
          <w:tcPr/>
          <w:p>
            <w:pPr>
              <w:pStyle w:val="Compact"/>
              <w:jc w:val="left"/>
            </w:pPr>
            <w:r>
              <w:t xml:space="preserve">Platform Reference</w:t>
            </w:r>
          </w:p>
        </w:tc>
        <w:tc>
          <w:tcPr/>
          <w:p>
            <w:pPr>
              <w:pStyle w:val="Compact"/>
              <w:jc w:val="left"/>
            </w:pPr>
            <w:r>
              <w:t xml:space="preserve">Operational Impact</w:t>
            </w:r>
          </w:p>
        </w:tc>
      </w:tr>
      <w:tr>
        <w:tc>
          <w:tcPr/>
          <w:p>
            <w:pPr>
              <w:pStyle w:val="Compact"/>
              <w:jc w:val="left"/>
            </w:pPr>
            <w:r>
              <w:t xml:space="preserve">In-person workshop with facilitator</w:t>
            </w:r>
          </w:p>
        </w:tc>
        <w:tc>
          <w:tcPr/>
          <w:p>
            <w:pPr>
              <w:pStyle w:val="Compact"/>
              <w:jc w:val="left"/>
            </w:pPr>
            <w:r>
              <w:t xml:space="preserve">Digital facilitation mode with presenter controls, timed agendas, breakout groups</w:t>
            </w:r>
          </w:p>
        </w:tc>
        <w:tc>
          <w:tcPr/>
          <w:p>
            <w:pPr>
              <w:pStyle w:val="Compact"/>
              <w:jc w:val="left"/>
            </w:pPr>
            <w:r>
              <w:t xml:space="preserve">Miro Smart Meetings, Mural Facilitator Dashboard</w:t>
            </w:r>
            <w:r>
              <w:t xml:space="preserve"> </w:t>
            </w:r>
            <w:r>
              <w:rPr>
                <w:vertAlign w:val="superscript"/>
              </w:rPr>
              <w:t xml:space="preserve">108</w:t>
            </w:r>
          </w:p>
        </w:tc>
        <w:tc>
          <w:tcPr/>
          <w:p>
            <w:pPr>
              <w:pStyle w:val="Compact"/>
              <w:jc w:val="left"/>
            </w:pPr>
            <w:r>
              <w:t xml:space="preserve">Eliminates travel; supports 50+ participants; captures outcomes automatically</w:t>
            </w:r>
          </w:p>
        </w:tc>
      </w:tr>
      <w:tr>
        <w:tc>
          <w:tcPr/>
          <w:p>
            <w:pPr>
              <w:pStyle w:val="Compact"/>
              <w:jc w:val="left"/>
            </w:pPr>
            <w:r>
              <w:t xml:space="preserve">Anonymous paper ballot voting</w:t>
            </w:r>
          </w:p>
        </w:tc>
        <w:tc>
          <w:tcPr/>
          <w:p>
            <w:pPr>
              <w:pStyle w:val="Compact"/>
              <w:jc w:val="left"/>
            </w:pPr>
            <w:r>
              <w:t xml:space="preserve">Anonymous voting mode with blind results until poll closes</w:t>
            </w:r>
          </w:p>
        </w:tc>
        <w:tc>
          <w:tcPr/>
          <w:p>
            <w:pPr>
              <w:pStyle w:val="Compact"/>
              <w:jc w:val="left"/>
            </w:pPr>
            <w:r>
              <w:t xml:space="preserve">Loomio</w:t>
            </w:r>
            <w:r>
              <w:t xml:space="preserve"> </w:t>
            </w:r>
            <w:r>
              <w:rPr>
                <w:vertAlign w:val="superscript"/>
              </w:rPr>
              <w:t xml:space="preserve">14</w:t>
            </w:r>
            <w:r>
              <w:t xml:space="preserve">, 1000minds</w:t>
            </w:r>
            <w:r>
              <w:t xml:space="preserve"> </w:t>
            </w:r>
            <w:r>
              <w:rPr>
                <w:vertAlign w:val="superscript"/>
              </w:rPr>
              <w:t xml:space="preserve">100</w:t>
            </w:r>
          </w:p>
        </w:tc>
        <w:tc>
          <w:tcPr/>
          <w:p>
            <w:pPr>
              <w:pStyle w:val="Compact"/>
              <w:jc w:val="left"/>
            </w:pPr>
            <w:r>
              <w:t xml:space="preserve">Reduces groupthink; enables honest input on sensitive criteria; boosts participation 50–100%</w:t>
            </w:r>
            <w:r>
              <w:t xml:space="preserve"> </w:t>
            </w:r>
            <w:r>
              <w:rPr>
                <w:vertAlign w:val="superscript"/>
              </w:rPr>
              <w:t xml:space="preserve">101</w:t>
            </w:r>
          </w:p>
        </w:tc>
      </w:tr>
      <w:tr>
        <w:tc>
          <w:tcPr/>
          <w:p>
            <w:pPr>
              <w:pStyle w:val="Compact"/>
              <w:jc w:val="left"/>
            </w:pPr>
            <w:r>
              <w:t xml:space="preserve">Weighted arithmetic mean aggregation</w:t>
            </w:r>
          </w:p>
        </w:tc>
        <w:tc>
          <w:tcPr/>
          <w:p>
            <w:pPr>
              <w:pStyle w:val="Compact"/>
              <w:jc w:val="left"/>
            </w:pPr>
            <w:r>
              <w:t xml:space="preserve">Real-time weighted aggregation engine with dynamic</w:t>
            </w:r>
            <w:r>
              <w:t xml:space="preserve"> </w:t>
            </w:r>
            <m:oMath>
              <m:sSub>
                <m:e>
                  <m:r>
                    <m:t>k</m:t>
                  </m:r>
                </m:e>
                <m:sub>
                  <m:r>
                    <m:t>i</m:t>
                  </m:r>
                </m:sub>
              </m:sSub>
            </m:oMath>
            <w:r>
              <w:t xml:space="preserve"> </w:t>
            </w:r>
            <w:r>
              <w:t xml:space="preserve">exploration</w:t>
            </w:r>
          </w:p>
        </w:tc>
        <w:tc>
          <w:tcPr/>
          <w:p>
            <w:pPr>
              <w:pStyle w:val="Compact"/>
              <w:jc w:val="left"/>
            </w:pPr>
            <w:r>
              <w:t xml:space="preserve">Custom VTA engine; BigPulse weighted voting</w:t>
            </w:r>
            <w:r>
              <w:t xml:space="preserve"> </w:t>
            </w:r>
            <w:r>
              <w:rPr>
                <w:vertAlign w:val="superscript"/>
              </w:rPr>
              <w:t xml:space="preserve">101</w:t>
            </w:r>
          </w:p>
        </w:tc>
        <w:tc>
          <w:tcPr/>
          <w:p>
            <w:pPr>
              <w:pStyle w:val="Compact"/>
              <w:jc w:val="left"/>
            </w:pPr>
            <w:r>
              <w:t xml:space="preserve">Instant recalculation; sensitivity analysis on power allocation; audit trail of weights</w:t>
            </w:r>
          </w:p>
        </w:tc>
      </w:tr>
      <w:tr>
        <w:tc>
          <w:tcPr/>
          <w:p>
            <w:pPr>
              <w:pStyle w:val="Compact"/>
              <w:jc w:val="left"/>
            </w:pPr>
            <w:r>
              <w:t xml:space="preserve">Imprecise preference intervals via PRIME</w:t>
            </w:r>
          </w:p>
        </w:tc>
        <w:tc>
          <w:tcPr/>
          <w:p>
            <w:pPr>
              <w:pStyle w:val="Compact"/>
              <w:jc w:val="left"/>
            </w:pPr>
            <w:r>
              <w:t xml:space="preserve">Interval input fields with linear programming backend, consensus heatmaps</w:t>
            </w:r>
          </w:p>
        </w:tc>
        <w:tc>
          <w:tcPr/>
          <w:p>
            <w:pPr>
              <w:pStyle w:val="Compact"/>
              <w:jc w:val="left"/>
            </w:pPr>
            <w:r>
              <w:t xml:space="preserve">PRIME Decisions (legacy desktop) → cloud-native equivalent</w:t>
            </w:r>
          </w:p>
        </w:tc>
        <w:tc>
          <w:tcPr/>
          <w:p>
            <w:pPr>
              <w:pStyle w:val="Compact"/>
              <w:jc w:val="left"/>
            </w:pPr>
            <w:r>
              <w:t xml:space="preserve">Captures disagreement as data; dominance checking at scale; convergence tracking across rounds</w:t>
            </w:r>
          </w:p>
        </w:tc>
      </w:tr>
      <w:tr>
        <w:tc>
          <w:tcPr/>
          <w:p>
            <w:pPr>
              <w:pStyle w:val="Compact"/>
              <w:jc w:val="left"/>
            </w:pPr>
            <w:r>
              <w:t xml:space="preserve">Individual DM value trees merged manually</w:t>
            </w:r>
          </w:p>
        </w:tc>
        <w:tc>
          <w:tcPr/>
          <w:p>
            <w:pPr>
              <w:pStyle w:val="Compact"/>
              <w:jc w:val="left"/>
            </w:pPr>
            <w:r>
              <w:t xml:space="preserve">Simultaneous collaborative editing with live cursors and conflict resolution</w:t>
            </w:r>
          </w:p>
        </w:tc>
        <w:tc>
          <w:tcPr/>
          <w:p>
            <w:pPr>
              <w:pStyle w:val="Compact"/>
              <w:jc w:val="left"/>
            </w:pPr>
            <w:r>
              <w:t xml:space="preserve">Figma multiplayer (&lt;600ms sync)</w:t>
            </w:r>
            <w:r>
              <w:t xml:space="preserve"> </w:t>
            </w:r>
            <w:r>
              <w:rPr>
                <w:vertAlign w:val="superscript"/>
              </w:rPr>
              <w:t xml:space="preserve">106</w:t>
            </w:r>
          </w:p>
        </w:tc>
        <w:tc>
          <w:tcPr/>
          <w:p>
            <w:pPr>
              <w:pStyle w:val="Compact"/>
              <w:jc w:val="left"/>
            </w:pPr>
            <w:r>
              <w:t xml:space="preserve">Parallel input from distributed teams; real-time model synchronization</w:t>
            </w:r>
          </w:p>
        </w:tc>
      </w:tr>
      <w:tr>
        <w:tc>
          <w:tcPr/>
          <w:p>
            <w:pPr>
              <w:pStyle w:val="Compact"/>
              <w:jc w:val="left"/>
            </w:pPr>
            <w:r>
              <w:t xml:space="preserve">Verbal group discussion of criteria</w:t>
            </w:r>
          </w:p>
        </w:tc>
        <w:tc>
          <w:tcPr/>
          <w:p>
            <w:pPr>
              <w:pStyle w:val="Compact"/>
              <w:jc w:val="left"/>
            </w:pPr>
            <w:r>
              <w:t xml:space="preserve">Threaded comments anchored to tree nodes and matrix cells with resolution tracking</w:t>
            </w:r>
          </w:p>
        </w:tc>
        <w:tc>
          <w:tcPr/>
          <w:p>
            <w:pPr>
              <w:pStyle w:val="Compact"/>
              <w:jc w:val="left"/>
            </w:pPr>
            <w:r>
              <w:t xml:space="preserve">Confluence inline comments</w:t>
            </w:r>
            <w:r>
              <w:t xml:space="preserve"> </w:t>
            </w:r>
            <w:r>
              <w:rPr>
                <w:vertAlign w:val="superscript"/>
              </w:rPr>
              <w:t xml:space="preserve">103</w:t>
            </w:r>
            <w:r>
              <w:t xml:space="preserve">, Loomio discussions</w:t>
            </w:r>
            <w:r>
              <w:t xml:space="preserve"> </w:t>
            </w:r>
            <w:r>
              <w:rPr>
                <w:vertAlign w:val="superscript"/>
              </w:rPr>
              <w:t xml:space="preserve">14</w:t>
            </w:r>
          </w:p>
        </w:tc>
        <w:tc>
          <w:tcPr/>
          <w:p>
            <w:pPr>
              <w:pStyle w:val="Compact"/>
              <w:jc w:val="left"/>
            </w:pPr>
            <w:r>
              <w:t xml:space="preserve">Persistent audit trail; reduces misinterpretation; enables async participation</w:t>
            </w:r>
          </w:p>
        </w:tc>
      </w:tr>
      <w:tr>
        <w:tc>
          <w:tcPr/>
          <w:p>
            <w:pPr>
              <w:pStyle w:val="Compact"/>
              <w:jc w:val="left"/>
            </w:pPr>
            <w:r>
              <w:t xml:space="preserve">Static sensitivity charts in desktop software</w:t>
            </w:r>
          </w:p>
        </w:tc>
        <w:tc>
          <w:tcPr/>
          <w:p>
            <w:pPr>
              <w:pStyle w:val="Compact"/>
              <w:jc w:val="left"/>
            </w:pPr>
            <w:r>
              <w:t xml:space="preserve">Interactive real-time sensitivity overlays with executive summary auto-generation</w:t>
            </w:r>
          </w:p>
        </w:tc>
        <w:tc>
          <w:tcPr/>
          <w:p>
            <w:pPr>
              <w:pStyle w:val="Compact"/>
              <w:jc w:val="left"/>
            </w:pPr>
            <w:r>
              <w:t xml:space="preserve">Power BI What-If, Tableau Parameters</w:t>
            </w:r>
          </w:p>
        </w:tc>
        <w:tc>
          <w:tcPr/>
          <w:p>
            <w:pPr>
              <w:pStyle w:val="Compact"/>
              <w:jc w:val="left"/>
            </w:pPr>
            <w:r>
              <w:t xml:space="preserve">Board-ready visualizations; self-service exploration by non-technical stakeholders</w:t>
            </w:r>
          </w:p>
        </w:tc>
      </w:tr>
      <w:tr>
        <w:tc>
          <w:tcPr/>
          <w:p>
            <w:pPr>
              <w:pStyle w:val="Compact"/>
              <w:jc w:val="left"/>
            </w:pPr>
            <w:r>
              <w:t xml:space="preserve">Fixed workshop schedule with manual follow-up</w:t>
            </w:r>
          </w:p>
        </w:tc>
        <w:tc>
          <w:tcPr/>
          <w:p>
            <w:pPr>
              <w:pStyle w:val="Compact"/>
              <w:jc w:val="left"/>
            </w:pPr>
            <w:r>
              <w:t xml:space="preserve">Staged async elicitation rounds with deadline management and automated reminders</w:t>
            </w:r>
          </w:p>
        </w:tc>
        <w:tc>
          <w:tcPr/>
          <w:p>
            <w:pPr>
              <w:pStyle w:val="Compact"/>
              <w:jc w:val="left"/>
            </w:pPr>
            <w:r>
              <w:t xml:space="preserve">Slack Workflow Builder</w:t>
            </w:r>
            <w:r>
              <w:t xml:space="preserve"> </w:t>
            </w:r>
            <w:r>
              <w:rPr>
                <w:vertAlign w:val="superscript"/>
              </w:rPr>
              <w:t xml:space="preserve">97</w:t>
            </w:r>
            <w:r>
              <w:t xml:space="preserve">, Loomio async voting</w:t>
            </w:r>
            <w:r>
              <w:t xml:space="preserve"> </w:t>
            </w:r>
            <w:r>
              <w:rPr>
                <w:vertAlign w:val="superscript"/>
              </w:rPr>
              <w:t xml:space="preserve">14</w:t>
            </w:r>
          </w:p>
        </w:tc>
        <w:tc>
          <w:tcPr/>
          <w:p>
            <w:pPr>
              <w:pStyle w:val="Compact"/>
              <w:jc w:val="left"/>
            </w:pPr>
            <w:r>
              <w:t xml:space="preserve">Decisions span days not hours; global team inclusion; automatic escalation</w:t>
            </w:r>
          </w:p>
        </w:tc>
      </w:tr>
      <w:tr>
        <w:tc>
          <w:tcPr/>
          <w:p>
            <w:pPr>
              <w:pStyle w:val="Compact"/>
              <w:jc w:val="left"/>
            </w:pPr>
            <w:r>
              <w:t xml:space="preserve">Role confusion in multi-stakeholder settings</w:t>
            </w:r>
          </w:p>
        </w:tc>
        <w:tc>
          <w:tcPr/>
          <w:p>
            <w:pPr>
              <w:pStyle w:val="Compact"/>
              <w:jc w:val="left"/>
            </w:pPr>
            <w:r>
              <w:t xml:space="preserve">RBAC with decision-specific roles: owner, analyst, contributor, viewer</w:t>
            </w:r>
          </w:p>
        </w:tc>
        <w:tc>
          <w:tcPr/>
          <w:p>
            <w:pPr>
              <w:pStyle w:val="Compact"/>
              <w:jc w:val="left"/>
            </w:pPr>
            <w:r>
              <w:t xml:space="preserve">Loomio nested groups</w:t>
            </w:r>
            <w:r>
              <w:t xml:space="preserve"> </w:t>
            </w:r>
            <w:r>
              <w:rPr>
                <w:vertAlign w:val="superscript"/>
              </w:rPr>
              <w:t xml:space="preserve">14</w:t>
            </w:r>
            <w:r>
              <w:t xml:space="preserve">, IBM RBAC guidance</w:t>
            </w:r>
            <w:r>
              <w:t xml:space="preserve"> </w:t>
            </w:r>
            <w:r>
              <w:rPr>
                <w:vertAlign w:val="superscript"/>
              </w:rPr>
              <w:t xml:space="preserve">95</w:t>
            </w:r>
          </w:p>
        </w:tc>
        <w:tc>
          <w:tcPr/>
          <w:p>
            <w:pPr>
              <w:pStyle w:val="Compact"/>
              <w:jc w:val="left"/>
            </w:pPr>
            <w:r>
              <w:t xml:space="preserve">Separation of duties; compliance alignment; guest access for external advisors</w:t>
            </w:r>
          </w:p>
        </w:tc>
      </w:tr>
      <w:tr>
        <w:tc>
          <w:tcPr/>
          <w:p>
            <w:pPr>
              <w:pStyle w:val="Compact"/>
              <w:jc w:val="left"/>
            </w:pPr>
            <w:r>
              <w:t xml:space="preserve">Ephemeral meeting-based decisions</w:t>
            </w:r>
          </w:p>
        </w:tc>
        <w:tc>
          <w:tcPr/>
          <w:p>
            <w:pPr>
              <w:pStyle w:val="Compact"/>
              <w:jc w:val="left"/>
            </w:pPr>
            <w:r>
              <w:t xml:space="preserve">Searchable decision archive with full-text search and CSV/JSON export</w:t>
            </w:r>
          </w:p>
        </w:tc>
        <w:tc>
          <w:tcPr/>
          <w:p>
            <w:pPr>
              <w:pStyle w:val="Compact"/>
              <w:jc w:val="left"/>
            </w:pPr>
            <w:r>
              <w:t xml:space="preserve">Loomio archive</w:t>
            </w:r>
            <w:r>
              <w:t xml:space="preserve"> </w:t>
            </w:r>
            <w:r>
              <w:rPr>
                <w:vertAlign w:val="superscript"/>
              </w:rPr>
              <w:t xml:space="preserve">14</w:t>
            </w:r>
            <w:r>
              <w:t xml:space="preserve">, Confluence Spaces</w:t>
            </w:r>
            <w:r>
              <w:t xml:space="preserve"> </w:t>
            </w:r>
            <w:r>
              <w:rPr>
                <w:vertAlign w:val="superscript"/>
              </w:rPr>
              <w:t xml:space="preserve">109</w:t>
            </w:r>
          </w:p>
        </w:tc>
        <w:tc>
          <w:tcPr/>
          <w:p>
            <w:pPr>
              <w:pStyle w:val="Compact"/>
              <w:jc w:val="left"/>
            </w:pPr>
            <w:r>
              <w:t xml:space="preserve">Institutional memory; regulatory audit; reusable decision templates</w:t>
            </w:r>
          </w:p>
        </w:tc>
      </w:tr>
    </w:tbl>
    <w:p>
      <w:pPr>
        <w:pStyle w:val="BodyText"/>
      </w:pPr>
      <w:r>
        <w:rPr>
          <w:iCs/>
          <w:i/>
        </w:rPr>
        <w:t xml:space="preserve">Table 7.1 — Collaboration Capability Mapping: 2002 Manual Process versus Digital SaaS Feature. The table compares the original VTA group decision workflow against modern platform capabilities, with platform references demonstrating production-proven implementations of each pattern.</w:t>
      </w:r>
    </w:p>
    <w:p>
      <w:pPr>
        <w:pStyle w:val="BodyText"/>
      </w:pPr>
      <w:r>
        <w:t xml:space="preserve">The operational impact column reveals a consistent pattern: digital transformation does not merely accelerate existing workflows—it restructures them. A process that in 2002 required a trained analyst, a conference room, and a full day of synchronous stakeholder attendance can now unfold over a week of asynchronous contributions from globally distributed participants, with automated aggregation, real-time consensus visualization, and permanent audit trails. Research on Group Decision Support Systems validates that digital tools disproportionately benefit larger decision groups—exactly where manual VTA becomes unwieldy—and that outcomes improve with trained facilitation, which SaaS platforms can provide through guided workflow templates and AI-assisted bias detection</w:t>
      </w:r>
      <w:r>
        <w:t xml:space="preserve"> </w:t>
      </w:r>
      <w:r>
        <w:rPr>
          <w:vertAlign w:val="superscript"/>
        </w:rPr>
        <w:t xml:space="preserve">102</w:t>
      </w:r>
      <w:r>
        <w:t xml:space="preserve">. The market opportunity is substantial: with cloud deployment capturing 71–80% of management decision software share</w:t>
      </w:r>
      <w:r>
        <w:t xml:space="preserve"> </w:t>
      </w:r>
      <w:r>
        <w:rPr>
          <w:vertAlign w:val="superscript"/>
        </w:rPr>
        <w:t xml:space="preserve">90</w:t>
      </w:r>
      <w:r>
        <w:t xml:space="preserve"> </w:t>
      </w:r>
      <w:r>
        <w:rPr>
          <w:vertAlign w:val="superscript"/>
        </w:rPr>
        <w:t xml:space="preserve">91</w:t>
      </w:r>
      <w:r>
        <w:t xml:space="preserve">, SaaS delivery models have already won the architectural debate. The remaining question is which platforms will integrate the methodological rigor of VTA—weighted arithmetic mean, imprecise preference intervals, dominance analysis—with the collaborative infrastructure that modern enterprises require. The answer lies in combining the analytical depth of 1000minds’ PAPRIKA methodology, the participatory breadth of Loomio’s governance models, and the real-time engineering excellence of Figma’s multiplayer architecture into a unified decision intelligence platform.</w:t>
      </w:r>
    </w:p>
    <w:p>
      <w:r>
        <w:pict>
          <v:rect style="width:0;height:1.5pt" o:hralign="center" o:hrstd="t" o:hr="t"/>
        </w:pict>
      </w:r>
    </w:p>
    <w:bookmarkEnd w:id="109"/>
    <w:bookmarkEnd w:id="110"/>
    <w:bookmarkStart w:id="123" w:name="X40b8f6cb57b4fd6686c52e5e70ee3842815fc0a"/>
    <w:p>
      <w:pPr>
        <w:pStyle w:val="Heading2"/>
      </w:pPr>
      <w:r>
        <w:t xml:space="preserve">8. Platform Architecture &amp; Enterprise Readiness</w:t>
      </w:r>
    </w:p>
    <w:p>
      <w:pPr>
        <w:pStyle w:val="FirstParagraph"/>
      </w:pPr>
      <w:r>
        <w:t xml:space="preserve">The preceding chapter established that collaborative decision-making is the defining capability that separates modern VTA platforms from their academic predecessors. Realizing that capability at enterprise scale, however, demands an architectural foundation purpose-built for security, concurrency, and composability. Where the 2002 source document concluded with a brief software survey listing Web-HIPRE, PRIME Decisions, and Hiview as standalone desktop utilities</w:t>
      </w:r>
      <w:r>
        <w:t xml:space="preserve"> </w:t>
      </w:r>
      <w:r>
        <w:rPr>
          <w:vertAlign w:val="superscript"/>
        </w:rPr>
        <w:t xml:space="preserve">110</w:t>
      </w:r>
      <w:r>
        <w:t xml:space="preserve">, a contemporary platform must operate as globally distributed infrastructure capable of serving thousands of concurrent decision-makers across regulated industries. This chapter examines the technical architecture, security posture, and integration ecosystem required to meet that standard.</w:t>
      </w:r>
    </w:p>
    <w:bookmarkStart w:id="114" w:name="technical-architecture"/>
    <w:p>
      <w:pPr>
        <w:pStyle w:val="Heading3"/>
      </w:pPr>
      <w:r>
        <w:t xml:space="preserve">8.1 Technical Architecture</w:t>
      </w:r>
    </w:p>
    <w:bookmarkStart w:id="111" w:name="Xffd7aeb5b175a8f570ebf79a0f4dc16e46b5df8"/>
    <w:p>
      <w:pPr>
        <w:pStyle w:val="Heading4"/>
      </w:pPr>
      <w:r>
        <w:t xml:space="preserve">8.1.1 Microservices: Decomposing the Decision Stack</w:t>
      </w:r>
    </w:p>
    <w:p>
      <w:pPr>
        <w:pStyle w:val="FirstParagraph"/>
      </w:pPr>
      <w:r>
        <w:t xml:space="preserve">A monolithic application cannot simultaneously serve real-time collaborative tree editing, computationally intensive sensitivity analysis, and AI-assisted preference elicitation while maintaining sub-second responsiveness. Domain-Driven Design (DDD) principles suggest modeling services around bounded contexts—decision engine, elicitation UI, sensitivity calculator, collaboration service, and AI assistant—each with independent data storage, deployment pipelines, and scaling policies</w:t>
      </w:r>
      <w:r>
        <w:t xml:space="preserve"> </w:t>
      </w:r>
      <w:r>
        <w:rPr>
          <w:vertAlign w:val="superscript"/>
        </w:rPr>
        <w:t xml:space="preserve">16</w:t>
      </w:r>
      <w:r>
        <w:t xml:space="preserve">. Microservices architecture enables exactly this decomposition: Walmart’s migration to microservices eliminated downtime during seasonal peaks and increased mobile orders by 98%, demonstrating the operational payoff of independent service scaling</w:t>
      </w:r>
      <w:r>
        <w:t xml:space="preserve"> </w:t>
      </w:r>
      <w:r>
        <w:rPr>
          <w:vertAlign w:val="superscript"/>
        </w:rPr>
        <w:t xml:space="preserve">111</w:t>
      </w:r>
      <w:r>
        <w:t xml:space="preserve">. For a VTA platform, the implication is clear: the sensitivity calculator can scale horizontally when a boardroom launches Monte Carlo simulations, while the collaboration service scales orthogonally based on concurrent editorial sessions.</w:t>
      </w:r>
    </w:p>
    <w:p>
      <w:pPr>
        <w:pStyle w:val="BodyText"/>
      </w:pPr>
      <w:r>
        <w:t xml:space="preserve">Kubernetes serves as the standard orchestration layer, with the platform growing from $2.57 billion (2025) to a projected $8.41 billion (2031) and 70% of cloud-native organizations already deploying it in production</w:t>
      </w:r>
      <w:r>
        <w:t xml:space="preserve"> </w:t>
      </w:r>
      <w:r>
        <w:rPr>
          <w:vertAlign w:val="superscript"/>
        </w:rPr>
        <w:t xml:space="preserve">112</w:t>
      </w:r>
      <w:r>
        <w:t xml:space="preserve">. Containerization via Docker, combined with multi-stage builds that reduce image sizes 50–90%, ensures consistent deployment across development, staging, and production environments</w:t>
      </w:r>
      <w:r>
        <w:t xml:space="preserve"> </w:t>
      </w:r>
      <w:r>
        <w:rPr>
          <w:vertAlign w:val="superscript"/>
        </w:rPr>
        <w:t xml:space="preserve">113</w:t>
      </w:r>
      <w:r>
        <w:t xml:space="preserve">. An API Gateway sits at the edge, handling request routing, JWT authentication, rate limiting, and response aggregation as the single entry point for all client and third-party traffic</w:t>
      </w:r>
      <w:r>
        <w:t xml:space="preserve"> </w:t>
      </w:r>
      <w:r>
        <w:rPr>
          <w:vertAlign w:val="superscript"/>
        </w:rPr>
        <w:t xml:space="preserve">17</w:t>
      </w:r>
      <w:r>
        <w:t xml:space="preserve">.</w:t>
      </w:r>
    </w:p>
    <w:bookmarkEnd w:id="111"/>
    <w:bookmarkStart w:id="112" w:name="Xd9697431322324650dd869151e02274c2a1f40e"/>
    <w:p>
      <w:pPr>
        <w:pStyle w:val="Heading4"/>
      </w:pPr>
      <w:r>
        <w:t xml:space="preserve">8.1.2 Real-Time Collaboration: CRDTs and the End of Lock-and-Edit</w:t>
      </w:r>
    </w:p>
    <w:p>
      <w:pPr>
        <w:pStyle w:val="FirstParagraph"/>
      </w:pPr>
      <w:r>
        <w:t xml:space="preserve">Legacy VTA tools assumed a single analyst operated the keyboard. Web-HIPRE required users to save and refresh pages to see updates; PRIME Decisions ran as a local Windows application with no networking layer at all</w:t>
      </w:r>
      <w:r>
        <w:t xml:space="preserve"> </w:t>
      </w:r>
      <w:r>
        <w:rPr>
          <w:vertAlign w:val="superscript"/>
        </w:rPr>
        <w:t xml:space="preserve">110</w:t>
      </w:r>
      <w:r>
        <w:t xml:space="preserve">. Modern enterprise decision-making demands that geographically distributed teams edit value trees and performance matrices simultaneously, with changes propagating in milliseconds.</w:t>
      </w:r>
    </w:p>
    <w:p>
      <w:pPr>
        <w:pStyle w:val="BodyText"/>
      </w:pPr>
      <w:r>
        <w:t xml:space="preserve">Two competing technologies enable this: Operational Transforms (OT), the approach underlying Google Docs’ Jupiter model, and Conflict-free Replicated Data Types (CRDTs). OT requires a central server to linearize operations in a specific order, which introduces complexity around server failover and offline support</w:t>
      </w:r>
      <w:r>
        <w:t xml:space="preserve"> </w:t>
      </w:r>
      <w:r>
        <w:rPr>
          <w:vertAlign w:val="superscript"/>
        </w:rPr>
        <w:t xml:space="preserve">11</w:t>
      </w:r>
      <w:r>
        <w:t xml:space="preserve">. CRDTs, by contrast, guarantee convergence without a central authority: each peer applies local changes immediately and merges remote changes using mathematically proven commutative operations. For new systems, CRDTs have emerged as the preferred approach—Figma, Linear, Notion, and the Yjs library all adopt them, while Google Docs retains OT primarily due to historical investment</w:t>
      </w:r>
      <w:r>
        <w:t xml:space="preserve"> </w:t>
      </w:r>
      <w:r>
        <w:rPr>
          <w:vertAlign w:val="superscript"/>
        </w:rPr>
        <w:t xml:space="preserve">11</w:t>
      </w:r>
      <w:r>
        <w:t xml:space="preserve">. Modern tools including Notion and Figma employ hybrid architectures, using OT for performance-critical paths and CRDTs for background synchronization and recovery</w:t>
      </w:r>
      <w:r>
        <w:t xml:space="preserve"> </w:t>
      </w:r>
      <w:r>
        <w:rPr>
          <w:vertAlign w:val="superscript"/>
        </w:rPr>
        <w:t xml:space="preserve">114</w:t>
      </w:r>
      <w:r>
        <w:t xml:space="preserve">.</w:t>
      </w:r>
    </w:p>
    <w:p>
      <w:pPr>
        <w:pStyle w:val="BodyText"/>
      </w:pPr>
      <w:r>
        <w:t xml:space="preserve">Yjs provides a production-ready CRDT implementation supporting shared Maps, Arrays, and Text types, offline editing, version snapshots, and undo/redo, scaling to unlimited users without a central source of truth</w:t>
      </w:r>
      <w:r>
        <w:t xml:space="preserve"> </w:t>
      </w:r>
      <w:r>
        <w:rPr>
          <w:vertAlign w:val="superscript"/>
        </w:rPr>
        <w:t xml:space="preserve">12</w:t>
      </w:r>
      <w:r>
        <w:t xml:space="preserve">. Critically, Yjs is network-agnostic: it synchronizes over WebSockets, peer-to-peer WebRTC, or managed services such as Liveblocks and Tiptap Cloud</w:t>
      </w:r>
      <w:r>
        <w:t xml:space="preserve"> </w:t>
      </w:r>
      <w:r>
        <w:rPr>
          <w:vertAlign w:val="superscript"/>
        </w:rPr>
        <w:t xml:space="preserve">115</w:t>
      </w:r>
      <w:r>
        <w:t xml:space="preserve">. A production collaborative editing system requires four components: Yjs for conflict resolution, WebSockets for bidirectional real-time communication, a document server that relays updates, and awareness features for user presence and shared cursors</w:t>
      </w:r>
      <w:r>
        <w:t xml:space="preserve"> </w:t>
      </w:r>
      <w:r>
        <w:rPr>
          <w:vertAlign w:val="superscript"/>
        </w:rPr>
        <w:t xml:space="preserve">116</w:t>
      </w:r>
      <w:r>
        <w:t xml:space="preserve">. Google Docs supports up to 100 simultaneous editors per document, with fan-out (broadcasting to 99 peers) rather than transform computation constituting the primary bottleneck</w:t>
      </w:r>
      <w:r>
        <w:t xml:space="preserve"> </w:t>
      </w:r>
      <w:r>
        <w:rPr>
          <w:vertAlign w:val="superscript"/>
        </w:rPr>
        <w:t xml:space="preserve">11</w:t>
      </w:r>
      <w:r>
        <w:t xml:space="preserve">. A VTA platform operating at similar scale can therefore support even large committee deliberations without architectural strain.</w:t>
      </w:r>
    </w:p>
    <w:bookmarkEnd w:id="112"/>
    <w:bookmarkStart w:id="113" w:name="X87de9dc7213b6f0e0d17eab534dbf9b4ab00386"/>
    <w:p>
      <w:pPr>
        <w:pStyle w:val="Heading4"/>
      </w:pPr>
      <w:r>
        <w:t xml:space="preserve">8.1.3 API-First Design: From Application to Infrastructure</w:t>
      </w:r>
    </w:p>
    <w:p>
      <w:pPr>
        <w:pStyle w:val="FirstParagraph"/>
      </w:pPr>
      <w:r>
        <w:t xml:space="preserve">The standalone UI is the showcase; API consumption drives the usage. Postman’s 2025 State of the API Report found that 82% of organizations have adopted some level of API-first approach, with 25% operating as fully API-first—a 12% increase from 2024</w:t>
      </w:r>
      <w:r>
        <w:t xml:space="preserve"> </w:t>
      </w:r>
      <w:r>
        <w:rPr>
          <w:vertAlign w:val="superscript"/>
        </w:rPr>
        <w:t xml:space="preserve">18</w:t>
      </w:r>
      <w:r>
        <w:t xml:space="preserve">. For a VTA platform, an API-first strategy means the decision engine exposes every capability—tree construction, weight elicitation, scoring, sensitivity analysis, audit logging—as RESTful or GraphQL endpoints consumable by external systems.</w:t>
      </w:r>
    </w:p>
    <w:p>
      <w:pPr>
        <w:pStyle w:val="BodyText"/>
      </w:pPr>
      <w:r>
        <w:t xml:space="preserve">This architecture pattern transforms VTA from a standalone application into decision infrastructure embedded within ERP, CRM, and BI workflows. The centralized decision service pattern, where a rules engine is wrapped as an independent microservice accessible via REST or gRPC, represents the most common integration approach in enterprise microservices</w:t>
      </w:r>
      <w:r>
        <w:t xml:space="preserve"> </w:t>
      </w:r>
      <w:r>
        <w:rPr>
          <w:vertAlign w:val="superscript"/>
        </w:rPr>
        <w:t xml:space="preserve">14</w:t>
      </w:r>
      <w:r>
        <w:t xml:space="preserve">. Scott Brinker’s 2026 composable canvas architecture positions decisioning as</w:t>
      </w:r>
      <w:r>
        <w:t xml:space="preserve"> </w:t>
      </w:r>
      <w:r>
        <w:t xml:space="preserve">“</w:t>
      </w:r>
      <w:r>
        <w:t xml:space="preserve">Ring 4</w:t>
      </w:r>
      <w:r>
        <w:t xml:space="preserve">”</w:t>
      </w:r>
      <w:r>
        <w:t xml:space="preserve">—the AI decisioning engine layer—warning that when</w:t>
      </w:r>
      <w:r>
        <w:t xml:space="preserve"> </w:t>
      </w:r>
      <w:r>
        <w:t xml:space="preserve">“</w:t>
      </w:r>
      <w:r>
        <w:t xml:space="preserve">decisioning logic lives inside individual channels and agents, it fragments</w:t>
      </w:r>
      <w:r>
        <w:t xml:space="preserve">”</w:t>
      </w:r>
      <w:r>
        <w:t xml:space="preserve"> </w:t>
      </w:r>
      <w:r>
        <w:rPr>
          <w:vertAlign w:val="superscript"/>
        </w:rPr>
        <w:t xml:space="preserve">117</w:t>
      </w:r>
      <w:r>
        <w:t xml:space="preserve">. Gartner’s 2024 Market Guide for Decision Intelligence Platforms validates this direction, identifying increasing decision complexity and the inadequacy of fragmented analytics as primary market drivers</w:t>
      </w:r>
      <w:r>
        <w:t xml:space="preserve"> </w:t>
      </w:r>
      <w:r>
        <w:rPr>
          <w:vertAlign w:val="superscript"/>
        </w:rPr>
        <w:t xml:space="preserve">118</w:t>
      </w:r>
      <w:r>
        <w:t xml:space="preserve">.</w:t>
      </w:r>
    </w:p>
    <w:p>
      <w:pPr>
        <w:pStyle w:val="BodyText"/>
      </w:pPr>
      <w:r>
        <w:t xml:space="preserve">The following table maps the platform’s microservices to their enabling technologies and core functions: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Enabling Technology</w:t>
            </w:r>
          </w:p>
        </w:tc>
        <w:tc>
          <w:tcPr/>
          <w:p>
            <w:pPr>
              <w:pStyle w:val="Compact"/>
              <w:jc w:val="left"/>
            </w:pPr>
            <w:r>
              <w:t xml:space="preserve">Core Function</w:t>
            </w:r>
          </w:p>
        </w:tc>
      </w:tr>
      <w:tr>
        <w:tc>
          <w:tcPr/>
          <w:p>
            <w:pPr>
              <w:pStyle w:val="Compact"/>
              <w:jc w:val="left"/>
            </w:pPr>
            <w:r>
              <w:t xml:space="preserve">Decision Engine</w:t>
            </w:r>
          </w:p>
        </w:tc>
        <w:tc>
          <w:tcPr/>
          <w:p>
            <w:pPr>
              <w:pStyle w:val="Compact"/>
              <w:jc w:val="left"/>
            </w:pPr>
            <w:r>
              <w:t xml:space="preserve">Node.js / Python, gRPC</w:t>
            </w:r>
          </w:p>
        </w:tc>
        <w:tc>
          <w:tcPr/>
          <w:p>
            <w:pPr>
              <w:pStyle w:val="Compact"/>
              <w:jc w:val="left"/>
            </w:pPr>
            <w:r>
              <w:t xml:space="preserve">Additive/multiplicative value scoring, dominance checking, consistency validation</w:t>
            </w:r>
          </w:p>
        </w:tc>
      </w:tr>
      <w:tr>
        <w:tc>
          <w:tcPr/>
          <w:p>
            <w:pPr>
              <w:pStyle w:val="Compact"/>
              <w:jc w:val="left"/>
            </w:pPr>
            <w:r>
              <w:t xml:space="preserve">Elicitation UI</w:t>
            </w:r>
          </w:p>
        </w:tc>
        <w:tc>
          <w:tcPr/>
          <w:p>
            <w:pPr>
              <w:pStyle w:val="Compact"/>
              <w:jc w:val="left"/>
            </w:pPr>
            <w:r>
              <w:t xml:space="preserve">React, D3.js, Visx</w:t>
            </w:r>
          </w:p>
        </w:tc>
        <w:tc>
          <w:tcPr/>
          <w:p>
            <w:pPr>
              <w:pStyle w:val="Compact"/>
              <w:jc w:val="left"/>
            </w:pPr>
            <w:r>
              <w:t xml:space="preserve">Interactive value tree rendering, drag-and-drop hierarchy editing, slider-based weight input</w:t>
            </w:r>
            <w:r>
              <w:t xml:space="preserve"> </w:t>
            </w:r>
            <w:r>
              <w:rPr>
                <w:vertAlign w:val="superscript"/>
              </w:rPr>
              <w:t xml:space="preserve">119</w:t>
            </w:r>
            <w:r>
              <w:t xml:space="preserve"> </w:t>
            </w:r>
            <w:r>
              <w:rPr>
                <w:vertAlign w:val="superscript"/>
              </w:rPr>
              <w:t xml:space="preserve">24</w:t>
            </w:r>
          </w:p>
        </w:tc>
      </w:tr>
      <w:tr>
        <w:tc>
          <w:tcPr/>
          <w:p>
            <w:pPr>
              <w:pStyle w:val="Compact"/>
              <w:jc w:val="left"/>
            </w:pPr>
            <w:r>
              <w:t xml:space="preserve">Sensitivity Calculator</w:t>
            </w:r>
          </w:p>
        </w:tc>
        <w:tc>
          <w:tcPr/>
          <w:p>
            <w:pPr>
              <w:pStyle w:val="Compact"/>
              <w:jc w:val="left"/>
            </w:pPr>
            <w:r>
              <w:t xml:space="preserve">Rust / Go, WebAssembly</w:t>
            </w:r>
          </w:p>
        </w:tc>
        <w:tc>
          <w:tcPr/>
          <w:p>
            <w:pPr>
              <w:pStyle w:val="Compact"/>
              <w:jc w:val="left"/>
            </w:pPr>
            <w:r>
              <w:t xml:space="preserve">Real-time one-way and multi-way sensitivity analysis, tornado diagrams, scenario comparison</w:t>
            </w:r>
          </w:p>
        </w:tc>
      </w:tr>
      <w:tr>
        <w:tc>
          <w:tcPr/>
          <w:p>
            <w:pPr>
              <w:pStyle w:val="Compact"/>
              <w:jc w:val="left"/>
            </w:pPr>
            <w:r>
              <w:t xml:space="preserve">Collaboration Service</w:t>
            </w:r>
          </w:p>
        </w:tc>
        <w:tc>
          <w:tcPr/>
          <w:p>
            <w:pPr>
              <w:pStyle w:val="Compact"/>
              <w:jc w:val="left"/>
            </w:pPr>
            <w:r>
              <w:t xml:space="preserve">Yjs CRDTs, WebSockets, Redis Pub/Sub</w:t>
            </w:r>
          </w:p>
        </w:tc>
        <w:tc>
          <w:tcPr/>
          <w:p>
            <w:pPr>
              <w:pStyle w:val="Compact"/>
              <w:jc w:val="left"/>
            </w:pPr>
            <w:r>
              <w:t xml:space="preserve">Concurrent tree editing, awareness cursors, conflict resolution, session management</w:t>
            </w:r>
            <w:r>
              <w:t xml:space="preserve"> </w:t>
            </w:r>
            <w:r>
              <w:rPr>
                <w:vertAlign w:val="superscript"/>
              </w:rPr>
              <w:t xml:space="preserve">12</w:t>
            </w:r>
            <w:r>
              <w:t xml:space="preserve"> </w:t>
            </w:r>
            <w:r>
              <w:rPr>
                <w:vertAlign w:val="superscript"/>
              </w:rPr>
              <w:t xml:space="preserve">116</w:t>
            </w:r>
          </w:p>
        </w:tc>
      </w:tr>
      <w:tr>
        <w:tc>
          <w:tcPr/>
          <w:p>
            <w:pPr>
              <w:pStyle w:val="Compact"/>
              <w:jc w:val="left"/>
            </w:pPr>
            <w:r>
              <w:t xml:space="preserve">AI Assistant</w:t>
            </w:r>
          </w:p>
        </w:tc>
        <w:tc>
          <w:tcPr/>
          <w:p>
            <w:pPr>
              <w:pStyle w:val="Compact"/>
              <w:jc w:val="left"/>
            </w:pPr>
            <w:r>
              <w:t xml:space="preserve">OpenAI / Anthropic API, LangChain</w:t>
            </w:r>
          </w:p>
        </w:tc>
        <w:tc>
          <w:tcPr/>
          <w:p>
            <w:pPr>
              <w:pStyle w:val="Compact"/>
              <w:jc w:val="left"/>
            </w:pPr>
            <w:r>
              <w:t xml:space="preserve">Objective generation from documents, bias detection, weight recommendation, natural language explanation</w:t>
            </w:r>
          </w:p>
        </w:tc>
      </w:tr>
      <w:tr>
        <w:tc>
          <w:tcPr/>
          <w:p>
            <w:pPr>
              <w:pStyle w:val="Compact"/>
              <w:jc w:val="left"/>
            </w:pPr>
            <w:r>
              <w:t xml:space="preserve">API Gateway</w:t>
            </w:r>
          </w:p>
        </w:tc>
        <w:tc>
          <w:tcPr/>
          <w:p>
            <w:pPr>
              <w:pStyle w:val="Compact"/>
              <w:jc w:val="left"/>
            </w:pPr>
            <w:r>
              <w:t xml:space="preserve">Kong / Envoy</w:t>
            </w:r>
          </w:p>
        </w:tc>
        <w:tc>
          <w:tcPr/>
          <w:p>
            <w:pPr>
              <w:pStyle w:val="Compact"/>
              <w:jc w:val="left"/>
            </w:pPr>
            <w:r>
              <w:t xml:space="preserve">Authentication, rate limiting, request routing, caching, load balancing</w:t>
            </w:r>
            <w:r>
              <w:t xml:space="preserve"> </w:t>
            </w:r>
            <w:r>
              <w:rPr>
                <w:vertAlign w:val="superscript"/>
              </w:rPr>
              <w:t xml:space="preserve">17</w:t>
            </w:r>
          </w:p>
        </w:tc>
      </w:tr>
      <w:tr>
        <w:tc>
          <w:tcPr/>
          <w:p>
            <w:pPr>
              <w:pStyle w:val="Compact"/>
              <w:jc w:val="left"/>
            </w:pPr>
            <w:r>
              <w:t xml:space="preserve">Tenant Isolation</w:t>
            </w:r>
          </w:p>
        </w:tc>
        <w:tc>
          <w:tcPr/>
          <w:p>
            <w:pPr>
              <w:pStyle w:val="Compact"/>
              <w:jc w:val="left"/>
            </w:pPr>
            <w:r>
              <w:t xml:space="preserve">PostgreSQL RLS, namespace-per-tenant</w:t>
            </w:r>
          </w:p>
        </w:tc>
        <w:tc>
          <w:tcPr/>
          <w:p>
            <w:pPr>
              <w:pStyle w:val="Compact"/>
              <w:jc w:val="left"/>
            </w:pPr>
            <w:r>
              <w:t xml:space="preserve">Row-level security policies, encrypted data partitioning, cross-tenant leak prevention</w:t>
            </w:r>
            <w:r>
              <w:t xml:space="preserve"> </w:t>
            </w:r>
            <w:r>
              <w:rPr>
                <w:vertAlign w:val="superscript"/>
              </w:rPr>
              <w:t xml:space="preserve">120</w:t>
            </w:r>
          </w:p>
        </w:tc>
      </w:tr>
      <w:tr>
        <w:tc>
          <w:tcPr/>
          <w:p>
            <w:pPr>
              <w:pStyle w:val="Compact"/>
              <w:jc w:val="left"/>
            </w:pPr>
            <w:r>
              <w:t xml:space="preserve">Integration Hub</w:t>
            </w:r>
          </w:p>
        </w:tc>
        <w:tc>
          <w:tcPr/>
          <w:p>
            <w:pPr>
              <w:pStyle w:val="Compact"/>
              <w:jc w:val="left"/>
            </w:pPr>
            <w:r>
              <w:t xml:space="preserve">Webhooks, EventBridge, iPaaS adapters</w:t>
            </w:r>
          </w:p>
        </w:tc>
        <w:tc>
          <w:tcPr/>
          <w:p>
            <w:pPr>
              <w:pStyle w:val="Compact"/>
              <w:jc w:val="left"/>
            </w:pPr>
            <w:r>
              <w:t xml:space="preserve">Bidirectional sync with Salesforce, SAP, Workday; downstream BI feed; workflow triggers</w:t>
            </w:r>
            <w:r>
              <w:t xml:space="preserve"> </w:t>
            </w:r>
            <w:r>
              <w:rPr>
                <w:vertAlign w:val="superscript"/>
              </w:rPr>
              <w:t xml:space="preserve">121</w:t>
            </w:r>
          </w:p>
        </w:tc>
      </w:tr>
    </w:tbl>
    <w:p>
      <w:pPr>
        <w:pStyle w:val="BodyText"/>
      </w:pPr>
      <w:r>
        <w:t xml:space="preserve">This architecture departs radically from the legacy toolset. Web-HIPRE offered static HTML forms with server-side page refreshes; PRIME Decisions required local installation and manual file exchange</w:t>
      </w:r>
      <w:r>
        <w:t xml:space="preserve"> </w:t>
      </w:r>
      <w:r>
        <w:rPr>
          <w:vertAlign w:val="superscript"/>
        </w:rPr>
        <w:t xml:space="preserve">110</w:t>
      </w:r>
      <w:r>
        <w:t xml:space="preserve">. The modern stack delivers interactive D3 visualizations with real-time collaborative editing and horizontally scalable decision computation—a generational leap that compresses the decision cycle from weeks to hours.</w:t>
      </w:r>
    </w:p>
    <w:bookmarkEnd w:id="113"/>
    <w:bookmarkEnd w:id="114"/>
    <w:bookmarkStart w:id="118" w:name="security-and-compliance"/>
    <w:p>
      <w:pPr>
        <w:pStyle w:val="Heading3"/>
      </w:pPr>
      <w:r>
        <w:t xml:space="preserve">8.2 Security and Compliance</w:t>
      </w:r>
    </w:p>
    <w:bookmarkStart w:id="115" w:name="enterprise-security-as-competitive-moat"/>
    <w:p>
      <w:pPr>
        <w:pStyle w:val="Heading4"/>
      </w:pPr>
      <w:r>
        <w:t xml:space="preserve">8.2.1 Enterprise Security as Competitive Moat</w:t>
      </w:r>
    </w:p>
    <w:p>
      <w:pPr>
        <w:pStyle w:val="FirstParagraph"/>
      </w:pPr>
      <w:r>
        <w:t xml:space="preserve">For regulated industries—healthcare, financial services, government—security certifications are not checkboxes but prerequisites for procurement. SOC 2 Type II, which assesses operational effectiveness over 6–12 months across five Trust Services Criteria (Security, Availability, Processing Integrity, Confidentiality, Privacy), has become the de facto standard for SaaS security</w:t>
      </w:r>
      <w:r>
        <w:t xml:space="preserve"> </w:t>
      </w:r>
      <w:r>
        <w:rPr>
          <w:vertAlign w:val="superscript"/>
        </w:rPr>
        <w:t xml:space="preserve">9</w:t>
      </w:r>
      <w:r>
        <w:t xml:space="preserve">. Gartner’s 2024 Security Compliance Report indicates that 78% of enterprise clients now require SOC 2 Type II certification from their service providers</w:t>
      </w:r>
      <w:r>
        <w:t xml:space="preserve"> </w:t>
      </w:r>
      <w:r>
        <w:rPr>
          <w:vertAlign w:val="superscript"/>
        </w:rPr>
        <w:t xml:space="preserve">122</w:t>
      </w:r>
      <w:r>
        <w:t xml:space="preserve">, and SOC 2 adoption surged 40% in 2024 as companies rushed to meet client demands</w:t>
      </w:r>
      <w:r>
        <w:t xml:space="preserve"> </w:t>
      </w:r>
      <w:r>
        <w:rPr>
          <w:vertAlign w:val="superscript"/>
        </w:rPr>
        <w:t xml:space="preserve">123</w:t>
      </w:r>
      <w:r>
        <w:t xml:space="preserve">. A VTA platform processing strategic decisions for Fortune 500 firms must attain this certification prior to market entry.</w:t>
      </w:r>
    </w:p>
    <w:p>
      <w:pPr>
        <w:pStyle w:val="BodyText"/>
      </w:pPr>
      <w:r>
        <w:t xml:space="preserve">Beyond SOC 2, the platform must address jurisdiction-specific privacy mandates. GDPR requires data minimization, encryption (AES-256 at rest, TLS 1.2+ in transit), and breach notification within 72 hours</w:t>
      </w:r>
      <w:r>
        <w:t xml:space="preserve"> </w:t>
      </w:r>
      <w:r>
        <w:rPr>
          <w:vertAlign w:val="superscript"/>
        </w:rPr>
        <w:t xml:space="preserve">10</w:t>
      </w:r>
      <w:r>
        <w:t xml:space="preserve">. HIPAA imposes additional safeguards for healthcare decision-making contexts, including Business Associate Agreements (BAAs) with all subprocessors. Despite clear security mandates, Single Sign-On (SSO) adoption remains low—the average organization has secured only 21% of applications behind SSO, dropping to 12% for enterprises with 10,000+ employees</w:t>
      </w:r>
      <w:r>
        <w:t xml:space="preserve"> </w:t>
      </w:r>
      <w:r>
        <w:rPr>
          <w:vertAlign w:val="superscript"/>
        </w:rPr>
        <w:t xml:space="preserve">31</w:t>
      </w:r>
      <w:r>
        <w:t xml:space="preserve">. A VTA platform that mandates SSO/SAML authentication and enforces role-based access control (RBAC) with quarterly access reviews therefore operates at a higher security tier than most incumbent tools</w:t>
      </w:r>
      <w:r>
        <w:t xml:space="preserve"> </w:t>
      </w:r>
      <w:r>
        <w:rPr>
          <w:vertAlign w:val="superscript"/>
        </w:rPr>
        <w:t xml:space="preserve">31</w:t>
      </w:r>
      <w:r>
        <w:t xml:space="preserve">.</w:t>
      </w:r>
    </w:p>
    <w:bookmarkEnd w:id="115"/>
    <w:bookmarkStart w:id="116" w:name="Xb3df2010c4e5754966893459103ecd5d123452e"/>
    <w:p>
      <w:pPr>
        <w:pStyle w:val="Heading4"/>
      </w:pPr>
      <w:r>
        <w:t xml:space="preserve">8.2.2 Decision Governance: Auditability as a Feature</w:t>
      </w:r>
    </w:p>
    <w:p>
      <w:pPr>
        <w:pStyle w:val="FirstParagraph"/>
      </w:pPr>
      <w:r>
        <w:t xml:space="preserve">Strategic decisions carry liability. When a procurement committee selects a vendor, or a hospital committee approves a capital equipment purchase, the rationale must be defensible to auditors, regulators, and courts. The platform must therefore capture immutable audit trails: who modified which objective weight, when a sensitivity threshold triggered a recommendation change, and how participant inputs converged or diverged during group elicitation. Approval workflows ensure that final recommendations receive sign-off from authorized decision-makers before execution, while data retention policies enforce automatic archival or purging in accordance with organizational governance standards and regulatory requirements.</w:t>
      </w:r>
    </w:p>
    <w:bookmarkEnd w:id="116"/>
    <w:bookmarkStart w:id="117" w:name="multi-tenant-isolation-postgresql-rls"/>
    <w:p>
      <w:pPr>
        <w:pStyle w:val="Heading4"/>
      </w:pPr>
      <w:r>
        <w:t xml:space="preserve">8.2.3 Multi-Tenant Isolation: PostgreSQL RLS</w:t>
      </w:r>
    </w:p>
    <w:p>
      <w:pPr>
        <w:pStyle w:val="FirstParagraph"/>
      </w:pPr>
      <w:r>
        <w:t xml:space="preserve">Multi-tenant SaaS architectures employ three primary isolation models: database-per-tenant for strong isolation, schema-per-tenant for balanced utilization, and shared-schema with tenant-scoped access controls for cost efficiency</w:t>
      </w:r>
      <w:r>
        <w:t xml:space="preserve"> </w:t>
      </w:r>
      <w:r>
        <w:rPr>
          <w:vertAlign w:val="superscript"/>
        </w:rPr>
        <w:t xml:space="preserve">124</w:t>
      </w:r>
      <w:r>
        <w:t xml:space="preserve">. Many platforms at scale adopt tiered strategies: shared schema for entry-tier customers, schema-per-tenant for mid-market, and database-per-tenant for enterprise engagements requiring compliance certification</w:t>
      </w:r>
      <w:r>
        <w:t xml:space="preserve"> </w:t>
      </w:r>
      <w:r>
        <w:rPr>
          <w:vertAlign w:val="superscript"/>
        </w:rPr>
        <w:t xml:space="preserve">124</w:t>
      </w:r>
      <w:r>
        <w:t xml:space="preserve">.</w:t>
      </w:r>
    </w:p>
    <w:p>
      <w:pPr>
        <w:pStyle w:val="BodyText"/>
      </w:pPr>
      <w:r>
        <w:t xml:space="preserve">PostgreSQL Row-Level Security (RLS) provides database-enforced isolation that protects multi-tenant applications even when application code contains bugs—preventing cross-tenant data leaks when developers inadvertently omit</w:t>
      </w:r>
      <w:r>
        <w:t xml:space="preserve"> </w:t>
      </w:r>
      <w:r>
        <w:rPr>
          <w:rStyle w:val="VerbatimChar"/>
        </w:rPr>
        <w:t xml:space="preserve">WHERE</w:t>
      </w:r>
      <w:r>
        <w:t xml:space="preserve"> </w:t>
      </w:r>
      <w:r>
        <w:t xml:space="preserve">clauses</w:t>
      </w:r>
      <w:r>
        <w:t xml:space="preserve"> </w:t>
      </w:r>
      <w:r>
        <w:rPr>
          <w:vertAlign w:val="superscript"/>
        </w:rPr>
        <w:t xml:space="preserve">120</w:t>
      </w:r>
      <w:r>
        <w:t xml:space="preserve">. Unlike application-layer filtering, RLS policies are enforced by the database engine itself, adding a defense-in-depth layer that satisfies enterprise security reviews. For a VTA platform where one tenant’s strategic alternatives and weight assignments constitute materially sensitive information, this capability is non-negotiable.</w:t>
      </w:r>
    </w:p>
    <w:bookmarkEnd w:id="117"/>
    <w:bookmarkEnd w:id="118"/>
    <w:bookmarkStart w:id="122" w:name="integration-ecosystem"/>
    <w:p>
      <w:pPr>
        <w:pStyle w:val="Heading3"/>
      </w:pPr>
      <w:r>
        <w:t xml:space="preserve">8.3 Integration Ecosystem</w:t>
      </w:r>
    </w:p>
    <w:bookmarkStart w:id="119" w:name="X2ff4a3e0b886068fff0faa3a9226ee3116cdf1d"/>
    <w:p>
      <w:pPr>
        <w:pStyle w:val="Heading4"/>
      </w:pPr>
      <w:r>
        <w:t xml:space="preserve">8.3.1 Data Connectors: Meeting Enterprise Systems Where They Live</w:t>
      </w:r>
    </w:p>
    <w:p>
      <w:pPr>
        <w:pStyle w:val="FirstParagraph"/>
      </w:pPr>
      <w:r>
        <w:t xml:space="preserve">Decision-making does not occur in a vacuum. A VTA platform must ingest data from the systems that already house organizational truth: Salesforce for opportunity scoring, SAP for procurement alternatives, Workday for talent evaluation, Microsoft 365 and Google Workspace for document-driven objective extraction. Enterprises follow three primary integration paths: API integration (REST/GraphQL, Webhooks) for fine-grained control, iPaaS (MuleSoft, Boomi, Azure Logic Apps) for rapid multi-system integration, and middleware for specialized needs</w:t>
      </w:r>
      <w:r>
        <w:t xml:space="preserve"> </w:t>
      </w:r>
      <w:r>
        <w:rPr>
          <w:vertAlign w:val="superscript"/>
        </w:rPr>
        <w:t xml:space="preserve">121</w:t>
      </w:r>
      <w:r>
        <w:t xml:space="preserve">. Modern ERP architecture must be API-first, exposing finance, HR, CRM, and operations modules through secure REST or GraphQL endpoints</w:t>
      </w:r>
      <w:r>
        <w:t xml:space="preserve"> </w:t>
      </w:r>
      <w:r>
        <w:rPr>
          <w:vertAlign w:val="superscript"/>
        </w:rPr>
        <w:t xml:space="preserve">125</w:t>
      </w:r>
      <w:r>
        <w:t xml:space="preserve">. The VTA platform participates in this ecosystem as both a consumer—pulling alternative attributes and performance data—and a producer, pushing decision recommendations and rationale back into operational systems.</w:t>
      </w:r>
    </w:p>
    <w:p>
      <w:pPr>
        <w:pStyle w:val="BodyText"/>
      </w:pPr>
      <w:r>
        <w:t xml:space="preserve">Real-time integration via webhooks and change data capture (CDC) pushes data immediately when source systems change, while batch integration via scheduled polling accommodates scenarios where minutes of lag are acceptable</w:t>
      </w:r>
      <w:r>
        <w:t xml:space="preserve"> </w:t>
      </w:r>
      <w:r>
        <w:rPr>
          <w:vertAlign w:val="superscript"/>
        </w:rPr>
        <w:t xml:space="preserve">126</w:t>
      </w:r>
      <w:r>
        <w:t xml:space="preserve">. For decision contexts involving live operational data—such as re-ranking vendor alternatives when a Salesforce opportunity stage advances—real-time feeds are essential. For quarterly strategic planning reviews, batch synchronization suffices.</w:t>
      </w:r>
    </w:p>
    <w:bookmarkEnd w:id="119"/>
    <w:bookmarkStart w:id="120" w:name="X336954572496fcecce1e826b2185093598e0338"/>
    <w:p>
      <w:pPr>
        <w:pStyle w:val="Heading4"/>
      </w:pPr>
      <w:r>
        <w:t xml:space="preserve">8.3.2 BI Integration: Extending Decision Intelligence into Visualization</w:t>
      </w:r>
    </w:p>
    <w:p>
      <w:pPr>
        <w:pStyle w:val="FirstParagraph"/>
      </w:pPr>
      <w:r>
        <w:t xml:space="preserve">The value tree and performance matrix are analytical constructs, but organizational stakeholders consume insights through familiar BI interfaces. Native connectors for Tableau, Power BI, Looker, and Qlik enable decision outputs—weighted scores, sensitivity ranges, dominance structures—to flow into executive dashboards without manual export or CSV intermediation. This integration path leverages the API-first architecture: the decision engine publishes structured JSON that BI tools consume via authenticated endpoints, transforming raw decision data into board-ready visual narratives. The result is a continuous feedback loop in which operational data informs decision models and decision outputs, in turn, guide operational priorities.</w:t>
      </w:r>
    </w:p>
    <w:bookmarkEnd w:id="120"/>
    <w:bookmarkStart w:id="121" w:name="X18d47c8142830699712402279a6175ad8b11a41"/>
    <w:p>
      <w:pPr>
        <w:pStyle w:val="Heading4"/>
      </w:pPr>
      <w:r>
        <w:t xml:space="preserve">8.3.3 Workflow Integration: Embedding Decisions into Operating Rhythm</w:t>
      </w:r>
    </w:p>
    <w:p>
      <w:pPr>
        <w:pStyle w:val="FirstParagraph"/>
      </w:pPr>
      <w:r>
        <w:t xml:space="preserve">Decisions trigger actions. A recommendation to proceed with a vendor selection should automatically notify procurement via Slack or Microsoft Teams, create a Jira ticket for contract negotiation, and update the opportunity record in Salesforce. Workflow integrations through platforms like Zapier and Make enable non-technical administrators to construct these orchestrations without engineering intervention. The decision engine exposes webhooks for key state transitions—</w:t>
      </w:r>
      <w:r>
        <w:t xml:space="preserve">“</w:t>
      </w:r>
      <w:r>
        <w:t xml:space="preserve">recommendation finalized,</w:t>
      </w:r>
      <w:r>
        <w:t xml:space="preserve">”</w:t>
      </w:r>
      <w:r>
        <w:t xml:space="preserve"> </w:t>
      </w:r>
      <w:r>
        <w:t xml:space="preserve">“</w:t>
      </w:r>
      <w:r>
        <w:t xml:space="preserve">sensitivity threshold exceeded,</w:t>
      </w:r>
      <w:r>
        <w:t xml:space="preserve">”</w:t>
      </w:r>
      <w:r>
        <w:t xml:space="preserve"> </w:t>
      </w:r>
      <w:r>
        <w:t xml:space="preserve">“</w:t>
      </w:r>
      <w:r>
        <w:t xml:space="preserve">group consensus reached</w:t>
      </w:r>
      <w:r>
        <w:t xml:space="preserve">”</w:t>
      </w:r>
      <w:r>
        <w:t xml:space="preserve">—that trigger downstream automations across the enterprise toolchain.</w:t>
      </w:r>
    </w:p>
    <w:p>
      <w:pPr>
        <w:pStyle w:val="BodyText"/>
      </w:pPr>
      <w:r>
        <w:t xml:space="preserve">Server-Sent Events (SSE) complement this architecture for one-way dashboard updates, offering built-in event replay, automatic reconnection, and better corporate firewall compatibility than WebSockets</w:t>
      </w:r>
      <w:r>
        <w:t xml:space="preserve"> </w:t>
      </w:r>
      <w:r>
        <w:rPr>
          <w:vertAlign w:val="superscript"/>
        </w:rPr>
        <w:t xml:space="preserve">37</w:t>
      </w:r>
      <w:r>
        <w:t xml:space="preserve">. WebSockets remain the transport of choice for bidirectional collaborative editing, but SSE provides a simpler, more robust channel for broadcasting decision progress to passive observers in large meetings.</w:t>
      </w:r>
    </w:p>
    <w:p>
      <w:pPr>
        <w:pStyle w:val="BodyText"/>
      </w:pPr>
      <w:r>
        <w:t xml:space="preserve">Collectively, these architectural choices—microservices decomposition, CRDT-based collaboration, API-first design, defense-in-depth security, and comprehensive integration—transform Value Tree Analysis from an academic methodology practiced by trained specialists into enterprise infrastructure available to every knowledge worker. The platform does not merely digitize the 2002 workflow; it redefines where, when, and by whom structured decisions can be made. For the CTO evaluating build-versus-buy options, the architecture outlined here establishes both a technical blueprint and a competitive benchmark: any decision intelligence platform that lacks these capabilities is building on a foundation that the market has already left behind.</w:t>
      </w:r>
    </w:p>
    <w:p>
      <w:r>
        <w:pict>
          <v:rect style="width:0;height:1.5pt" o:hralign="center" o:hrstd="t" o:hr="t"/>
        </w:pict>
      </w:r>
    </w:p>
    <w:bookmarkEnd w:id="121"/>
    <w:bookmarkEnd w:id="122"/>
    <w:bookmarkEnd w:id="123"/>
    <w:bookmarkStart w:id="137" w:name="implementation-roadmap-strategic-outlook"/>
    <w:p>
      <w:pPr>
        <w:pStyle w:val="Heading2"/>
      </w:pPr>
      <w:r>
        <w:t xml:space="preserve">9. Implementation Roadmap &amp; Strategic Outlook</w:t>
      </w:r>
    </w:p>
    <w:p>
      <w:pPr>
        <w:pStyle w:val="FirstParagraph"/>
      </w:pPr>
      <w:r>
        <w:t xml:space="preserve">The preceding chapters have established that Value Tree Analysis (VTA) translates into a cloud-native SaaS workflow across every dimension—from AI-assisted problem structuring to real-time collaborative sensitivity analysis. The research validates both the market opportunity and the technical feasibility. What remains is a concrete path from concept to platform, grounded in the capabilities already demonstrated by existing tools and the methodological requirements inherited from the 2002 academic framework. Insight 10 from the cross-dimensional analysis crystallizes this perspective: the original VTA document provides not merely theoretical background but a complete, chapter-by-chapter product roadmap</w:t>
      </w:r>
      <w:r>
        <w:rPr>
          <w:vertAlign w:val="superscript"/>
        </w:rPr>
        <w:t xml:space="preserve">3</w:t>
      </w:r>
      <w:r>
        <w:t xml:space="preserve">. Each section of the source material maps to a feature module; every method described—SMART, SWING, AHP, PRIME—constitutes a feature set; the behavioral issues documented are the UX constraints; and the software discussion is the competitive analysis waiting to be written.</w:t>
      </w:r>
    </w:p>
    <w:p>
      <w:pPr>
        <w:pStyle w:val="BodyText"/>
      </w:pPr>
      <w:r>
        <w:t xml:space="preserve">This chapter presents a phased implementation plan, positions the platform against adjacent categories, and articulates the long-term strategic vision: decision infrastructure as a service.</w:t>
      </w:r>
    </w:p>
    <w:bookmarkStart w:id="128" w:name="phased-implementation"/>
    <w:p>
      <w:pPr>
        <w:pStyle w:val="Heading3"/>
      </w:pPr>
      <w:r>
        <w:t xml:space="preserve">9.1 Phased Implementation</w:t>
      </w:r>
    </w:p>
    <w:p>
      <w:pPr>
        <w:pStyle w:val="FirstParagraph"/>
      </w:pPr>
      <w:r>
        <w:t xml:space="preserve">A four-phase rollout strategy balances time-to-value with architectural integrity. Each phase delivers a self-contained product increment while building foundations for subsequent capabilities. The sequence reflects a deliberate ordering constraint: single-user functionality must be validated before multi-user collaboration; collaboration must be stable before AI assistance can leverage aggregate behavioral data; and AI-enhanced workflows must mature before enterprise governance and API access can expose them at scale.</w:t>
      </w:r>
    </w:p>
    <w:bookmarkStart w:id="124" w:name="X74a299064879ff03cedad6e48491c93c9851fc1"/>
    <w:p>
      <w:pPr>
        <w:pStyle w:val="Heading4"/>
      </w:pPr>
      <w:r>
        <w:t xml:space="preserve">9.1.1 Phase 1 (MVP): Decision Canvas, Basic Value Tree Builder, Direct Rating, SMART Weights, Single-User</w:t>
      </w:r>
    </w:p>
    <w:p>
      <w:pPr>
        <w:pStyle w:val="FirstParagraph"/>
      </w:pPr>
      <w:r>
        <w:t xml:space="preserve">The minimum viable product establishes the core Decision Stack architecture: a decision canvas for context framing, an interactive value tree builder for hierarchical modeling, direct rating sliders for value function elicitation, SMART swing-weighting for criteria prioritization, and a performance matrix for alternative scoring. This phase targets individual decision analysts and consultants who need a modern replacement for desktop tools such as Web-HIPRE and Hiview. The value tree visualization serves as the signature UI pattern—the central artifact around which all other features orbit. Tree visualization components are production-ready (React D3 Tree, Nivo, ECharts)</w:t>
      </w:r>
      <w:r>
        <w:rPr>
          <w:vertAlign w:val="superscript"/>
        </w:rPr>
        <w:t xml:space="preserve">8</w:t>
      </w:r>
      <w:r>
        <w:t xml:space="preserve">; decision canvas templates draw from proven patterns in Miro and Notion</w:t>
      </w:r>
      <w:r>
        <w:rPr>
          <w:vertAlign w:val="superscript"/>
        </w:rPr>
        <w:t xml:space="preserve">4</w:t>
      </w:r>
      <w:r>
        <w:t xml:space="preserve">; and direct rating via sliders is a solved interface problem at enterprise scale</w:t>
      </w:r>
      <w:r>
        <w:rPr>
          <w:vertAlign w:val="superscript"/>
        </w:rPr>
        <w:t xml:space="preserve">5</w:t>
      </w:r>
      <w:r>
        <w:t xml:space="preserve">. SMART weighting provides the most accessible entry point for users new to structured decision analysis.</w:t>
      </w:r>
    </w:p>
    <w:p>
      <w:pPr>
        <w:pStyle w:val="BodyText"/>
      </w:pPr>
      <w:r>
        <w:t xml:space="preserve">Success metrics for Phase 1 focus on engagement depth: time spent in active tree editing, completion rate of end-to-end decision workflows, and user-reported substitution for spreadsheet-based analysis. The target is not mass adoption but validated product-market fit with decision analysts who can champion expansion within their organizations.</w:t>
      </w:r>
    </w:p>
    <w:bookmarkEnd w:id="124"/>
    <w:bookmarkStart w:id="125" w:name="Xbe0a1ea5bcb59cc5946d108fad88044efd1ffbc"/>
    <w:p>
      <w:pPr>
        <w:pStyle w:val="Heading4"/>
      </w:pPr>
      <w:r>
        <w:t xml:space="preserve">9.1.2 Phase 2 (Collaboration): Multi-User Editing, SWING/AHP Methods, Comments, Basic Sensitivity</w:t>
      </w:r>
    </w:p>
    <w:p>
      <w:pPr>
        <w:pStyle w:val="FirstParagraph"/>
      </w:pPr>
      <w:r>
        <w:t xml:space="preserve">Phase 2 transforms the single-user tool into a collaborative platform. CRDT-based real-time editing enables simultaneous value tree construction by multiple stakeholders. The Yjs library provides production-ready conflict resolution, with proven scaling in Figma’s architecture achieving sub-600-millisecond synchronization</w:t>
      </w:r>
      <w:r>
        <w:rPr>
          <w:vertAlign w:val="superscript"/>
        </w:rPr>
        <w:t xml:space="preserve">54</w:t>
      </w:r>
      <w:r>
        <w:t xml:space="preserve">. Role-based access control implements differentiated permissions: analysts retain full model access, subject matter experts contribute criteria-specific input, approvers hold sign-off authority, and observers maintain read-only visibility</w:t>
      </w:r>
      <w:r>
        <w:rPr>
          <w:vertAlign w:val="superscript"/>
        </w:rPr>
        <w:t xml:space="preserve">55</w:t>
      </w:r>
      <w:r>
        <w:t xml:space="preserve">.</w:t>
      </w:r>
    </w:p>
    <w:p>
      <w:pPr>
        <w:pStyle w:val="BodyText"/>
      </w:pPr>
      <w:r>
        <w:t xml:space="preserve">This phase introduces SWING weighting and AHP pairwise comparisons for sophisticated decision contexts with deep attribute hierarchies. PAPRIKA’s adaptive approach—rated highest for clarity and usability in a clinical study of five elicitation methods</w:t>
      </w:r>
      <w:r>
        <w:rPr>
          <w:vertAlign w:val="superscript"/>
        </w:rPr>
        <w:t xml:space="preserve">1</w:t>
      </w:r>
      <w:r>
        <w:t xml:space="preserve">—is reserved for Phase 3 when AI-driven adaptation becomes available. Basic sensitivity analysis with live recalculation enables stakeholders to explore trade-offs during meetings rather than scheduling follow-up analyst engagements, compressing the decision cycle from weeks to hours</w:t>
      </w:r>
      <w:r>
        <w:rPr>
          <w:vertAlign w:val="superscript"/>
        </w:rPr>
        <w:t xml:space="preserve">2</w:t>
      </w:r>
      <w:r>
        <w:t xml:space="preserve">.</w:t>
      </w:r>
    </w:p>
    <w:bookmarkEnd w:id="125"/>
    <w:bookmarkStart w:id="126" w:name="Xa600941ac4a31ce978ba9c6ccd5b0b7b27b0d22"/>
    <w:p>
      <w:pPr>
        <w:pStyle w:val="Heading4"/>
      </w:pPr>
      <w:r>
        <w:t xml:space="preserve">9.1.3 Phase 3 (Intelligence): AI-Assisted Objective Generation, Bias Detection, PRIME Intervals, Scenario Management</w:t>
      </w:r>
    </w:p>
    <w:p>
      <w:pPr>
        <w:pStyle w:val="FirstParagraph"/>
      </w:pPr>
      <w:r>
        <w:t xml:space="preserve">Phase 3 is where the platform transcends digitization and becomes genuinely intelligent. AI-assisted objective generation leverages large language models to suggest objectives and hierarchical structures from unstructured inputs. Profit.co, Workpath, and Tability have demonstrated this in the OKR domain, reducing goal-setting time from hours to minutes</w:t>
      </w:r>
      <w:r>
        <w:rPr>
          <w:vertAlign w:val="superscript"/>
        </w:rPr>
        <w:t xml:space="preserve">56</w:t>
      </w:r>
      <w:r>
        <w:t xml:space="preserve">. The VTA platform extends this pattern to decision-structuring, generating draft value trees that human facilitators validate.</w:t>
      </w:r>
    </w:p>
    <w:p>
      <w:pPr>
        <w:pStyle w:val="BodyText"/>
      </w:pPr>
      <w:r>
        <w:t xml:space="preserve">Behavioral bias detection transforms the platform from passive calculator to active decision coach. Four VTA-specific biases are detectable in real time: splitting bias, range effect, hierarchy effect, and reference point effect</w:t>
      </w:r>
      <w:r>
        <w:rPr>
          <w:vertAlign w:val="superscript"/>
        </w:rPr>
        <w:t xml:space="preserve">57</w:t>
      </w:r>
      <w:r>
        <w:t xml:space="preserve">. IBM AI Fairness 360 provides over 70 fairness metrics adaptable for preference validation</w:t>
      </w:r>
      <w:r>
        <w:rPr>
          <w:vertAlign w:val="superscript"/>
        </w:rPr>
        <w:t xml:space="preserve">58</w:t>
      </w:r>
      <w:r>
        <w:t xml:space="preserve">, while decision journals demonstrate 19% forecasting accuracy improvement through structured reflection</w:t>
      </w:r>
      <w:r>
        <w:rPr>
          <w:vertAlign w:val="superscript"/>
        </w:rPr>
        <w:t xml:space="preserve">59</w:t>
      </w:r>
      <w:r>
        <w:t xml:space="preserve">. The platform surfaces these as contextual nudges—guiding users without constraining autonomy.</w:t>
      </w:r>
    </w:p>
    <w:p>
      <w:pPr>
        <w:pStyle w:val="BodyText"/>
      </w:pPr>
      <w:r>
        <w:t xml:space="preserve">PRIME interval methods represent the most significant methodological differentiator. Interval-valued statements capture disagreement as data rather than failure to achieve consensus. Research confirms decision-makers express priorities more naturally as ranges than precise values when knowledge is incomplete</w:t>
      </w:r>
      <w:r>
        <w:rPr>
          <w:vertAlign w:val="superscript"/>
        </w:rPr>
        <w:t xml:space="preserve">60</w:t>
      </w:r>
      <w:r>
        <w:t xml:space="preserve">. DecideIT’s Delta MCDM implementation provides a reference architecture</w:t>
      </w:r>
      <w:r>
        <w:rPr>
          <w:vertAlign w:val="superscript"/>
        </w:rPr>
        <w:t xml:space="preserve">61</w:t>
      </w:r>
      <w:r>
        <w:t xml:space="preserve">, yet no major cloud platform offers native PRIME-equivalent capability—a defensible competitive moat.</w:t>
      </w:r>
    </w:p>
    <w:p>
      <w:pPr>
        <w:pStyle w:val="BodyText"/>
      </w:pPr>
      <w:r>
        <w:t xml:space="preserve">Scenario management enables side-by-side comparison of alternative preference models, supporting structured deliberation with save, version, and merge capabilities.</w:t>
      </w:r>
    </w:p>
    <w:bookmarkEnd w:id="126"/>
    <w:bookmarkStart w:id="127" w:name="X2ee9c92ebdc1208937a6a4fdd882d251d12f1f6"/>
    <w:p>
      <w:pPr>
        <w:pStyle w:val="Heading4"/>
      </w:pPr>
      <w:r>
        <w:t xml:space="preserve">9.1.4 Phase 4 (Enterprise): Full API, ERP/CRM Integrations, Advanced Governance, White-Label</w:t>
      </w:r>
    </w:p>
    <w:p>
      <w:pPr>
        <w:pStyle w:val="FirstParagraph"/>
      </w:pPr>
      <w:r>
        <w:t xml:space="preserve">The final phase executes on Insight 9: API-first architecture enables VTA to become infrastructure rather than merely an application</w:t>
      </w:r>
      <w:r>
        <w:rPr>
          <w:vertAlign w:val="superscript"/>
        </w:rPr>
        <w:t xml:space="preserve">62</w:t>
      </w:r>
      <w:r>
        <w:t xml:space="preserve">. A comprehensive decision engine API allows external applications to embed structured decision-making at the point of need: Salesforce opportunity evaluation, Jira prioritization, SAP procurement choices. Stripe and Twilio demonstrated that API consumption often exceeds direct UI usage; the standalone application becomes the showcase, but programmatic access drives the majority of transactions</w:t>
      </w:r>
      <w:r>
        <w:rPr>
          <w:vertAlign w:val="superscript"/>
        </w:rPr>
        <w:t xml:space="preserve">63</w:t>
      </w:r>
      <w:r>
        <w:t xml:space="preserve">.</w:t>
      </w:r>
    </w:p>
    <w:p>
      <w:pPr>
        <w:pStyle w:val="BodyText"/>
      </w:pPr>
      <w:r>
        <w:t xml:space="preserve">Enterprise governance features include SOC 2 Type II certification, full audit trails, decision quality analytics, and white-label capability for consultancies. Regulated industries—healthcare, finance, government—demonstrate the highest willingness to pay for compliant decision support</w:t>
      </w:r>
      <w:r>
        <w:rPr>
          <w:vertAlign w:val="superscript"/>
        </w:rPr>
        <w:t xml:space="preserve">64</w:t>
      </w:r>
      <w:r>
        <w:t xml:space="preserve">.</w:t>
      </w:r>
    </w:p>
    <w:tbl>
      <w:tblPr>
        <w:tblStyle w:val="Table"/>
        <w:tblW w:type="pct" w:w="5000"/>
        <w:tblLook w:firstRow="1" w:lastRow="0" w:firstColumn="0" w:lastColumn="0" w:noHBand="0" w:noVBand="0" w:val="0020"/>
      </w:tblPr>
      <w:tblGrid>
        <w:gridCol w:w="880"/>
        <w:gridCol w:w="1257"/>
        <w:gridCol w:w="1885"/>
        <w:gridCol w:w="1760"/>
        <w:gridCol w:w="213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Features</w:t>
            </w:r>
          </w:p>
        </w:tc>
        <w:tc>
          <w:tcPr/>
          <w:p>
            <w:pPr>
              <w:pStyle w:val="Compact"/>
              <w:jc w:val="left"/>
            </w:pPr>
            <w:r>
              <w:t xml:space="preserve">Dependencies</w:t>
            </w:r>
          </w:p>
        </w:tc>
        <w:tc>
          <w:tcPr/>
          <w:p>
            <w:pPr>
              <w:pStyle w:val="Compact"/>
              <w:jc w:val="left"/>
            </w:pPr>
            <w:r>
              <w:t xml:space="preserve">Success Metrics</w:t>
            </w:r>
          </w:p>
        </w:tc>
      </w:tr>
      <w:tr>
        <w:tc>
          <w:tcPr/>
          <w:p>
            <w:pPr>
              <w:pStyle w:val="Compact"/>
              <w:jc w:val="left"/>
            </w:pPr>
            <w:r>
              <w:rPr>
                <w:bCs/>
                <w:b/>
              </w:rPr>
              <w:t xml:space="preserve">Phase 1: MVP</w:t>
            </w:r>
          </w:p>
        </w:tc>
        <w:tc>
          <w:tcPr/>
          <w:p>
            <w:pPr>
              <w:pStyle w:val="Compact"/>
              <w:jc w:val="left"/>
            </w:pPr>
            <w:r>
              <w:t xml:space="preserve">Months 1–6</w:t>
            </w:r>
          </w:p>
        </w:tc>
        <w:tc>
          <w:tcPr/>
          <w:p>
            <w:pPr>
              <w:pStyle w:val="Compact"/>
              <w:jc w:val="left"/>
            </w:pPr>
            <w:r>
              <w:t xml:space="preserve">Decision canvas; interactive value tree builder; direct rating sliders; SMART swing-weighting; performance matrix; single-user</w:t>
            </w:r>
          </w:p>
        </w:tc>
        <w:tc>
          <w:tcPr/>
          <w:p>
            <w:pPr>
              <w:pStyle w:val="Compact"/>
              <w:jc w:val="left"/>
            </w:pPr>
            <w:r>
              <w:t xml:space="preserve">Tree visualization library (React D3 Tree); slider UI components; PostgreSQL backend</w:t>
            </w:r>
          </w:p>
        </w:tc>
        <w:tc>
          <w:tcPr/>
          <w:p>
            <w:pPr>
              <w:pStyle w:val="Compact"/>
              <w:jc w:val="left"/>
            </w:pPr>
            <w:r>
              <w:t xml:space="preserve">500+ beta users; &gt;60% workflow completion rate; analyst-substitution validation</w:t>
            </w:r>
          </w:p>
        </w:tc>
      </w:tr>
      <w:tr>
        <w:tc>
          <w:tcPr/>
          <w:p>
            <w:pPr>
              <w:pStyle w:val="Compact"/>
              <w:jc w:val="left"/>
            </w:pPr>
            <w:r>
              <w:rPr>
                <w:bCs/>
                <w:b/>
              </w:rPr>
              <w:t xml:space="preserve">Phase 2: Collaboration</w:t>
            </w:r>
          </w:p>
        </w:tc>
        <w:tc>
          <w:tcPr/>
          <w:p>
            <w:pPr>
              <w:pStyle w:val="Compact"/>
              <w:jc w:val="left"/>
            </w:pPr>
            <w:r>
              <w:t xml:space="preserve">Months 7–14</w:t>
            </w:r>
          </w:p>
        </w:tc>
        <w:tc>
          <w:tcPr/>
          <w:p>
            <w:pPr>
              <w:pStyle w:val="Compact"/>
              <w:jc w:val="left"/>
            </w:pPr>
            <w:r>
              <w:t xml:space="preserve">CRDT-based multi-user editing (Yjs); RBAC; SWING &amp; AHP weighting; inline comments; one-way sensitivity; export/sharing</w:t>
            </w:r>
          </w:p>
        </w:tc>
        <w:tc>
          <w:tcPr/>
          <w:p>
            <w:pPr>
              <w:pStyle w:val="Compact"/>
              <w:jc w:val="left"/>
            </w:pPr>
            <w:r>
              <w:t xml:space="preserve">Phase 1 stability; WebSocket infrastructure; RBAC framework</w:t>
            </w:r>
          </w:p>
        </w:tc>
        <w:tc>
          <w:tcPr/>
          <w:p>
            <w:pPr>
              <w:pStyle w:val="Compact"/>
              <w:jc w:val="left"/>
            </w:pPr>
            <w:r>
              <w:t xml:space="preserve">50+ paying teams; &lt;600ms sync latency; sensitivity analysis used in &gt;30% of decisions</w:t>
            </w:r>
          </w:p>
        </w:tc>
      </w:tr>
      <w:tr>
        <w:tc>
          <w:tcPr/>
          <w:p>
            <w:pPr>
              <w:pStyle w:val="Compact"/>
              <w:jc w:val="left"/>
            </w:pPr>
            <w:r>
              <w:rPr>
                <w:bCs/>
                <w:b/>
              </w:rPr>
              <w:t xml:space="preserve">Phase 3: Intelligence</w:t>
            </w:r>
          </w:p>
        </w:tc>
        <w:tc>
          <w:tcPr/>
          <w:p>
            <w:pPr>
              <w:pStyle w:val="Compact"/>
              <w:jc w:val="left"/>
            </w:pPr>
            <w:r>
              <w:t xml:space="preserve">Months 15–26</w:t>
            </w:r>
          </w:p>
        </w:tc>
        <w:tc>
          <w:tcPr/>
          <w:p>
            <w:pPr>
              <w:pStyle w:val="Compact"/>
              <w:jc w:val="left"/>
            </w:pPr>
            <w:r>
              <w:t xml:space="preserve">AI objective generation (LLM integration); real-time bias detection (4 VTA bias types); PRIME interval methods; scenario management; decision coaching</w:t>
            </w:r>
          </w:p>
        </w:tc>
        <w:tc>
          <w:tcPr/>
          <w:p>
            <w:pPr>
              <w:pStyle w:val="Compact"/>
              <w:jc w:val="left"/>
            </w:pPr>
            <w:r>
              <w:t xml:space="preserve">Aggregate behavioral data from Phase 2; LLM API partnerships; interval arithmetic engine</w:t>
            </w:r>
          </w:p>
        </w:tc>
        <w:tc>
          <w:tcPr/>
          <w:p>
            <w:pPr>
              <w:pStyle w:val="Compact"/>
              <w:jc w:val="left"/>
            </w:pPr>
            <w:r>
              <w:t xml:space="preserve">3x user engagement time; &gt;20% AI-generated tree adoption; PRIME used in enterprise accounts</w:t>
            </w:r>
          </w:p>
        </w:tc>
      </w:tr>
      <w:tr>
        <w:tc>
          <w:tcPr/>
          <w:p>
            <w:pPr>
              <w:pStyle w:val="Compact"/>
              <w:jc w:val="left"/>
            </w:pPr>
            <w:r>
              <w:rPr>
                <w:bCs/>
                <w:b/>
              </w:rPr>
              <w:t xml:space="preserve">Phase 4: Enterprise</w:t>
            </w:r>
          </w:p>
        </w:tc>
        <w:tc>
          <w:tcPr/>
          <w:p>
            <w:pPr>
              <w:pStyle w:val="Compact"/>
              <w:jc w:val="left"/>
            </w:pPr>
            <w:r>
              <w:t xml:space="preserve">Months 27–36</w:t>
            </w:r>
          </w:p>
        </w:tc>
        <w:tc>
          <w:tcPr/>
          <w:p>
            <w:pPr>
              <w:pStyle w:val="Compact"/>
              <w:jc w:val="left"/>
            </w:pPr>
            <w:r>
              <w:t xml:space="preserve">Full REST/GraphQL API; ERP/CRM connectors (Salesforce, SAP, Workday); SOC 2/ISO 27001; white-label; advanced analytics</w:t>
            </w:r>
          </w:p>
        </w:tc>
        <w:tc>
          <w:tcPr/>
          <w:p>
            <w:pPr>
              <w:pStyle w:val="Compact"/>
              <w:jc w:val="left"/>
            </w:pPr>
            <w:r>
              <w:t xml:space="preserve">API gateway infrastructure; compliance audit; enterprise sales team</w:t>
            </w:r>
          </w:p>
        </w:tc>
        <w:tc>
          <w:tcPr/>
          <w:p>
            <w:pPr>
              <w:pStyle w:val="Compact"/>
              <w:jc w:val="left"/>
            </w:pPr>
            <w:r>
              <w:t xml:space="preserve">10+ enterprise contracts ($100K+ ACV); API traffic &gt;50% of total; white-label partners</w:t>
            </w:r>
          </w:p>
        </w:tc>
      </w:tr>
    </w:tbl>
    <w:p>
      <w:pPr>
        <w:pStyle w:val="BodyText"/>
      </w:pPr>
      <w:r>
        <w:t xml:space="preserve">The phased approach reflects a fundamental product strategy insight: the gap between academic MCDA and enterprise SaaS is a distribution problem, not a capability problem</w:t>
      </w:r>
      <w:r>
        <w:rPr>
          <w:vertAlign w:val="superscript"/>
        </w:rPr>
        <w:t xml:space="preserve">65</w:t>
      </w:r>
      <w:r>
        <w:t xml:space="preserve">. Every VTA method has a digital equivalent; every behavioral issue has a detectable pattern; every collaboration workflow has a proven technical foundation. The challenge is packaging these capabilities with enterprise-grade UX and delivering them in an order that compounds value.</w:t>
      </w:r>
    </w:p>
    <w:p>
      <w:pPr>
        <w:pStyle w:val="BodyText"/>
      </w:pPr>
      <w:r>
        <w:t xml:space="preserve">The roadmap also addresses three conflict zones architecturally. Cloud-versus-on-premise is resolved by cloud-first deployment with a hybrid option for regulated industries in Phase 4. Simplicity-versus-rigor uses progressive disclosure from Phase 1. AI-versus-human-judgment positions AI as assistant: AI generates drafts, humans validate and refine</w:t>
      </w:r>
      <w:r>
        <w:rPr>
          <w:vertAlign w:val="superscript"/>
        </w:rPr>
        <w:t xml:space="preserve">66</w:t>
      </w:r>
      <w:r>
        <w:t xml:space="preserve">.</w:t>
      </w:r>
    </w:p>
    <w:bookmarkEnd w:id="127"/>
    <w:bookmarkEnd w:id="128"/>
    <w:bookmarkStart w:id="132" w:name="competitive-positioning"/>
    <w:p>
      <w:pPr>
        <w:pStyle w:val="Heading3"/>
      </w:pPr>
      <w:r>
        <w:t xml:space="preserve">9.2 Competitive Positioning</w:t>
      </w:r>
    </w:p>
    <w:p>
      <w:pPr>
        <w:pStyle w:val="FirstParagraph"/>
      </w:pPr>
      <w:r>
        <w:t xml:space="preserve">The VTA SaaS platform occupies a distinct position in the enterprise software landscape, differentiated from three major adjacent categories by its methodological foundation rather than by any single feature.</w:t>
      </w:r>
    </w:p>
    <w:bookmarkStart w:id="129" w:name="X1a910d7d721463ab26c89a796d5ef9a0791ce18"/>
    <w:p>
      <w:pPr>
        <w:pStyle w:val="Heading4"/>
      </w:pPr>
      <w:r>
        <w:t xml:space="preserve">9.2.1 Differentiation from BI Tools: Structured Methodology vs. Exploratory Analytics</w:t>
      </w:r>
    </w:p>
    <w:p>
      <w:pPr>
        <w:pStyle w:val="FirstParagraph"/>
      </w:pPr>
      <w:r>
        <w:t xml:space="preserve">Business intelligence platforms—Tableau, Power BI, Looker—excel at exploratory data analysis but lack structured decision methodology. A BI tool can display weighted scores if constructed manually, yet offers no guidance on criteria elicitation, value function construction, or consistency checking within a multi-attribute framework. The distinction is analogous to that between a spreadsheet and an accounting system: both handle numbers, but only one enforces double-entry integrity. Power BI’s What-If parameters enable interactive adjustment, yet neither provides the semantic layer that distinguishes a sound decision model from a flawed one</w:t>
      </w:r>
      <w:r>
        <w:rPr>
          <w:vertAlign w:val="superscript"/>
        </w:rPr>
        <w:t xml:space="preserve">67</w:t>
      </w:r>
      <w:r>
        <w:t xml:space="preserve">. The VTA platform embeds methodological rigor into every interaction—transforming data visualization into decision architecture.</w:t>
      </w:r>
    </w:p>
    <w:bookmarkEnd w:id="129"/>
    <w:bookmarkStart w:id="130" w:name="Xfdeabe0878fafb295a941a74200128dffb4dd70"/>
    <w:p>
      <w:pPr>
        <w:pStyle w:val="Heading4"/>
      </w:pPr>
      <w:r>
        <w:t xml:space="preserve">9.2.2 Differentiation from Survey Tools: Mathematical Aggregation vs. Simple Polling</w:t>
      </w:r>
    </w:p>
    <w:p>
      <w:pPr>
        <w:pStyle w:val="FirstParagraph"/>
      </w:pPr>
      <w:r>
        <w:t xml:space="preserve">Survey platforms—Qualtrics, SurveyMonkey, Poll Everywhere—capture opinions efficiently but aggregate them crudely. Simple averaging or majority voting discard the structural information that makes decisions defensible: the relative importance of criteria, the shape of value functions, and sensitivity to weight changes. The VTA platform replaces polling with mathematical aggregation—weighted arithmetic mean of preference models, geometric mean of AHP priorities, dominance analysis under interval uncertainty—that produces auditable, challengeable results</w:t>
      </w:r>
      <w:r>
        <w:rPr>
          <w:vertAlign w:val="superscript"/>
        </w:rPr>
        <w:t xml:space="preserve">68</w:t>
      </w:r>
      <w:r>
        <w:t xml:space="preserve">. Anonymous voting in 1000minds demonstrates stakeholder demand for privacy in preference expression</w:t>
      </w:r>
      <w:r>
        <w:rPr>
          <w:vertAlign w:val="superscript"/>
        </w:rPr>
        <w:t xml:space="preserve">69</w:t>
      </w:r>
      <w:r>
        <w:t xml:space="preserve">, but these tools stop at vote collection. The VTA platform extends through the full analytical pipeline to a documented, defensible decision rationale.</w:t>
      </w:r>
    </w:p>
    <w:bookmarkEnd w:id="130"/>
    <w:bookmarkStart w:id="131" w:name="Xaa9172c08b5ead74d7a36d54f536a5638d16253"/>
    <w:p>
      <w:pPr>
        <w:pStyle w:val="Heading4"/>
      </w:pPr>
      <w:r>
        <w:t xml:space="preserve">9.2.3 Differentiation from Project Management Tools: Decision Logic vs. Task Tracking</w:t>
      </w:r>
    </w:p>
    <w:p>
      <w:pPr>
        <w:pStyle w:val="FirstParagraph"/>
      </w:pPr>
      <w:r>
        <w:t xml:space="preserve">Project management platforms—Jira, Asana, Monday.com—track what needs to be done; the VTA platform determines what</w:t>
      </w:r>
      <w:r>
        <w:t xml:space="preserve"> </w:t>
      </w:r>
      <w:r>
        <w:rPr>
          <w:iCs/>
          <w:i/>
        </w:rPr>
        <w:t xml:space="preserve">should</w:t>
      </w:r>
      <w:r>
        <w:t xml:space="preserve"> </w:t>
      </w:r>
      <w:r>
        <w:t xml:space="preserve">be done. The distinction between execution and decision is critical. A prioritized backlog is only as good as the prioritization logic that created it. By integrating with project management tools via API (Phase 4), the VTA platform feeds structured decision outputs into execution systems without conflating the two domains. Jira’s roadmaps and Asana’s portfolios provide prioritization interfaces, but none embed multi-criteria decision analysis with sensitivity testing and bias detection. The VTA platform becomes the upstream intelligence layer that justifies the priorities that project management tools subsequently execute.</w:t>
      </w:r>
    </w:p>
    <w:bookmarkEnd w:id="131"/>
    <w:bookmarkEnd w:id="132"/>
    <w:bookmarkStart w:id="136" w:name="market-opportunity"/>
    <w:p>
      <w:pPr>
        <w:pStyle w:val="Heading3"/>
      </w:pPr>
      <w:r>
        <w:t xml:space="preserve">9.3 Market Opportunity</w:t>
      </w:r>
    </w:p>
    <w:bookmarkStart w:id="133" w:name="primary-segments"/>
    <w:p>
      <w:pPr>
        <w:pStyle w:val="Heading4"/>
      </w:pPr>
      <w:r>
        <w:t xml:space="preserve">9.3.1 Primary Segments</w:t>
      </w:r>
    </w:p>
    <w:p>
      <w:pPr>
        <w:pStyle w:val="FirstParagraph"/>
      </w:pPr>
      <w:r>
        <w:t xml:space="preserve">The decision intelligence market, valued at $14–18 billion in 2024 and projected to reach $54–92 billion by 2033</w:t>
      </w:r>
      <w:r>
        <w:rPr>
          <w:vertAlign w:val="superscript"/>
        </w:rPr>
        <w:t xml:space="preserve">70</w:t>
      </w:r>
      <w:r>
        <w:t xml:space="preserve">, provides the macroeconomic context. Four segments present the strongest initial product-market fit.</w:t>
      </w:r>
    </w:p>
    <w:p>
      <w:pPr>
        <w:pStyle w:val="BodyText"/>
      </w:pPr>
      <w:r>
        <w:rPr>
          <w:bCs/>
          <w:b/>
        </w:rPr>
        <w:t xml:space="preserve">Strategic planning</w:t>
      </w:r>
      <w:r>
        <w:t xml:space="preserve"> </w:t>
      </w:r>
      <w:r>
        <w:t xml:space="preserve">teams face recurring portfolio prioritization decisions involving multiple stakeholders and incomplete information precisely suited to VTA. Cloverpop’s reported acceleration of time-to-decision from 28 days to 7 through structured playbooks</w:t>
      </w:r>
      <w:r>
        <w:rPr>
          <w:vertAlign w:val="superscript"/>
        </w:rPr>
        <w:t xml:space="preserve">71</w:t>
      </w:r>
      <w:r>
        <w:t xml:space="preserve">demonstrates both the pain point and willingness to pay.</w:t>
      </w:r>
    </w:p>
    <w:p>
      <w:pPr>
        <w:pStyle w:val="BodyText"/>
      </w:pPr>
      <w:r>
        <w:rPr>
          <w:bCs/>
          <w:b/>
        </w:rPr>
        <w:t xml:space="preserve">Procurement</w:t>
      </w:r>
      <w:r>
        <w:t xml:space="preserve"> </w:t>
      </w:r>
      <w:r>
        <w:t xml:space="preserve">committees evaluate vendor proposals against weighted criteria where regulatory compliance creates natural demand for built-in rationale capture. Procurement software such as Bonfire and Jaggaer implements weighted scoring matrices</w:t>
      </w:r>
      <w:r>
        <w:rPr>
          <w:vertAlign w:val="superscript"/>
        </w:rPr>
        <w:t xml:space="preserve">42</w:t>
      </w:r>
      <w:r>
        <w:t xml:space="preserve">but lacks sensitivity analysis, value function construction, and imprecise preference handling.</w:t>
      </w:r>
    </w:p>
    <w:p>
      <w:pPr>
        <w:pStyle w:val="BodyText"/>
      </w:pPr>
      <w:r>
        <w:rPr>
          <w:bCs/>
          <w:b/>
        </w:rPr>
        <w:t xml:space="preserve">R&amp;D portfolio management</w:t>
      </w:r>
      <w:r>
        <w:t xml:space="preserve"> </w:t>
      </w:r>
      <w:r>
        <w:t xml:space="preserve">requires balancing risk, return, and strategic alignment across uncertain projects. The interval methods from Phase 3 suit this context, where precise probability estimates are unavailable and stakeholder views vary.</w:t>
      </w:r>
    </w:p>
    <w:p>
      <w:pPr>
        <w:pStyle w:val="BodyText"/>
      </w:pPr>
      <w:r>
        <w:rPr>
          <w:bCs/>
          <w:b/>
        </w:rPr>
        <w:t xml:space="preserve">Hiring committees</w:t>
      </w:r>
      <w:r>
        <w:t xml:space="preserve"> </w:t>
      </w:r>
      <w:r>
        <w:t xml:space="preserve">evaluate candidates across technical skills, cultural fit, and growth potential—where bias detection and structured scoring improve decision quality while reducing legal risk.</w:t>
      </w:r>
    </w:p>
    <w:bookmarkEnd w:id="133"/>
    <w:bookmarkStart w:id="134" w:name="expansion-paths"/>
    <w:p>
      <w:pPr>
        <w:pStyle w:val="Heading4"/>
      </w:pPr>
      <w:r>
        <w:t xml:space="preserve">9.3.2 Expansion Paths</w:t>
      </w:r>
    </w:p>
    <w:p>
      <w:pPr>
        <w:pStyle w:val="FirstParagraph"/>
      </w:pPr>
      <w:r>
        <w:t xml:space="preserve">Beyond the primary segments, three expansion paths extend the platform’s applicability.</w:t>
      </w:r>
      <w:r>
        <w:t xml:space="preserve"> </w:t>
      </w:r>
      <w:r>
        <w:rPr>
          <w:bCs/>
          <w:b/>
        </w:rPr>
        <w:t xml:space="preserve">Risk analysis under uncertainty</w:t>
      </w:r>
      <w:r>
        <w:t xml:space="preserve"> </w:t>
      </w:r>
      <w:r>
        <w:t xml:space="preserve">builds on the interval methods from Phase 3 to address decisions where outcome probabilities are themselves imprecise—investment evaluation, insurance underwriting, catastrophe planning.</w:t>
      </w:r>
      <w:r>
        <w:t xml:space="preserve"> </w:t>
      </w:r>
      <w:r>
        <w:rPr>
          <w:bCs/>
          <w:b/>
        </w:rPr>
        <w:t xml:space="preserve">Portfolio optimization</w:t>
      </w:r>
      <w:r>
        <w:t xml:space="preserve"> </w:t>
      </w:r>
      <w:r>
        <w:t xml:space="preserve">extends individual decision analysis to combinatorial problems: given a set of candidate projects with interdependencies and resource constraints, which subset maximizes overall value.</w:t>
      </w:r>
      <w:r>
        <w:t xml:space="preserve"> </w:t>
      </w:r>
      <w:r>
        <w:rPr>
          <w:bCs/>
          <w:b/>
        </w:rPr>
        <w:t xml:space="preserve">Public policy engagement</w:t>
      </w:r>
      <w:r>
        <w:t xml:space="preserve"> </w:t>
      </w:r>
      <w:r>
        <w:t xml:space="preserve">applies structured decision-making to participatory governance, where transparent criteria weighting and sensitivity analysis can increase public trust in regulatory decisions.</w:t>
      </w:r>
    </w:p>
    <w:p>
      <w:pPr>
        <w:pStyle w:val="BodyText"/>
      </w:pPr>
      <w:r>
        <w:t xml:space="preserve">The expansion paths share a common thread: they apply the VTA platform’s core capabilities—hierarchical modeling, preference elicitation, sensitivity analysis, and collaborative deliberation—to domains where decisions are currently made through less structured, less transparent, and less defensible processes.</w:t>
      </w:r>
    </w:p>
    <w:bookmarkEnd w:id="134"/>
    <w:bookmarkStart w:id="135" w:name="Xbb65305668eb24c7ab57d31fe128c763f385f04"/>
    <w:p>
      <w:pPr>
        <w:pStyle w:val="Heading4"/>
      </w:pPr>
      <w:r>
        <w:t xml:space="preserve">9.3.3 The Long-Term Vision: Decision Infrastructure as a Service</w:t>
      </w:r>
    </w:p>
    <w:p>
      <w:pPr>
        <w:pStyle w:val="FirstParagraph"/>
      </w:pPr>
      <w:r>
        <w:t xml:space="preserve">The ultimate strategic objective transcends the standalone application. Just as Stripe embedded payment processing into e-commerce and Twilio embedded messaging into customer communications, the VTA platform embeds structured decision-making into every enterprise workflow involving multi-objective trade-offs. The API-first architecture in Phase 4 is not a feature addition; it is the foundation of a platform strategy.</w:t>
      </w:r>
    </w:p>
    <w:p>
      <w:pPr>
        <w:pStyle w:val="BodyText"/>
      </w:pPr>
      <w:r>
        <w:t xml:space="preserve">The vision is ambitious but grounded in validated capabilities. The market need is quantified: 88% of enterprises have adopted AI in some form, yet only 38% have established data-driven decision cultures</w:t>
      </w:r>
      <w:r>
        <w:rPr>
          <w:vertAlign w:val="superscript"/>
        </w:rPr>
        <w:t xml:space="preserve">41</w:t>
      </w:r>
      <w:r>
        <w:t xml:space="preserve">. The gap between tool availability and decision quality represents the addressable market. The management decision support segment alone exceeds $6.7 billion and is projected to grow to $17–23 billion</w:t>
      </w:r>
      <w:r>
        <w:rPr>
          <w:vertAlign w:val="superscript"/>
        </w:rPr>
        <w:t xml:space="preserve">72</w:t>
      </w:r>
      <w:r>
        <w:t xml:space="preserve">, driven by the same organizational pressures that favor structured methodologies over intuition and inertia.</w:t>
      </w:r>
    </w:p>
    <w:p>
      <w:pPr>
        <w:pStyle w:val="BodyText"/>
      </w:pPr>
      <w:r>
        <w:t xml:space="preserve">The 2002 VTA document anticipated this future without naming it. Its careful prescriptions for problem structuring, preference elicitation, behavioral vigilance, and group deliberation described a methodology too rigorous for the tools of its era and too dependent on scarce human expertise for broad adoption. Two decades later, cloud infrastructure, collaborative editing, and artificial intelligence have converged to remove those constraints. The academic foundation was never the limitation; it was the seed. What emerges is not merely a software product but a new layer in the enterprise stack: decision infrastructure as a service, embedding structured thinking into every workflow where the quality of choice determines the quality of outcome.</w:t>
      </w:r>
    </w:p>
    <w:p>
      <w:r>
        <w:pict>
          <v:rect style="width:0;height:1.5pt" o:hralign="center" o:hrstd="t" o:hr="t"/>
        </w:pict>
      </w:r>
    </w:p>
    <w:bookmarkEnd w:id="135"/>
    <w:bookmarkEnd w:id="136"/>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0" Target="media/rId90.png" /><Relationship Type="http://schemas.openxmlformats.org/officeDocument/2006/relationships/image" Id="rId27" Target="media/rId27.png" /><Relationship Type="http://schemas.openxmlformats.org/officeDocument/2006/relationships/image" Id="rId104" Target="media/rId104.png" /><Relationship Type="http://schemas.openxmlformats.org/officeDocument/2006/relationships/image" Id="rId61" Target="media/rId61.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2026-04-19T16:11:35Z</dcterms:created>
  <dcterms:modified xsi:type="dcterms:W3CDTF">2026-04-19T16:11:35Z</dcterms:modified>
</cp:coreProperties>
</file>

<file path=docProps/custom.xml><?xml version="1.0" encoding="utf-8"?>
<Properties xmlns="http://schemas.openxmlformats.org/officeDocument/2006/custom-properties" xmlns:vt="http://schemas.openxmlformats.org/officeDocument/2006/docPropsVTypes"/>
</file>