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before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before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“КИЇВСЬКИЙ ПОЛІТЕХНІЧНИЙ ІНСТИТУТ</w:t>
      </w:r>
    </w:p>
    <w:p w:rsidR="00000000" w:rsidDel="00000000" w:rsidP="00000000" w:rsidRDefault="00000000" w:rsidRPr="00000000" w14:paraId="00000004">
      <w:pPr>
        <w:spacing w:before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spacing w:before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7">
      <w:pPr>
        <w:spacing w:before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8">
      <w:pPr>
        <w:spacing w:before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КУРСОВИЙ ПРОЕКТ</w:t>
      </w:r>
    </w:p>
    <w:p w:rsidR="00000000" w:rsidDel="00000000" w:rsidP="00000000" w:rsidRDefault="00000000" w:rsidRPr="00000000" w14:paraId="0000000B">
      <w:pPr>
        <w:spacing w:before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0C">
      <w:pPr>
        <w:spacing w:before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“Бази даних”</w:t>
      </w:r>
    </w:p>
    <w:p w:rsidR="00000000" w:rsidDel="00000000" w:rsidP="00000000" w:rsidRDefault="00000000" w:rsidRPr="00000000" w14:paraId="0000000D">
      <w:pPr>
        <w:spacing w:before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спеціальність 121 – Програмна інженерія </w:t>
      </w:r>
    </w:p>
    <w:p w:rsidR="00000000" w:rsidDel="00000000" w:rsidP="00000000" w:rsidRDefault="00000000" w:rsidRPr="00000000" w14:paraId="0000000F">
      <w:pPr>
        <w:spacing w:before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Моніторингова система аналізу популярних відео сервісу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YouTube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КП-61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Свинарчук М. В.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  ___________</w:t>
      </w:r>
    </w:p>
    <w:p w:rsidR="00000000" w:rsidDel="00000000" w:rsidP="00000000" w:rsidRDefault="00000000" w:rsidRPr="00000000" w14:paraId="00000016">
      <w:pPr>
        <w:ind w:left="7200" w:firstLine="595.27559055118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(підпис)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Викладач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к.т.н, доцент кафедри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СПіСКС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Петрашенко А.В.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   ___________ </w:t>
      </w:r>
    </w:p>
    <w:p w:rsidR="00000000" w:rsidDel="00000000" w:rsidP="00000000" w:rsidRDefault="00000000" w:rsidRPr="00000000" w14:paraId="0000001C">
      <w:pPr>
        <w:ind w:left="7200" w:firstLine="595.27559055118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(підпис)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ЗМІСТ</w:t>
      </w:r>
    </w:p>
    <w:p w:rsidR="00000000" w:rsidDel="00000000" w:rsidP="00000000" w:rsidRDefault="00000000" w:rsidRPr="00000000" w14:paraId="0000002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numPr>
              <w:ilvl w:val="0"/>
              <w:numId w:val="3"/>
            </w:numPr>
            <w:tabs>
              <w:tab w:val="right" w:pos="9075.354330708662"/>
            </w:tabs>
            <w:spacing w:after="0" w:afterAutospacing="0" w:before="80" w:line="360" w:lineRule="auto"/>
            <w:ind w:left="720" w:hanging="36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w59hg2ehaj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НАЙМЕНУВАННЯ ТА ГАЛУЗЬ ЗАСТОСУВАННЯ РОЗРОБКИ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_6w59hg2ehajf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numPr>
              <w:ilvl w:val="0"/>
              <w:numId w:val="3"/>
            </w:numPr>
            <w:tabs>
              <w:tab w:val="right" w:pos="9075.354330708662"/>
            </w:tabs>
            <w:spacing w:after="0" w:afterAutospacing="0" w:before="0" w:beforeAutospacing="0" w:line="360" w:lineRule="auto"/>
            <w:ind w:left="720" w:hanging="36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ay3blt8wy9uk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ДАТА ПОЧАТКУ ТА ЗАКІНЧЕННЯ ПРОЕКТУ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_ay3blt8wy9uk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numPr>
              <w:ilvl w:val="0"/>
              <w:numId w:val="3"/>
            </w:numPr>
            <w:tabs>
              <w:tab w:val="right" w:pos="9075.354330708662"/>
            </w:tabs>
            <w:spacing w:after="0" w:afterAutospacing="0" w:before="0" w:beforeAutospacing="0" w:line="360" w:lineRule="auto"/>
            <w:ind w:left="720" w:hanging="36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kd15r7n7yhe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МЕТА РОЗРОБКИ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_kd15r7n7yhe2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numPr>
              <w:ilvl w:val="0"/>
              <w:numId w:val="3"/>
            </w:numPr>
            <w:tabs>
              <w:tab w:val="right" w:pos="9075.354330708662"/>
            </w:tabs>
            <w:spacing w:after="0" w:afterAutospacing="0" w:before="0" w:beforeAutospacing="0" w:line="360" w:lineRule="auto"/>
            <w:ind w:left="720" w:hanging="36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qvij7kmjk6l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ВИМОГИ ДО ПРОГРАМНОГО ЗАБЕЗПЕЧЕННЯ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_qvij7kmjk6lw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numPr>
              <w:ilvl w:val="0"/>
              <w:numId w:val="3"/>
            </w:numPr>
            <w:tabs>
              <w:tab w:val="right" w:pos="9075.354330708662"/>
            </w:tabs>
            <w:spacing w:after="0" w:afterAutospacing="0" w:before="0" w:beforeAutospacing="0" w:line="360" w:lineRule="auto"/>
            <w:ind w:left="720" w:hanging="36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shd w:fill="auto" w:val="clear"/>
              <w:vertAlign w:val="baseline"/>
            </w:rPr>
          </w:pPr>
          <w:hyperlink w:anchor="_h33hpr59fij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ОБҐРУНТУВАННЯ ВИБОРУ СУБД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_h33hpr59fijt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numPr>
              <w:ilvl w:val="0"/>
              <w:numId w:val="3"/>
            </w:numPr>
            <w:tabs>
              <w:tab w:val="right" w:pos="9075.354330708662"/>
            </w:tabs>
            <w:spacing w:after="0" w:afterAutospacing="0" w:before="0" w:beforeAutospacing="0" w:line="360" w:lineRule="auto"/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f7qytop8y3ow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ВИМОГИ ДО ІНТЕРФЕЙСУ КОРИСТУВАЧА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_f7qytop8y3ow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numPr>
              <w:ilvl w:val="0"/>
              <w:numId w:val="3"/>
            </w:numPr>
            <w:tabs>
              <w:tab w:val="right" w:pos="9075.354330708662"/>
            </w:tabs>
            <w:spacing w:after="0" w:afterAutospacing="0" w:before="0" w:beforeAutospacing="0" w:line="360" w:lineRule="auto"/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en0ndoqw4svk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ВИБІР ЗАСОБІВ РОЗРОБКИ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_en0ndoqw4svk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numPr>
              <w:ilvl w:val="0"/>
              <w:numId w:val="3"/>
            </w:numPr>
            <w:tabs>
              <w:tab w:val="right" w:pos="9075.354330708662"/>
            </w:tabs>
            <w:spacing w:after="80" w:before="0" w:beforeAutospacing="0" w:line="360" w:lineRule="auto"/>
            <w:ind w:left="720" w:hanging="360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b1awjuwc19sh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ЕТАПИ РОЗРОБКИ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ab/>
          </w:r>
          <w:r w:rsidDel="00000000" w:rsidR="00000000" w:rsidRPr="00000000">
            <w:fldChar w:fldCharType="begin"/>
            <w:instrText xml:space="preserve"> PAGEREF _b1awjuwc19sh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4"/>
        </w:numPr>
        <w:rPr>
          <w:b w:val="1"/>
        </w:rPr>
      </w:pPr>
      <w:bookmarkStart w:colFirst="0" w:colLast="0" w:name="_6w59hg2ehajf" w:id="0"/>
      <w:bookmarkEnd w:id="0"/>
      <w:r w:rsidDel="00000000" w:rsidR="00000000" w:rsidRPr="00000000">
        <w:rPr>
          <w:b w:val="1"/>
          <w:rtl w:val="0"/>
        </w:rPr>
        <w:t xml:space="preserve">НАЙМЕНУВАННЯ ТА ГАЛУЗЬ ЗАСТОСУВАННЯ РОЗРОБКИ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Найменування: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Моніторингова система аналізу популярних відео (трендів) сервісу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YouTube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кожній країні окремо, по вибірки країн та загалом по всьому світу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Галузь застосування: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статистика, аналіз соціальних тенденцій та прогнозування популярності певного виду відеоконтенту.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4"/>
        </w:numPr>
        <w:spacing w:line="360" w:lineRule="auto"/>
        <w:ind w:left="720" w:hanging="360"/>
        <w:rPr>
          <w:b w:val="1"/>
        </w:rPr>
      </w:pPr>
      <w:bookmarkStart w:colFirst="0" w:colLast="0" w:name="_ay3blt8wy9uk" w:id="1"/>
      <w:bookmarkEnd w:id="1"/>
      <w:r w:rsidDel="00000000" w:rsidR="00000000" w:rsidRPr="00000000">
        <w:rPr>
          <w:b w:val="1"/>
          <w:rtl w:val="0"/>
        </w:rPr>
        <w:t xml:space="preserve">ДАТА ПОЧАТКУ ТА ЗАКІНЧЕННЯ ПРОЕКТУ</w:t>
      </w:r>
    </w:p>
    <w:p w:rsidR="00000000" w:rsidDel="00000000" w:rsidP="00000000" w:rsidRDefault="00000000" w:rsidRPr="00000000" w14:paraId="00000032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початку проекту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25 березня 2018 року (дата видачі завдання для курсового проекту).</w:t>
      </w:r>
    </w:p>
    <w:p w:rsidR="00000000" w:rsidDel="00000000" w:rsidP="00000000" w:rsidRDefault="00000000" w:rsidRPr="00000000" w14:paraId="00000033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закінчення проекту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20 травня 2019 року (захист курсового проекту).</w:t>
      </w:r>
    </w:p>
    <w:p w:rsidR="00000000" w:rsidDel="00000000" w:rsidP="00000000" w:rsidRDefault="00000000" w:rsidRPr="00000000" w14:paraId="0000003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4"/>
        </w:numPr>
        <w:spacing w:line="360" w:lineRule="auto"/>
        <w:ind w:left="720" w:hanging="360"/>
        <w:rPr>
          <w:b w:val="1"/>
        </w:rPr>
      </w:pPr>
      <w:bookmarkStart w:colFirst="0" w:colLast="0" w:name="_kd15r7n7yhe2" w:id="2"/>
      <w:bookmarkEnd w:id="2"/>
      <w:r w:rsidDel="00000000" w:rsidR="00000000" w:rsidRPr="00000000">
        <w:rPr>
          <w:b w:val="1"/>
          <w:rtl w:val="0"/>
        </w:rPr>
        <w:t xml:space="preserve">МЕТА РОЗРОБКИ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Метою розробки даного курсового проекту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є збір та фільтрація статистики популярних відео сервісу YouTube,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аналіз результатів на її основі та формування бізнес-звітів з метою надання корисної інформації для рекламних агентств та інвесторів.</w:t>
      </w:r>
    </w:p>
    <w:p w:rsidR="00000000" w:rsidDel="00000000" w:rsidP="00000000" w:rsidRDefault="00000000" w:rsidRPr="00000000" w14:paraId="0000003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потенційних клієнтів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дана моніторингова система повинна допомогти знайти категорії відеоконтенту, які мають відносно високий бізнес-потенціал. Наприклад, можливі наступні критерії оцінювання: кількість відео в кожній категорії, коефіцієнт участі (кількість коментарів / кількість переглядів), рейтинг популярності (кількість вподобань / кількість переглядів) і середній темп зростання в трендах. Маючи такого роду статистику, клієнту, будь то інвестор чи рекламне агенство, буде простіше знайти та визначитися яким категоріям відеоконтенту надати перевагу.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4"/>
        </w:numPr>
        <w:spacing w:line="360" w:lineRule="auto"/>
        <w:ind w:left="720" w:hanging="360"/>
        <w:rPr>
          <w:b w:val="1"/>
        </w:rPr>
      </w:pPr>
      <w:bookmarkStart w:colFirst="0" w:colLast="0" w:name="_qvij7kmjk6lw" w:id="3"/>
      <w:bookmarkEnd w:id="3"/>
      <w:r w:rsidDel="00000000" w:rsidR="00000000" w:rsidRPr="00000000">
        <w:rPr>
          <w:b w:val="1"/>
          <w:rtl w:val="0"/>
        </w:rPr>
        <w:t xml:space="preserve">ВИМОГИ ДО ПРОГРАМНОГО ЗАБЕЗПЕЧЕННЯ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Підсистема попередньої обробки даних містить у собі: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Засіб генерації даних: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розроблення утиліти для збору інформації про відео-тренди сервісу YouTube за допомогою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YouTube Data API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Єдиним недоліком такого підходу є обмежена кількість статистичних даних, які можна отримати за певний період: тренди вміщують в себе 50-100 відео та оновлюються кожні 15 хвилин, але при цьому не обов’язково додаються нові відео, а лише змінюється порядок минулих. Тобто постає питання: як часто робити вибірку даних, щоб зменшити кількість попадань конкретного відео (може перебувати в трендах від 4 годин до декількох днів)? Пропонується створити утиліту, яка буде кожного дня в один і той же час збирати збирати дані (один раз на добу). Також є можливим використання готово датасету, зібраного за таким же принципом.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Засоби фільтрації та валідації даних: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розроблення додаткового функціоналу у вищезазначеній утиліті задля корегування отриманих даних та переходу до їх подальшої обробки та структуризації.</w:t>
      </w:r>
    </w:p>
    <w:p w:rsidR="00000000" w:rsidDel="00000000" w:rsidP="00000000" w:rsidRDefault="00000000" w:rsidRPr="00000000" w14:paraId="0000003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База даних: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MongoDB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color w:val="373737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Засоби реплікації даних: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нереляційна база даних MongoDB підтримує 2 форми реплікації: </w:t>
      </w:r>
      <w:r w:rsidDel="00000000" w:rsidR="00000000" w:rsidRPr="00000000">
        <w:rPr>
          <w:rFonts w:ascii="Times New Roman" w:cs="Times New Roman" w:eastAsia="Times New Roman" w:hAnsi="Times New Roman"/>
          <w:color w:val="373737"/>
          <w:sz w:val="28"/>
          <w:szCs w:val="28"/>
          <w:highlight w:val="white"/>
          <w:rtl w:val="0"/>
        </w:rPr>
        <w:t xml:space="preserve">реплісети (Replica Sets) і Master-Slave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Пропонується використати більш сучасний підхід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73737"/>
          <w:sz w:val="28"/>
          <w:szCs w:val="28"/>
          <w:highlight w:val="white"/>
          <w:rtl w:val="0"/>
        </w:rPr>
        <w:t xml:space="preserve">Replica Sets</w:t>
      </w:r>
      <w:r w:rsidDel="00000000" w:rsidR="00000000" w:rsidRPr="00000000">
        <w:rPr>
          <w:rFonts w:ascii="Times New Roman" w:cs="Times New Roman" w:eastAsia="Times New Roman" w:hAnsi="Times New Roman"/>
          <w:color w:val="373737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color w:val="373737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3737"/>
          <w:sz w:val="28"/>
          <w:szCs w:val="28"/>
          <w:highlight w:val="white"/>
        </w:rPr>
        <w:drawing>
          <wp:inline distB="114300" distT="114300" distL="114300" distR="114300">
            <wp:extent cx="4345791" cy="16963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5791" cy="169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373737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1.1 Приклад реплікації MongoDB за допомогою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73737"/>
          <w:sz w:val="28"/>
          <w:szCs w:val="28"/>
          <w:highlight w:val="white"/>
          <w:rtl w:val="0"/>
        </w:rPr>
        <w:t xml:space="preserve">Replica Sets</w:t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rFonts w:ascii="Times New Roman" w:cs="Times New Roman" w:eastAsia="Times New Roman" w:hAnsi="Times New Roman"/>
          <w:i w:val="1"/>
          <w:color w:val="373737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73737"/>
          <w:sz w:val="28"/>
          <w:szCs w:val="28"/>
          <w:highlight w:val="white"/>
          <w:rtl w:val="0"/>
        </w:rPr>
        <w:t xml:space="preserve">(Арбітр не є обов’язковим членом схеми і необхідний лише у випадку існуванні парної кількості реплік)</w:t>
      </w:r>
    </w:p>
    <w:p w:rsidR="00000000" w:rsidDel="00000000" w:rsidP="00000000" w:rsidRDefault="00000000" w:rsidRPr="00000000" w14:paraId="0000004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Засоби масштабування: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MongoDB пропонує можливість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горизонтальн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ого шардингу (sharding) – це поділ однієї таблиці на різні сервера. Поділ таблиці на частини робиться за таким принципом: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кількох серверах створюється одна і та ж таблиця (тільки структура,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даних).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додатку вибирається умова, за яким буде визначатися потрібне з'єднання (наприклад, парні на один сервер, а непарні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на інший).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кожним зверненням до таблиці відбувається вибір потрібного з'єднання.</w:t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97743" cy="2667863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7743" cy="266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1.2 Схема шардингу у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both"/>
        <w:rPr>
          <w:rFonts w:ascii="Georgia" w:cs="Georgia" w:eastAsia="Georgia" w:hAnsi="Georgia"/>
          <w:color w:val="212529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Сумісне використання засобів шардингу та реплікації MongoDB забезпечить відмовостійкість бази даних</w:t>
      </w:r>
      <w:r w:rsidDel="00000000" w:rsidR="00000000" w:rsidRPr="00000000">
        <w:rPr>
          <w:rFonts w:ascii="Georgia" w:cs="Georgia" w:eastAsia="Georgia" w:hAnsi="Georgia"/>
          <w:color w:val="212529"/>
          <w:sz w:val="30"/>
          <w:szCs w:val="30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jc w:val="both"/>
        <w:rPr>
          <w:rFonts w:ascii="Georgia" w:cs="Georgia" w:eastAsia="Georgia" w:hAnsi="Georgia"/>
          <w:color w:val="2125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Засоби аналізу даних: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математична бібліотека з підтримкою багатовимірних масивів та високорівневих математичних функцій;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бібліотека для обробки та аналізу даних, використовується для первинної обробки даних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NLTK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Natural Language Toolkit, пакет бібліотек і програм для символьної і статистичної обробки природної мови.</w:t>
      </w:r>
    </w:p>
    <w:p w:rsidR="00000000" w:rsidDel="00000000" w:rsidP="00000000" w:rsidRDefault="00000000" w:rsidRPr="00000000" w14:paraId="0000005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Задачі аналізу даних: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Зібрати дані за допомогою YouTube Data API та струкутувати їх з вже існуючим датасетом;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Здійснити валідацію даних та прибрати зайву інформацію з датасету;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Провести кореляцію по всіх даних;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місцях, де найбільша кореляція, здійснити більш детальний аналіз;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Сформувати діаграми розсіювання, виокремити кластери та зробити висновки щодо отриманих результатів;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прогнози на основі отриманих результатів.</w:t>
      </w:r>
    </w:p>
    <w:p w:rsidR="00000000" w:rsidDel="00000000" w:rsidP="00000000" w:rsidRDefault="00000000" w:rsidRPr="00000000" w14:paraId="00000058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Засоби резервування та відновлення даних: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передбачені при використанні Replica Sets у MongoDB. Також є можливість використання стандартних утиліт для збереження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mongodump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та відновлення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highlight w:val="white"/>
          <w:rtl w:val="0"/>
        </w:rPr>
        <w:t xml:space="preserve">(mongorestore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4"/>
        </w:numPr>
        <w:rPr>
          <w:b w:val="1"/>
        </w:rPr>
      </w:pPr>
      <w:bookmarkStart w:colFirst="0" w:colLast="0" w:name="_h33hpr59fijt" w:id="4"/>
      <w:bookmarkEnd w:id="4"/>
      <w:r w:rsidDel="00000000" w:rsidR="00000000" w:rsidRPr="00000000">
        <w:rPr>
          <w:b w:val="1"/>
          <w:rtl w:val="0"/>
        </w:rPr>
        <w:t xml:space="preserve">ОБҐРУНТУВАННЯ ВИБОРУ СУБД</w:t>
      </w:r>
    </w:p>
    <w:p w:rsidR="00000000" w:rsidDel="00000000" w:rsidP="00000000" w:rsidRDefault="00000000" w:rsidRPr="00000000" w14:paraId="0000005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Було обрано найпопулярнішу серед нереляційних СУБД – MongoDB. Це документо-орієнтована система управління базами даних із відкритим кодом, яка не потребує опису схеми таблиць. MongoDB займає нішу між швидкими і масштабованими системами, що оперують даними у форматі ключ/значення, і реляційними СУБД, функціональними і зручними у формуванні запитів.</w:t>
      </w:r>
    </w:p>
    <w:p w:rsidR="00000000" w:rsidDel="00000000" w:rsidP="00000000" w:rsidRDefault="00000000" w:rsidRPr="00000000" w14:paraId="0000005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Вибір нереляційної СУБД обгрунтовується наявністю великої кількості ненормалізованих даних, які необхідно обробити швидко. Вона забезпечує можливість отримання неприведених до норм даних та подальшу роботу з ними. Формування додаткових таблиць при появі додаткової інформації у екземплярі (реляційні СУБД) було б недоцільним.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4"/>
        </w:numPr>
        <w:rPr>
          <w:b w:val="1"/>
        </w:rPr>
      </w:pPr>
      <w:bookmarkStart w:colFirst="0" w:colLast="0" w:name="_f7qytop8y3ow" w:id="5"/>
      <w:bookmarkEnd w:id="5"/>
      <w:r w:rsidDel="00000000" w:rsidR="00000000" w:rsidRPr="00000000">
        <w:rPr>
          <w:b w:val="1"/>
          <w:rtl w:val="0"/>
        </w:rPr>
        <w:t xml:space="preserve">ВИМОГИ ДО ІНТЕРФЕЙСУ КОРИСТУВАЧА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Мінімалістичний інтерфейс реалізований у консолі;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вибору країни чи групи країн за якими буде проводитися аналіз;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оперування базою даних – очистити базу даних, додати інформацію з датасета чи шляхом веб-скрапінгу;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обрати необхідні критерії для проведення аналізу;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Генерація таблиць, отриманих за результатами аналізу, графічних елементів – 2D графіки, хмари тегів, діаграми та інші зображення, сформовані у результаті досліджень;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експорту отриманих результатів до файлів.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4"/>
        </w:numPr>
        <w:spacing w:before="0" w:beforeAutospacing="0"/>
        <w:rPr>
          <w:b w:val="1"/>
        </w:rPr>
      </w:pPr>
      <w:bookmarkStart w:colFirst="0" w:colLast="0" w:name="_en0ndoqw4svk" w:id="6"/>
      <w:bookmarkEnd w:id="6"/>
      <w:r w:rsidDel="00000000" w:rsidR="00000000" w:rsidRPr="00000000">
        <w:rPr>
          <w:b w:val="1"/>
          <w:rtl w:val="0"/>
        </w:rPr>
        <w:t xml:space="preserve">ВИБІР ЗАСОБІВ РОЗРОБКИ</w:t>
      </w:r>
    </w:p>
    <w:p w:rsidR="00000000" w:rsidDel="00000000" w:rsidP="00000000" w:rsidRDefault="00000000" w:rsidRPr="00000000" w14:paraId="0000006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Мова програмування – Python 3.7.</w:t>
      </w:r>
    </w:p>
    <w:p w:rsidR="00000000" w:rsidDel="00000000" w:rsidP="00000000" w:rsidRDefault="00000000" w:rsidRPr="00000000" w14:paraId="0000006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СКБД – MongoDB.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Бібліотеки: 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NumPy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математична бібліотека з підтримкою багатовимірних масивів та високорівневих математичних функцій;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Pandas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бібліотека для обробки та аналізу даних, використовується для первинної обробки даних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NLTK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Natural Language Toolkit, пакет бібліотек і програм для символьної і статистичної обробки природної мови.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WordCloud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бібліотека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для візуального подання списку категорій (або тегів, також званих мітками, ярликами, ключовими словами, тощо).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afterAutospacing="0" w:line="360" w:lineRule="auto"/>
        <w:ind w:left="1440" w:hanging="360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Matplotlib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бібліотека для візуалізації даних у вигляді 2D і 3D графіків;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numPr>
          <w:ilvl w:val="0"/>
          <w:numId w:val="7"/>
        </w:numPr>
        <w:shd w:fill="ffffff" w:val="clear"/>
        <w:spacing w:after="180" w:before="0" w:beforeAutospacing="0"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seaborn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бібліотека візуалізації даних Python, яка базується на matplotlib. Забезпечує інтерфейс високого рівня для малювання привабливої та інформативної статистичної графіки.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numPr>
          <w:ilvl w:val="0"/>
          <w:numId w:val="4"/>
        </w:numPr>
        <w:rPr>
          <w:b w:val="1"/>
        </w:rPr>
      </w:pPr>
      <w:bookmarkStart w:colFirst="0" w:colLast="0" w:name="_b1awjuwc19sh" w:id="7"/>
      <w:bookmarkEnd w:id="7"/>
      <w:r w:rsidDel="00000000" w:rsidR="00000000" w:rsidRPr="00000000">
        <w:rPr>
          <w:b w:val="1"/>
          <w:rtl w:val="0"/>
        </w:rPr>
        <w:t xml:space="preserve">ЕТАПИ РОЗРОБКИ</w:t>
      </w:r>
    </w:p>
    <w:p w:rsidR="00000000" w:rsidDel="00000000" w:rsidP="00000000" w:rsidRDefault="00000000" w:rsidRPr="00000000" w14:paraId="00000071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6735"/>
        <w:gridCol w:w="1665"/>
        <w:tblGridChange w:id="0">
          <w:tblGrid>
            <w:gridCol w:w="630"/>
            <w:gridCol w:w="6735"/>
            <w:gridCol w:w="1665"/>
          </w:tblGrid>
        </w:tblGridChange>
      </w:tblGrid>
      <w:tr>
        <w:trPr>
          <w:trHeight w:val="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Назва етапу розробки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Термін виконання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Затвердження теми курсової роботи. Опрацювання відповідної літератури. Розроблення та узгодження технічного завдання.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01.04.2019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Аналіз постановки задачі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10.04.2019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Розробка засобів генерації даних.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15.04.2019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Додавання засобів фільтрації та валідації даних.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20.04.2019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Реалізація зберігання, реплікації та масштабування інформації розробленої моніторингової системи.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26.04.2019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Додавання засобів аналізу даних (реалізацію алгоритмів буде запозичено у великих бібліотеках аналізу даних).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03.05.19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Додавання засобів резервування та відновлення даних (призначені для оперативного та пакетного збереження фрагментів та всієї бази даних з можливістю її відновлення з урахуванням необхідності підключення додаткового комп’ютера як елемента горизонтального масштабування).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09.05.2019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Тестування програми.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15.05.2019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Аналіз результатів. Підготовка матеріалів курсового проекту та оформлення пояснювальної записки.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18.05.2019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Захист курсової роботи.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20.05.2019</w:t>
            </w:r>
          </w:p>
        </w:tc>
      </w:tr>
    </w:tbl>
    <w:p w:rsidR="00000000" w:rsidDel="00000000" w:rsidP="00000000" w:rsidRDefault="00000000" w:rsidRPr="00000000" w14:paraId="0000009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8" w:w="11906"/>
      <w:pgMar w:bottom="1133.8582677165355" w:top="1133.8582677165355" w:left="1700.7874015748032" w:right="1133.8582677165355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360" w:lineRule="auto"/>
      <w:ind w:left="720" w:hanging="360"/>
      <w:jc w:val="both"/>
    </w:pPr>
    <w:rPr>
      <w:rFonts w:ascii="Times New Roman" w:cs="Times New Roman" w:eastAsia="Times New Roman" w:hAnsi="Times New Roman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youtube.com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