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Auditor's Report — Financial Year 2024</w:t>
      </w:r>
    </w:p>
    <w:p>
      <w:r>
        <w:t>To the shareholders of Nordlicht Logistik GmbH, Hamburg.</w:t>
      </w:r>
    </w:p>
    <w:p>
      <w:pPr>
        <w:pStyle w:val="Heading1"/>
      </w:pPr>
      <w:r>
        <w:t>Opinion</w:t>
      </w:r>
    </w:p>
    <w:p>
      <w:r>
        <w:t>We have audited the financial statements of Nordlicht Logistik GmbH for the year ended 31 December 2024. In our opinion, the financial statements give a true and fair view of the net assets and financial position of the company. We issue an unqualified opinion.</w:t>
      </w:r>
    </w:p>
    <w:p>
      <w:pPr>
        <w:pStyle w:val="Heading1"/>
      </w:pPr>
      <w:r>
        <w:t>Key audit matters</w:t>
      </w:r>
    </w:p>
    <w:p>
      <w:r>
        <w:t>Revenue recognition for contract logistics was identified as a key audit matter. Total revenue of EUR 18.452.000,00 was tested on a sample basis. Customer concentration remains elevated: the largest customer represents 18% of revenue.</w:t>
      </w:r>
    </w:p>
    <w:p>
      <w:pPr>
        <w:pStyle w:val="Heading1"/>
      </w:pPr>
      <w:r>
        <w:t>Summary of tested balances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Balance</w:t>
            </w:r>
          </w:p>
        </w:tc>
        <w:tc>
          <w:tcPr>
            <w:tcW w:type="dxa" w:w="4320"/>
          </w:tcPr>
          <w:p>
            <w:r>
              <w:t>Amount (EUR)</w:t>
            </w:r>
          </w:p>
        </w:tc>
      </w:tr>
      <w:tr>
        <w:tc>
          <w:tcPr>
            <w:tcW w:type="dxa" w:w="4320"/>
          </w:tcPr>
          <w:p>
            <w:r>
              <w:t>Total assets</w:t>
            </w:r>
          </w:p>
        </w:tc>
        <w:tc>
          <w:tcPr>
            <w:tcW w:type="dxa" w:w="4320"/>
          </w:tcPr>
          <w:p>
            <w:r>
              <w:t>16.355.000,00</w:t>
            </w:r>
          </w:p>
        </w:tc>
      </w:tr>
      <w:tr>
        <w:tc>
          <w:tcPr>
            <w:tcW w:type="dxa" w:w="4320"/>
          </w:tcPr>
          <w:p>
            <w:r>
              <w:t>Equity</w:t>
            </w:r>
          </w:p>
        </w:tc>
        <w:tc>
          <w:tcPr>
            <w:tcW w:type="dxa" w:w="4320"/>
          </w:tcPr>
          <w:p>
            <w:r>
              <w:t>7.240.000,00</w:t>
            </w:r>
          </w:p>
        </w:tc>
      </w:tr>
      <w:tr>
        <w:tc>
          <w:tcPr>
            <w:tcW w:type="dxa" w:w="4320"/>
          </w:tcPr>
          <w:p>
            <w:r>
              <w:t>Liabilities</w:t>
            </w:r>
          </w:p>
        </w:tc>
        <w:tc>
          <w:tcPr>
            <w:tcW w:type="dxa" w:w="4320"/>
          </w:tcPr>
          <w:p>
            <w:r>
              <w:t>9.115.000,00</w:t>
            </w:r>
          </w:p>
        </w:tc>
      </w:tr>
      <w:tr>
        <w:tc>
          <w:tcPr>
            <w:tcW w:type="dxa" w:w="4320"/>
          </w:tcPr>
          <w:p>
            <w:r>
              <w:t>Income tax expense</w:t>
            </w:r>
          </w:p>
        </w:tc>
        <w:tc>
          <w:tcPr>
            <w:tcW w:type="dxa" w:w="4320"/>
          </w:tcPr>
          <w:p>
            <w:r>
              <w:t>756.600,00</w:t>
            </w:r>
          </w:p>
        </w:tc>
      </w:tr>
    </w:tbl>
    <w:p>
      <w:r>
        <w:t>Hamburg, 14 March 2025 — Wagner &amp; Petersen Wirtschaftsprüfung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